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0F61F">
      <w:pPr>
        <w:spacing w:beforeLines="100" w:line="40" w:lineRule="atLeast"/>
        <w:jc w:val="center"/>
        <w:rPr>
          <w:rFonts w:eastAsia="华文宋体"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营养风险筛查表（NRS-2002</w:t>
      </w:r>
      <w:r>
        <w:rPr>
          <w:rFonts w:hint="eastAsia"/>
          <w:b/>
          <w:bCs/>
          <w:color w:val="000000"/>
          <w:sz w:val="32"/>
          <w:szCs w:val="32"/>
          <w:lang w:val="en-US" w:eastAsia="zh-CN"/>
        </w:rPr>
        <w:t xml:space="preserve"> 评估表</w:t>
      </w:r>
      <w:r>
        <w:rPr>
          <w:b/>
          <w:bCs/>
          <w:color w:val="000000"/>
          <w:sz w:val="32"/>
          <w:szCs w:val="32"/>
        </w:rPr>
        <w:t>）</w:t>
      </w:r>
    </w:p>
    <w:p w14:paraId="1552466E">
      <w:pPr>
        <w:jc w:val="center"/>
        <w:rPr>
          <w:rFonts w:eastAsia="华文宋体"/>
          <w:bCs/>
          <w:color w:val="000000"/>
          <w:sz w:val="24"/>
          <w:szCs w:val="28"/>
        </w:rPr>
      </w:pPr>
    </w:p>
    <w:p w14:paraId="73DDCDE1">
      <w:pPr>
        <w:jc w:val="center"/>
        <w:rPr>
          <w:rFonts w:hint="eastAsia" w:eastAsia="华文宋体"/>
          <w:bCs/>
          <w:color w:val="000000"/>
          <w:sz w:val="24"/>
          <w:szCs w:val="28"/>
          <w:lang w:val="en-US" w:eastAsia="zh-CN"/>
        </w:rPr>
      </w:pPr>
      <w:r>
        <w:rPr>
          <w:rFonts w:hint="eastAsia" w:eastAsia="华文宋体"/>
          <w:bCs/>
          <w:color w:val="000000"/>
          <w:sz w:val="28"/>
          <w:szCs w:val="32"/>
          <w:lang w:val="en-US" w:eastAsia="zh-CN"/>
        </w:rPr>
        <w:t>患者资料</w:t>
      </w:r>
    </w:p>
    <w:tbl>
      <w:tblPr>
        <w:tblStyle w:val="8"/>
        <w:tblW w:w="0" w:type="auto"/>
        <w:tblInd w:w="76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2"/>
        <w:gridCol w:w="886"/>
        <w:gridCol w:w="852"/>
        <w:gridCol w:w="1795"/>
        <w:gridCol w:w="1546"/>
        <w:gridCol w:w="2027"/>
        <w:gridCol w:w="1542"/>
      </w:tblGrid>
      <w:tr w14:paraId="18E69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359E2EEB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病区</w:t>
            </w:r>
          </w:p>
        </w:tc>
        <w:tc>
          <w:tcPr>
            <w:tcW w:w="1767" w:type="dxa"/>
            <w:gridSpan w:val="2"/>
            <w:vAlign w:val="center"/>
          </w:tcPr>
          <w:p w14:paraId="6ABA1C59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1811" w:type="dxa"/>
            <w:vAlign w:val="center"/>
          </w:tcPr>
          <w:p w14:paraId="53108B70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床号</w:t>
            </w:r>
          </w:p>
        </w:tc>
        <w:tc>
          <w:tcPr>
            <w:tcW w:w="1567" w:type="dxa"/>
            <w:vAlign w:val="center"/>
          </w:tcPr>
          <w:p w14:paraId="2BC88943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2044" w:type="dxa"/>
            <w:vAlign w:val="center"/>
          </w:tcPr>
          <w:p w14:paraId="5C8E0902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住院号</w:t>
            </w:r>
          </w:p>
        </w:tc>
        <w:tc>
          <w:tcPr>
            <w:tcW w:w="1567" w:type="dxa"/>
            <w:vAlign w:val="center"/>
          </w:tcPr>
          <w:p w14:paraId="4DC96C32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</w:tr>
      <w:tr w14:paraId="14BFF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025F8C3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姓名</w:t>
            </w:r>
          </w:p>
        </w:tc>
        <w:tc>
          <w:tcPr>
            <w:tcW w:w="1767" w:type="dxa"/>
            <w:gridSpan w:val="2"/>
            <w:vAlign w:val="center"/>
          </w:tcPr>
          <w:p>
            <w:r>
              <w:t>未填写</w:t>
            </w:r>
          </w:p>
        </w:tc>
        <w:tc>
          <w:tcPr>
            <w:tcW w:w="1811" w:type="dxa"/>
            <w:vAlign w:val="center"/>
          </w:tcPr>
          <w:p w14:paraId="5170295B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性别</w:t>
            </w:r>
          </w:p>
        </w:tc>
        <w:tc>
          <w:tcPr>
            <w:tcW w:w="1567" w:type="dxa"/>
            <w:vAlign w:val="center"/>
          </w:tcPr>
          <w:p>
            <w:r>
              <w:t>男</w:t>
            </w:r>
          </w:p>
        </w:tc>
        <w:tc>
          <w:tcPr>
            <w:tcW w:w="2044" w:type="dxa"/>
            <w:vAlign w:val="center"/>
          </w:tcPr>
          <w:p w14:paraId="3F6D865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年龄</w:t>
            </w:r>
          </w:p>
        </w:tc>
        <w:tc>
          <w:tcPr>
            <w:tcW w:w="1567" w:type="dxa"/>
            <w:vAlign w:val="center"/>
          </w:tcPr>
          <w:p>
            <w:r>
              <w:t>63岁</w:t>
            </w:r>
          </w:p>
        </w:tc>
      </w:tr>
      <w:tr w14:paraId="6FC85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4EB39CDF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身高（cm）</w:t>
            </w:r>
          </w:p>
        </w:tc>
        <w:tc>
          <w:tcPr>
            <w:tcW w:w="1767" w:type="dxa"/>
            <w:gridSpan w:val="2"/>
            <w:vAlign w:val="center"/>
          </w:tcPr>
          <w:p>
            <w:r>
              <w:t>162.0</w:t>
            </w:r>
          </w:p>
        </w:tc>
        <w:tc>
          <w:tcPr>
            <w:tcW w:w="1811" w:type="dxa"/>
            <w:vAlign w:val="center"/>
          </w:tcPr>
          <w:p w14:paraId="0E599C3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体重（kg）</w:t>
            </w:r>
          </w:p>
        </w:tc>
        <w:tc>
          <w:tcPr>
            <w:tcW w:w="1567" w:type="dxa"/>
            <w:vAlign w:val="center"/>
          </w:tcPr>
          <w:p>
            <w:r>
              <w:t>55.0</w:t>
            </w:r>
          </w:p>
        </w:tc>
        <w:tc>
          <w:tcPr>
            <w:tcW w:w="2044" w:type="dxa"/>
            <w:vAlign w:val="center"/>
          </w:tcPr>
          <w:p w14:paraId="25102444">
            <w:pPr>
              <w:jc w:val="center"/>
              <w:rPr>
                <w:rFonts w:hint="default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体重指数（BMI）</w:t>
            </w:r>
          </w:p>
        </w:tc>
        <w:tc>
          <w:tcPr>
            <w:tcW w:w="1567" w:type="dxa"/>
            <w:vAlign w:val="center"/>
          </w:tcPr>
          <w:p>
            <w:r>
              <w:t>21.0</w:t>
            </w:r>
          </w:p>
        </w:tc>
      </w:tr>
      <w:tr w14:paraId="1D486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8" w:type="dxa"/>
            <w:gridSpan w:val="2"/>
            <w:vAlign w:val="center"/>
          </w:tcPr>
          <w:p w14:paraId="557E8D26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血清白蛋白（g/L）</w:t>
            </w:r>
          </w:p>
        </w:tc>
        <w:tc>
          <w:tcPr>
            <w:tcW w:w="2678" w:type="dxa"/>
            <w:gridSpan w:val="2"/>
            <w:vAlign w:val="center"/>
          </w:tcPr>
          <w:p w14:paraId="6D5E1496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1567" w:type="dxa"/>
            <w:vAlign w:val="center"/>
          </w:tcPr>
          <w:p w14:paraId="419A9B8B">
            <w:pPr>
              <w:jc w:val="center"/>
              <w:rPr>
                <w:rFonts w:hint="default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临床诊断</w:t>
            </w:r>
          </w:p>
        </w:tc>
        <w:tc>
          <w:tcPr>
            <w:tcW w:w="3611" w:type="dxa"/>
            <w:gridSpan w:val="2"/>
            <w:vAlign w:val="center"/>
          </w:tcPr>
          <w:p w14:paraId="371F890C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</w:tr>
    </w:tbl>
    <w:p w14:paraId="1866F6F3">
      <w:pPr>
        <w:jc w:val="center"/>
        <w:rPr>
          <w:rFonts w:eastAsia="华文宋体"/>
          <w:color w:val="000000"/>
          <w:sz w:val="22"/>
          <w:szCs w:val="24"/>
        </w:rPr>
      </w:pPr>
      <w:r>
        <w:rPr>
          <w:rFonts w:eastAsia="华文宋体"/>
          <w:bCs/>
          <w:color w:val="000000"/>
          <w:sz w:val="24"/>
          <w:szCs w:val="28"/>
        </w:rPr>
        <w:t xml:space="preserve"> 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"/>
        <w:gridCol w:w="5632"/>
        <w:gridCol w:w="822"/>
        <w:gridCol w:w="963"/>
        <w:gridCol w:w="963"/>
        <w:gridCol w:w="965"/>
      </w:tblGrid>
      <w:tr w14:paraId="7CE0B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6306" w:type="dxa"/>
            <w:gridSpan w:val="2"/>
            <w:vMerge w:val="restart"/>
            <w:noWrap/>
            <w:vAlign w:val="center"/>
          </w:tcPr>
          <w:p w14:paraId="766B036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评分项目</w:t>
            </w:r>
          </w:p>
        </w:tc>
        <w:tc>
          <w:tcPr>
            <w:tcW w:w="822" w:type="dxa"/>
            <w:vMerge w:val="restart"/>
            <w:noWrap/>
            <w:vAlign w:val="center"/>
          </w:tcPr>
          <w:p w14:paraId="581F683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分值</w:t>
            </w:r>
          </w:p>
        </w:tc>
        <w:tc>
          <w:tcPr>
            <w:tcW w:w="2891" w:type="dxa"/>
            <w:gridSpan w:val="3"/>
            <w:shd w:val="clear" w:color="auto" w:fill="auto"/>
            <w:noWrap/>
            <w:vAlign w:val="center"/>
          </w:tcPr>
          <w:p w14:paraId="0553076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  <w:t>评估结果</w:t>
            </w:r>
          </w:p>
        </w:tc>
      </w:tr>
      <w:tr w14:paraId="51822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6306" w:type="dxa"/>
            <w:gridSpan w:val="2"/>
            <w:vMerge w:val="continue"/>
            <w:noWrap/>
            <w:vAlign w:val="center"/>
          </w:tcPr>
          <w:p w14:paraId="1D35843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822" w:type="dxa"/>
            <w:vMerge w:val="continue"/>
            <w:noWrap/>
            <w:vAlign w:val="center"/>
          </w:tcPr>
          <w:p w14:paraId="0FA55B71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963" w:type="dxa"/>
            <w:shd w:val="clear" w:color="auto" w:fill="auto"/>
            <w:noWrap/>
            <w:vAlign w:val="center"/>
          </w:tcPr>
          <w:p w14:paraId="23D1E4B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1次</w:t>
            </w:r>
          </w:p>
        </w:tc>
        <w:tc>
          <w:tcPr>
            <w:tcW w:w="963" w:type="dxa"/>
            <w:shd w:val="clear" w:color="auto" w:fill="auto"/>
            <w:noWrap/>
            <w:vAlign w:val="center"/>
          </w:tcPr>
          <w:p w14:paraId="1CAC3A2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2次</w:t>
            </w:r>
          </w:p>
        </w:tc>
        <w:tc>
          <w:tcPr>
            <w:tcW w:w="965" w:type="dxa"/>
            <w:shd w:val="clear" w:color="auto" w:fill="auto"/>
            <w:noWrap/>
            <w:vAlign w:val="center"/>
          </w:tcPr>
          <w:p w14:paraId="16D798F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3次</w:t>
            </w:r>
          </w:p>
        </w:tc>
      </w:tr>
      <w:tr w14:paraId="597B1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61C651B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营</w:t>
            </w:r>
          </w:p>
          <w:p w14:paraId="3C829FC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养</w:t>
            </w:r>
          </w:p>
          <w:p w14:paraId="1D8E8B7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状</w:t>
            </w:r>
          </w:p>
          <w:p w14:paraId="469AB13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况</w:t>
            </w:r>
          </w:p>
        </w:tc>
        <w:tc>
          <w:tcPr>
            <w:tcW w:w="5632" w:type="dxa"/>
            <w:noWrap/>
            <w:vAlign w:val="center"/>
          </w:tcPr>
          <w:p w14:paraId="1B8B539C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正常营养状态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0B4AD9B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71541F3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6BA688C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143213F8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8089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0FB1902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68D0705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3个月内体重丢失大于5%；</w:t>
            </w:r>
          </w:p>
          <w:p w14:paraId="7EC85C50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或前1周的食物摄入为正常食物需求的50%~75%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40017B8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03B344B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t xml:space="preserve">  √</w:t>
            </w:r>
          </w:p>
        </w:tc>
        <w:tc>
          <w:tcPr>
            <w:tcW w:w="963" w:type="dxa"/>
            <w:noWrap/>
          </w:tcPr>
          <w:p w14:paraId="70F94AF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745D34B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89C0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3330D4D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7882A28E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2个月内体重丢失大于5%；</w:t>
            </w:r>
          </w:p>
          <w:p w14:paraId="0E3BB27D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或者体重指数在18.5~20.5并全身情况受损；</w:t>
            </w:r>
          </w:p>
          <w:p w14:paraId="493DFBB9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或前1周的食物摄入为正常食物需求的25%~50%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284FB0D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2分</w:t>
            </w:r>
          </w:p>
        </w:tc>
        <w:tc>
          <w:tcPr>
            <w:tcW w:w="963" w:type="dxa"/>
            <w:noWrap/>
          </w:tcPr>
          <w:p w14:paraId="4668D41E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298DA0E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6C1273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25693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58AF92B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61A6027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1个月内体重丢失大于5%（3个月内大于15%）；</w:t>
            </w:r>
          </w:p>
          <w:p w14:paraId="761828B3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或BMI&lt;18.5并全身情况受损；</w:t>
            </w:r>
          </w:p>
          <w:p w14:paraId="5E93FC8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或前1周的食物摄入为正常食物需求的0%~25%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5C49C6A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3分</w:t>
            </w:r>
          </w:p>
        </w:tc>
        <w:tc>
          <w:tcPr>
            <w:tcW w:w="963" w:type="dxa"/>
            <w:noWrap/>
          </w:tcPr>
          <w:p w14:paraId="31C40BD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CD93D5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AA7B80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B502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3B094728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疾</w:t>
            </w:r>
          </w:p>
          <w:p w14:paraId="2CAE91C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病</w:t>
            </w:r>
          </w:p>
          <w:p w14:paraId="1834B80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严</w:t>
            </w:r>
          </w:p>
          <w:p w14:paraId="1D16730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重</w:t>
            </w:r>
          </w:p>
          <w:p w14:paraId="18ADC5E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程</w:t>
            </w:r>
          </w:p>
          <w:p w14:paraId="4F1E156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度</w:t>
            </w:r>
          </w:p>
        </w:tc>
        <w:tc>
          <w:tcPr>
            <w:tcW w:w="5632" w:type="dxa"/>
            <w:noWrap/>
            <w:vAlign w:val="center"/>
          </w:tcPr>
          <w:p w14:paraId="3ACDB624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正常营养需求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4690141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5E4F088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t xml:space="preserve">  √</w:t>
            </w:r>
          </w:p>
        </w:tc>
        <w:tc>
          <w:tcPr>
            <w:tcW w:w="963" w:type="dxa"/>
            <w:noWrap/>
          </w:tcPr>
          <w:p w14:paraId="47DAE8C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D3ECB1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44EF2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103F692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7A374E6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髋骨折、慢性疾病有急性并发症；肝硬化、慢性阻塞性疾病、长期血液透析、糖尿病、恶性肿瘤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6D333F5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668BC52E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4DC6ACF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32C4638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287B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3050790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32504726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腹部大手术、卒中、重度肺炎、血液系统恶化肿瘤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7A31549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2分</w:t>
            </w:r>
          </w:p>
        </w:tc>
        <w:tc>
          <w:tcPr>
            <w:tcW w:w="963" w:type="dxa"/>
            <w:noWrap/>
          </w:tcPr>
          <w:p w14:paraId="7978457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40C95FA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14DC3D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3A642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2B73B35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2139C0C6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头部损伤、骨髓移植、重症监护的患者（APACHE＞10）分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532A951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3分</w:t>
            </w:r>
          </w:p>
        </w:tc>
        <w:tc>
          <w:tcPr>
            <w:tcW w:w="963" w:type="dxa"/>
            <w:noWrap/>
          </w:tcPr>
          <w:p w14:paraId="16FFBBD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2AA8D8D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38EFA8C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8CD7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7C237EB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年</w:t>
            </w:r>
          </w:p>
          <w:p w14:paraId="21EF105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龄</w:t>
            </w:r>
          </w:p>
        </w:tc>
        <w:tc>
          <w:tcPr>
            <w:tcW w:w="5632" w:type="dxa"/>
            <w:noWrap/>
            <w:vAlign w:val="center"/>
          </w:tcPr>
          <w:p w14:paraId="02AD8D9F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&lt;70岁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7D66F07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3ACC0AE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t xml:space="preserve">  √</w:t>
            </w:r>
          </w:p>
        </w:tc>
        <w:tc>
          <w:tcPr>
            <w:tcW w:w="963" w:type="dxa"/>
            <w:noWrap/>
          </w:tcPr>
          <w:p w14:paraId="10C2983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D04734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212B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674" w:type="dxa"/>
            <w:vMerge w:val="continue"/>
            <w:noWrap/>
          </w:tcPr>
          <w:p w14:paraId="25C79D8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0637F3EE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≥</w:t>
            </w: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70岁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67002AB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0FB4E49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84B2B9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E6A511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3A56A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6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4EE07B6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得分</w:t>
            </w:r>
          </w:p>
        </w:tc>
        <w:tc>
          <w:tcPr>
            <w:tcW w:w="822" w:type="dxa"/>
            <w:noWrap/>
            <w:vAlign w:val="center"/>
          </w:tcPr>
          <w:p w14:paraId="355045F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>
            <w:r>
              <w:t>1</w:t>
            </w:r>
          </w:p>
        </w:tc>
        <w:tc>
          <w:tcPr>
            <w:tcW w:w="963" w:type="dxa"/>
            <w:noWrap/>
          </w:tcPr>
          <w:p w14:paraId="382744D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7A5485B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  <w:tr w14:paraId="79DB9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040957E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筛查日期</w:t>
            </w:r>
          </w:p>
        </w:tc>
        <w:tc>
          <w:tcPr>
            <w:tcW w:w="822" w:type="dxa"/>
            <w:noWrap/>
            <w:vAlign w:val="center"/>
          </w:tcPr>
          <w:p w14:paraId="6995604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>
            <w:r>
              <w:t>2026-07-22</w:t>
            </w:r>
          </w:p>
        </w:tc>
        <w:tc>
          <w:tcPr>
            <w:tcW w:w="963" w:type="dxa"/>
            <w:noWrap/>
          </w:tcPr>
          <w:p w14:paraId="332260A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D50762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  <w:tr w14:paraId="2D897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07DD5B8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筛查医生签字</w:t>
            </w:r>
          </w:p>
        </w:tc>
        <w:tc>
          <w:tcPr>
            <w:tcW w:w="822" w:type="dxa"/>
            <w:noWrap/>
            <w:vAlign w:val="center"/>
          </w:tcPr>
          <w:p w14:paraId="52C8806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0EFECA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32E7D6F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51DBA8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</w:tbl>
    <w:p w14:paraId="552F9042">
      <w:pPr>
        <w:ind w:firstLine="840" w:firstLineChars="400"/>
        <w:rPr>
          <w:rFonts w:hint="default" w:ascii="Times New Roman" w:hAnsi="Times New Roman" w:eastAsia="宋体" w:cs="Times New Roman"/>
          <w:color w:val="000000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[注]分数</w:t>
      </w:r>
      <w:r>
        <w:rPr>
          <w:rFonts w:hint="eastAsia" w:ascii="宋体" w:hAnsi="宋体" w:eastAsia="宋体" w:cs="宋体"/>
          <w:color w:val="000000"/>
          <w:szCs w:val="24"/>
        </w:rPr>
        <w:t>≥</w:t>
      </w:r>
      <w:r>
        <w:rPr>
          <w:rFonts w:hint="default" w:ascii="Times New Roman" w:hAnsi="Times New Roman" w:eastAsia="宋体" w:cs="Times New Roman"/>
          <w:color w:val="000000"/>
          <w:szCs w:val="24"/>
        </w:rPr>
        <w:t>3：说明患者存在营养风险，需要营养治疗请通知营养科；</w:t>
      </w:r>
    </w:p>
    <w:p w14:paraId="50F370EF">
      <w:pPr>
        <w:ind w:firstLine="840" w:firstLineChars="400"/>
        <w:rPr>
          <w:rFonts w:hint="default" w:eastAsiaTheme="minorEastAsia"/>
          <w:kern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分数&lt;3：患者需要每周重测，如果患者安排有重大手术，需考虑预防性的营养治疗以避免联合风险状况。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4F296F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657C18"/>
    <w:rsid w:val="52BB5FDC"/>
    <w:rsid w:val="52E00CE4"/>
    <w:rsid w:val="532A27EE"/>
    <w:rsid w:val="54556311"/>
    <w:rsid w:val="54B43EE7"/>
    <w:rsid w:val="55A41C2D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2026-07-21T07:29:29Z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D29FDD62FE9D4312B8089939F316F43B_13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