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2061A">
      <w:pPr>
        <w:tabs>
          <w:tab w:val="left" w:pos="1795"/>
        </w:tabs>
        <w:jc w:val="center"/>
        <w:rPr>
          <w:rFonts w:hint="eastAsia" w:eastAsia="宋体"/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</w:rPr>
        <w:t>主观整体评估表</w:t>
      </w:r>
      <w:r>
        <w:rPr>
          <w:rFonts w:hint="eastAsia"/>
          <w:b/>
          <w:bCs/>
          <w:sz w:val="32"/>
          <w:szCs w:val="32"/>
          <w:lang w:eastAsia="zh-CN"/>
        </w:rPr>
        <w:t>（</w:t>
      </w:r>
      <w:bookmarkStart w:id="0" w:name="_GoBack"/>
      <w:r>
        <w:rPr>
          <w:b/>
          <w:bCs/>
          <w:sz w:val="32"/>
          <w:szCs w:val="32"/>
        </w:rPr>
        <w:t>SGA</w:t>
      </w:r>
      <w:bookmarkEnd w:id="0"/>
      <w:r>
        <w:rPr>
          <w:rFonts w:hint="eastAsia"/>
          <w:b/>
          <w:bCs/>
          <w:sz w:val="32"/>
          <w:szCs w:val="32"/>
          <w:lang w:eastAsia="zh-CN"/>
        </w:rPr>
        <w:t>）</w:t>
      </w:r>
    </w:p>
    <w:p w14:paraId="31F8FABF">
      <w:pPr>
        <w:tabs>
          <w:tab w:val="left" w:pos="1243"/>
          <w:tab w:val="center" w:pos="6269"/>
        </w:tabs>
        <w:ind w:firstLine="720" w:firstLineChars="300"/>
        <w:jc w:val="both"/>
        <w:rPr>
          <w:rFonts w:hint="default" w:eastAsia="华文宋体"/>
          <w:color w:val="000000"/>
          <w:sz w:val="22"/>
          <w:szCs w:val="24"/>
          <w:lang w:val="en-US"/>
        </w:rPr>
      </w:pPr>
      <w:r>
        <w:t>科室名称：____    姓名：林丽    病历号：____    床位：____    日期：2026-07-22</w:t>
      </w:r>
    </w:p>
    <w:p w14:paraId="7F5D755A">
      <w:pPr>
        <w:tabs>
          <w:tab w:val="left" w:pos="1795"/>
        </w:tabs>
        <w:rPr>
          <w:rFonts w:ascii="宋体" w:hAnsi="宋体" w:cs="宋体"/>
          <w:b/>
          <w:bCs/>
          <w:sz w:val="24"/>
          <w:szCs w:val="24"/>
          <w:u w:val="single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2637"/>
        <w:gridCol w:w="2525"/>
        <w:gridCol w:w="2550"/>
      </w:tblGrid>
      <w:tr w14:paraId="7591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  <w:vAlign w:val="center"/>
          </w:tcPr>
          <w:p w14:paraId="273AF0C3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项目</w:t>
            </w:r>
          </w:p>
        </w:tc>
        <w:tc>
          <w:tcPr>
            <w:tcW w:w="2637" w:type="dxa"/>
            <w:noWrap/>
            <w:vAlign w:val="center"/>
          </w:tcPr>
          <w:p w14:paraId="3F745091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SGA-A级</w:t>
            </w:r>
          </w:p>
          <w:p w14:paraId="5CAA98B1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（营养状况正常）</w:t>
            </w:r>
          </w:p>
        </w:tc>
        <w:tc>
          <w:tcPr>
            <w:tcW w:w="2525" w:type="dxa"/>
            <w:noWrap/>
            <w:vAlign w:val="center"/>
          </w:tcPr>
          <w:p w14:paraId="7A6744DE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SGA-B级</w:t>
            </w:r>
          </w:p>
          <w:p w14:paraId="33682188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（轻~中度营养不良）</w:t>
            </w:r>
          </w:p>
        </w:tc>
        <w:tc>
          <w:tcPr>
            <w:tcW w:w="2550" w:type="dxa"/>
            <w:noWrap/>
            <w:vAlign w:val="center"/>
          </w:tcPr>
          <w:p w14:paraId="35189240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SGA-C级</w:t>
            </w:r>
          </w:p>
          <w:p w14:paraId="30E09EBA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（重度营养不良）</w:t>
            </w:r>
          </w:p>
        </w:tc>
      </w:tr>
      <w:tr w14:paraId="49DA1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7" w:hRule="atLeast"/>
          <w:jc w:val="center"/>
        </w:trPr>
        <w:tc>
          <w:tcPr>
            <w:tcW w:w="2326" w:type="dxa"/>
            <w:noWrap/>
          </w:tcPr>
          <w:p w14:paraId="2216F075">
            <w:pPr>
              <w:tabs>
                <w:tab w:val="left" w:pos="1795"/>
              </w:tabs>
              <w:spacing w:line="34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1、体重下降</w:t>
            </w:r>
          </w:p>
        </w:tc>
        <w:tc>
          <w:tcPr>
            <w:tcW w:w="2637" w:type="dxa"/>
            <w:noWrap/>
          </w:tcPr>
          <w:p w14:paraId="2990A618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□近6个月内体重无下降；</w:t>
            </w:r>
          </w:p>
          <w:p w14:paraId="2D6B7C6A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或近6个月体重下降＞10％，但近1月内体重又恢复</w:t>
            </w:r>
          </w:p>
        </w:tc>
        <w:tc>
          <w:tcPr>
            <w:tcW w:w="2525" w:type="dxa"/>
            <w:noWrap/>
          </w:tcPr>
          <w:p w14:paraId="6039C8D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□近6个月内体重持续性下降达5％～10％</w:t>
            </w:r>
          </w:p>
        </w:tc>
        <w:tc>
          <w:tcPr>
            <w:tcW w:w="2550" w:type="dxa"/>
            <w:noWrap/>
          </w:tcPr>
          <w:p w14:paraId="50D5933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□近6个月体重下降＞10％</w:t>
            </w:r>
          </w:p>
        </w:tc>
      </w:tr>
      <w:tr w14:paraId="7B0A3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727A35D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2、饮食改变</w:t>
            </w:r>
          </w:p>
        </w:tc>
        <w:tc>
          <w:tcPr>
            <w:tcW w:w="2637" w:type="dxa"/>
            <w:noWrap/>
          </w:tcPr>
          <w:p w14:paraId="53665E02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□无或较少</w:t>
            </w:r>
          </w:p>
        </w:tc>
        <w:tc>
          <w:tcPr>
            <w:tcW w:w="2525" w:type="dxa"/>
            <w:noWrap/>
          </w:tcPr>
          <w:p w14:paraId="1A1A6DF5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☑摄食量减少；</w:t>
            </w:r>
          </w:p>
          <w:p w14:paraId="5CDBBAF3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或呈流质饮食</w:t>
            </w:r>
          </w:p>
        </w:tc>
        <w:tc>
          <w:tcPr>
            <w:tcW w:w="2550" w:type="dxa"/>
            <w:noWrap/>
          </w:tcPr>
          <w:p w14:paraId="07E72F68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□摄食严重减少；</w:t>
            </w:r>
          </w:p>
          <w:p w14:paraId="6F9344A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或呈饥饿状态</w:t>
            </w:r>
          </w:p>
        </w:tc>
      </w:tr>
      <w:tr w14:paraId="78CAC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</w:tcPr>
          <w:p w14:paraId="30D9312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3、胃肠道症状（恶心、呕吐、腹泻等）</w:t>
            </w:r>
          </w:p>
        </w:tc>
        <w:tc>
          <w:tcPr>
            <w:tcW w:w="2637" w:type="dxa"/>
            <w:noWrap/>
          </w:tcPr>
          <w:p w14:paraId="6ADAF1B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☑无消化道症状 </w:t>
            </w:r>
          </w:p>
        </w:tc>
        <w:tc>
          <w:tcPr>
            <w:tcW w:w="2525" w:type="dxa"/>
            <w:noWrap/>
          </w:tcPr>
          <w:p w14:paraId="213D364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□轻度消化道症状持续</w:t>
            </w:r>
          </w:p>
          <w:p w14:paraId="1DD8914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时间＜2周 </w:t>
            </w:r>
          </w:p>
        </w:tc>
        <w:tc>
          <w:tcPr>
            <w:tcW w:w="2550" w:type="dxa"/>
            <w:noWrap/>
          </w:tcPr>
          <w:p w14:paraId="09A576B3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□重度消化道症状持续</w:t>
            </w:r>
          </w:p>
          <w:p w14:paraId="388FF650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时间＞2 周</w:t>
            </w:r>
          </w:p>
        </w:tc>
      </w:tr>
      <w:tr w14:paraId="59F3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6" w:hRule="atLeast"/>
          <w:jc w:val="center"/>
        </w:trPr>
        <w:tc>
          <w:tcPr>
            <w:tcW w:w="2326" w:type="dxa"/>
            <w:noWrap/>
          </w:tcPr>
          <w:p w14:paraId="7CC544F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4、活动能力</w:t>
            </w:r>
          </w:p>
        </w:tc>
        <w:tc>
          <w:tcPr>
            <w:tcW w:w="2637" w:type="dxa"/>
            <w:noWrap/>
          </w:tcPr>
          <w:p w14:paraId="45F4FAC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□无限制</w:t>
            </w:r>
          </w:p>
        </w:tc>
        <w:tc>
          <w:tcPr>
            <w:tcW w:w="2525" w:type="dxa"/>
            <w:noWrap/>
          </w:tcPr>
          <w:p w14:paraId="30A50054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☑正常活动受限；</w:t>
            </w:r>
          </w:p>
          <w:p w14:paraId="712A52FE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或虽不能正常活动但卧床或坐椅时间不超过半天</w:t>
            </w:r>
          </w:p>
        </w:tc>
        <w:tc>
          <w:tcPr>
            <w:tcW w:w="2550" w:type="dxa"/>
            <w:noWrap/>
          </w:tcPr>
          <w:p w14:paraId="4043BB23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□活动明显受限，仅能卧床或坐椅子；</w:t>
            </w:r>
          </w:p>
          <w:p w14:paraId="79FE45BB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或大部分时间卧床，很少下床活动</w:t>
            </w:r>
          </w:p>
        </w:tc>
      </w:tr>
      <w:tr w14:paraId="7E73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657475F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5、应激反应</w:t>
            </w:r>
          </w:p>
        </w:tc>
        <w:tc>
          <w:tcPr>
            <w:tcW w:w="2637" w:type="dxa"/>
            <w:noWrap/>
          </w:tcPr>
          <w:p w14:paraId="689FFBDC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☑无发热</w:t>
            </w:r>
          </w:p>
        </w:tc>
        <w:tc>
          <w:tcPr>
            <w:tcW w:w="2525" w:type="dxa"/>
            <w:noWrap/>
          </w:tcPr>
          <w:p w14:paraId="1A67031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□近3天体温波动</w:t>
            </w:r>
          </w:p>
          <w:p w14:paraId="56A4241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在37℃～39℃之间</w:t>
            </w:r>
          </w:p>
        </w:tc>
        <w:tc>
          <w:tcPr>
            <w:tcW w:w="2550" w:type="dxa"/>
            <w:noWrap/>
          </w:tcPr>
          <w:p w14:paraId="6D83A17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□体温≥39℃持续3天以上</w:t>
            </w:r>
          </w:p>
        </w:tc>
      </w:tr>
      <w:tr w14:paraId="6240F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326" w:type="dxa"/>
            <w:noWrap/>
          </w:tcPr>
          <w:p w14:paraId="790B6BDA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6、肌肉萎缩 </w:t>
            </w:r>
          </w:p>
        </w:tc>
        <w:tc>
          <w:tcPr>
            <w:tcW w:w="2637" w:type="dxa"/>
            <w:noWrap/>
          </w:tcPr>
          <w:p w14:paraId="7D032789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7D6ABC9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3FBA270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45B69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326" w:type="dxa"/>
            <w:noWrap/>
          </w:tcPr>
          <w:p w14:paraId="01066010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7、皮下脂肪丢失（肱三头肌皮褶厚度）</w:t>
            </w:r>
          </w:p>
        </w:tc>
        <w:tc>
          <w:tcPr>
            <w:tcW w:w="2637" w:type="dxa"/>
            <w:noWrap/>
          </w:tcPr>
          <w:p w14:paraId="16ECF74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441D5DD6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48EEC82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78BE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2326" w:type="dxa"/>
            <w:noWrap/>
          </w:tcPr>
          <w:p w14:paraId="36B6852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8、踝部水肿 </w:t>
            </w:r>
          </w:p>
        </w:tc>
        <w:tc>
          <w:tcPr>
            <w:tcW w:w="2637" w:type="dxa"/>
            <w:noWrap/>
          </w:tcPr>
          <w:p w14:paraId="4C067FA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62A5140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53452FD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</w:tbl>
    <w:p w14:paraId="6FC28DEF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  <w:u w:val="single"/>
        </w:rPr>
      </w:pPr>
      <w:r>
        <w:rPr>
          <w:sz w:val="24"/>
          <w:szCs w:val="24"/>
        </w:rPr>
        <w:t>营养状况评估结果：</w:t>
      </w:r>
      <w:r>
        <w:rPr>
          <w:sz w:val="24"/>
          <w:szCs w:val="24"/>
          <w:u w:val="single"/>
        </w:rPr>
        <w:t xml:space="preserve">         </w:t>
      </w:r>
    </w:p>
    <w:p w14:paraId="02F2D746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（上述8项中，至少5项属于C或B级者，才可分别判定为重或中度营养不良）</w:t>
      </w:r>
    </w:p>
    <w:p w14:paraId="6304C794">
      <w:pPr>
        <w:tabs>
          <w:tab w:val="left" w:pos="1795"/>
        </w:tabs>
        <w:spacing w:line="360" w:lineRule="auto"/>
        <w:ind w:firstLine="7440" w:firstLineChars="3100"/>
        <w:rPr>
          <w:sz w:val="24"/>
          <w:szCs w:val="24"/>
          <w:u w:val="single"/>
        </w:rPr>
      </w:pPr>
      <w:r>
        <w:rPr>
          <w:sz w:val="24"/>
          <w:szCs w:val="24"/>
        </w:rPr>
        <w:t>评估人</w:t>
      </w:r>
      <w:r>
        <w:rPr>
          <w:sz w:val="24"/>
          <w:szCs w:val="24"/>
          <w:u w:val="single"/>
        </w:rPr>
        <w:t xml:space="preserve">            </w:t>
      </w:r>
    </w:p>
    <w:p w14:paraId="50F370EF">
      <w:pPr>
        <w:tabs>
          <w:tab w:val="left" w:pos="1795"/>
        </w:tabs>
        <w:spacing w:line="360" w:lineRule="auto"/>
        <w:ind w:firstLine="7440" w:firstLineChars="3100"/>
        <w:rPr>
          <w:rFonts w:hint="default" w:ascii="宋体" w:hAnsi="宋体" w:cs="宋体"/>
          <w:sz w:val="24"/>
          <w:szCs w:val="24"/>
          <w:u w:val="single"/>
          <w:lang w:val="en-US" w:eastAsia="zh-CN"/>
        </w:rPr>
      </w:pPr>
      <w:r>
        <w:rPr>
          <w:sz w:val="24"/>
          <w:szCs w:val="24"/>
        </w:rPr>
        <w:t>评估时间</w:t>
      </w:r>
      <w:r>
        <w:rPr>
          <w:sz w:val="24"/>
          <w:szCs w:val="24"/>
          <w:u w:val="single"/>
        </w:rPr>
        <w:t xml:space="preserve">          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1014AE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1F03E3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4FD74E04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6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2026-07-21T07:32:05Z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573A6FF79EB440E7800F59AF80AF9C0A_13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