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0F61F">
      <w:pPr>
        <w:spacing w:beforeLines="100" w:line="40" w:lineRule="atLeast"/>
        <w:jc w:val="center"/>
        <w:rPr>
          <w:rFonts w:eastAsia="华文宋体"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营养风险筛查表（NRS-2002</w:t>
      </w:r>
      <w:r>
        <w:rPr>
          <w:rFonts w:hint="eastAsia"/>
          <w:b/>
          <w:bCs/>
          <w:color w:val="000000"/>
          <w:sz w:val="32"/>
          <w:szCs w:val="32"/>
          <w:lang w:val="en-US" w:eastAsia="zh-CN"/>
        </w:rPr>
        <w:t xml:space="preserve"> 评估表</w:t>
      </w:r>
      <w:r>
        <w:rPr>
          <w:b/>
          <w:bCs/>
          <w:color w:val="000000"/>
          <w:sz w:val="32"/>
          <w:szCs w:val="32"/>
        </w:rPr>
        <w:t>）</w:t>
      </w:r>
    </w:p>
    <w:p w14:paraId="1552466E">
      <w:pPr>
        <w:jc w:val="center"/>
        <w:rPr>
          <w:rFonts w:eastAsia="华文宋体"/>
          <w:bCs/>
          <w:color w:val="000000"/>
          <w:sz w:val="24"/>
          <w:szCs w:val="28"/>
        </w:rPr>
      </w:pPr>
    </w:p>
    <w:p w14:paraId="73DDCDE1">
      <w:pPr>
        <w:jc w:val="center"/>
        <w:rPr>
          <w:rFonts w:hint="eastAsia" w:eastAsia="华文宋体"/>
          <w:bCs/>
          <w:color w:val="000000"/>
          <w:sz w:val="24"/>
          <w:szCs w:val="28"/>
          <w:lang w:val="en-US" w:eastAsia="zh-CN"/>
        </w:rPr>
      </w:pPr>
      <w:r>
        <w:rPr>
          <w:rFonts w:hint="eastAsia" w:eastAsia="华文宋体"/>
          <w:bCs/>
          <w:color w:val="000000"/>
          <w:sz w:val="28"/>
          <w:szCs w:val="32"/>
          <w:lang w:val="en-US" w:eastAsia="zh-CN"/>
        </w:rPr>
        <w:t>患者资料</w:t>
      </w:r>
    </w:p>
    <w:tbl>
      <w:tblPr>
        <w:tblStyle w:val="8"/>
        <w:tblW w:w="0" w:type="auto"/>
        <w:tblInd w:w="7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886"/>
        <w:gridCol w:w="852"/>
        <w:gridCol w:w="1795"/>
        <w:gridCol w:w="1546"/>
        <w:gridCol w:w="2027"/>
        <w:gridCol w:w="1542"/>
      </w:tblGrid>
      <w:tr w14:paraId="18E69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359E2EE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病区</w:t>
            </w:r>
          </w:p>
        </w:tc>
        <w:tc>
          <w:tcPr>
            <w:tcW w:w="1767" w:type="dxa"/>
            <w:gridSpan w:val="2"/>
            <w:vAlign w:val="center"/>
          </w:tcPr>
          <w:p w14:paraId="6ABA1C59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811" w:type="dxa"/>
            <w:vAlign w:val="center"/>
          </w:tcPr>
          <w:p w14:paraId="53108B70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床号</w:t>
            </w:r>
          </w:p>
        </w:tc>
        <w:tc>
          <w:tcPr>
            <w:tcW w:w="1567" w:type="dxa"/>
            <w:vAlign w:val="center"/>
          </w:tcPr>
          <w:p w14:paraId="2BC88943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5C8E0902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住院号</w:t>
            </w:r>
          </w:p>
        </w:tc>
        <w:tc>
          <w:tcPr>
            <w:tcW w:w="1567" w:type="dxa"/>
            <w:vAlign w:val="center"/>
          </w:tcPr>
          <w:p w14:paraId="4DC96C32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  <w:tr w14:paraId="14BFF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025F8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1767" w:type="dxa"/>
            <w:gridSpan w:val="2"/>
            <w:vAlign w:val="center"/>
          </w:tcPr>
          <w:p>
            <w:r>
              <w:t>李玲</w:t>
            </w:r>
          </w:p>
        </w:tc>
        <w:tc>
          <w:tcPr>
            <w:tcW w:w="1811" w:type="dxa"/>
            <w:vAlign w:val="center"/>
          </w:tcPr>
          <w:p w14:paraId="5170295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性别</w:t>
            </w:r>
          </w:p>
        </w:tc>
        <w:tc>
          <w:tcPr>
            <w:tcW w:w="1567" w:type="dxa"/>
            <w:vAlign w:val="center"/>
          </w:tcPr>
          <w:p>
            <w:r>
              <w:t>女</w:t>
            </w:r>
          </w:p>
        </w:tc>
        <w:tc>
          <w:tcPr>
            <w:tcW w:w="2044" w:type="dxa"/>
            <w:vAlign w:val="center"/>
          </w:tcPr>
          <w:p w14:paraId="3F6D865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年龄</w:t>
            </w:r>
          </w:p>
        </w:tc>
        <w:tc>
          <w:tcPr>
            <w:tcW w:w="1567" w:type="dxa"/>
            <w:vAlign w:val="center"/>
          </w:tcPr>
          <w:p>
            <w:r>
              <w:t>76岁</w:t>
            </w:r>
          </w:p>
        </w:tc>
      </w:tr>
      <w:tr w14:paraId="6FC85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4EB39CDF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身高（cm）</w:t>
            </w:r>
          </w:p>
        </w:tc>
        <w:tc>
          <w:tcPr>
            <w:tcW w:w="1767" w:type="dxa"/>
            <w:gridSpan w:val="2"/>
            <w:vAlign w:val="center"/>
          </w:tcPr>
          <w:p>
            <w:r>
              <w:t>165.0</w:t>
            </w:r>
          </w:p>
        </w:tc>
        <w:tc>
          <w:tcPr>
            <w:tcW w:w="1811" w:type="dxa"/>
            <w:vAlign w:val="center"/>
          </w:tcPr>
          <w:p w14:paraId="0E599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体重（kg）</w:t>
            </w:r>
          </w:p>
        </w:tc>
        <w:tc>
          <w:tcPr>
            <w:tcW w:w="1567" w:type="dxa"/>
            <w:vAlign w:val="center"/>
          </w:tcPr>
          <w:p>
            <w:r>
              <w:t>55.0</w:t>
            </w:r>
          </w:p>
        </w:tc>
        <w:tc>
          <w:tcPr>
            <w:tcW w:w="2044" w:type="dxa"/>
            <w:vAlign w:val="center"/>
          </w:tcPr>
          <w:p w14:paraId="25102444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体重指数（BMI）</w:t>
            </w:r>
          </w:p>
        </w:tc>
        <w:tc>
          <w:tcPr>
            <w:tcW w:w="1567" w:type="dxa"/>
            <w:vAlign w:val="center"/>
          </w:tcPr>
          <w:p>
            <w:r>
              <w:t>20.2</w:t>
            </w:r>
          </w:p>
        </w:tc>
      </w:tr>
      <w:tr w14:paraId="1D486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8" w:type="dxa"/>
            <w:gridSpan w:val="2"/>
            <w:vAlign w:val="center"/>
          </w:tcPr>
          <w:p w14:paraId="557E8D2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血清白蛋白（g/L）</w:t>
            </w:r>
          </w:p>
        </w:tc>
        <w:tc>
          <w:tcPr>
            <w:tcW w:w="2678" w:type="dxa"/>
            <w:gridSpan w:val="2"/>
            <w:vAlign w:val="center"/>
          </w:tcPr>
          <w:p w14:paraId="6D5E149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567" w:type="dxa"/>
            <w:vAlign w:val="center"/>
          </w:tcPr>
          <w:p w14:paraId="419A9B8B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临床诊断</w:t>
            </w:r>
          </w:p>
        </w:tc>
        <w:tc>
          <w:tcPr>
            <w:tcW w:w="3611" w:type="dxa"/>
            <w:gridSpan w:val="2"/>
            <w:vAlign w:val="center"/>
          </w:tcPr>
          <w:p w14:paraId="371F890C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</w:tbl>
    <w:p w14:paraId="1866F6F3">
      <w:pPr>
        <w:jc w:val="center"/>
        <w:rPr>
          <w:rFonts w:eastAsia="华文宋体"/>
          <w:color w:val="000000"/>
          <w:sz w:val="22"/>
          <w:szCs w:val="24"/>
        </w:rPr>
      </w:pPr>
      <w:r>
        <w:rPr>
          <w:rFonts w:eastAsia="华文宋体"/>
          <w:bCs/>
          <w:color w:val="000000"/>
          <w:sz w:val="24"/>
          <w:szCs w:val="28"/>
        </w:rPr>
        <w:t xml:space="preserve"> 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5632"/>
        <w:gridCol w:w="822"/>
        <w:gridCol w:w="963"/>
        <w:gridCol w:w="963"/>
        <w:gridCol w:w="965"/>
      </w:tblGrid>
      <w:tr w14:paraId="7CE0B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restart"/>
            <w:noWrap/>
            <w:vAlign w:val="center"/>
          </w:tcPr>
          <w:p w14:paraId="766B03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评分项目</w:t>
            </w:r>
          </w:p>
        </w:tc>
        <w:tc>
          <w:tcPr>
            <w:tcW w:w="822" w:type="dxa"/>
            <w:vMerge w:val="restart"/>
            <w:noWrap/>
            <w:vAlign w:val="center"/>
          </w:tcPr>
          <w:p w14:paraId="581F68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分值</w:t>
            </w:r>
          </w:p>
        </w:tc>
        <w:tc>
          <w:tcPr>
            <w:tcW w:w="2891" w:type="dxa"/>
            <w:gridSpan w:val="3"/>
            <w:shd w:val="clear" w:color="auto" w:fill="auto"/>
            <w:noWrap/>
            <w:vAlign w:val="center"/>
          </w:tcPr>
          <w:p w14:paraId="055307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  <w:t>评估结果</w:t>
            </w:r>
          </w:p>
        </w:tc>
      </w:tr>
      <w:tr w14:paraId="51822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continue"/>
            <w:noWrap/>
            <w:vAlign w:val="center"/>
          </w:tcPr>
          <w:p w14:paraId="1D35843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22" w:type="dxa"/>
            <w:vMerge w:val="continue"/>
            <w:noWrap/>
            <w:vAlign w:val="center"/>
          </w:tcPr>
          <w:p w14:paraId="0FA55B71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23D1E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1次</w:t>
            </w: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1CAC3A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2次</w:t>
            </w:r>
          </w:p>
        </w:tc>
        <w:tc>
          <w:tcPr>
            <w:tcW w:w="965" w:type="dxa"/>
            <w:shd w:val="clear" w:color="auto" w:fill="auto"/>
            <w:noWrap/>
            <w:vAlign w:val="center"/>
          </w:tcPr>
          <w:p w14:paraId="16D798F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3次</w:t>
            </w:r>
          </w:p>
        </w:tc>
      </w:tr>
      <w:tr w14:paraId="597B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61C651B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营</w:t>
            </w:r>
          </w:p>
          <w:p w14:paraId="3C829FC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养</w:t>
            </w:r>
          </w:p>
          <w:p w14:paraId="1D8E8B7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状</w:t>
            </w:r>
          </w:p>
          <w:p w14:paraId="469AB13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况</w:t>
            </w:r>
          </w:p>
        </w:tc>
        <w:tc>
          <w:tcPr>
            <w:tcW w:w="5632" w:type="dxa"/>
            <w:noWrap/>
            <w:vAlign w:val="center"/>
          </w:tcPr>
          <w:p w14:paraId="1B8B539C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正常营养状态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0B4AD9B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71541F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6BA688C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143213F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089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0FB190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8D0705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3个月内体重丢失大于5%；</w:t>
            </w:r>
          </w:p>
          <w:p w14:paraId="7EC85C50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或前1周的食物摄入为正常食物需求的50%~75%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0017B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3B344B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0F94AF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45D3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9C0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330D4D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882A28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2个月内体重丢失大于5%；</w:t>
            </w:r>
          </w:p>
          <w:p w14:paraId="0E3BB27D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或者体重指数在18.5~20.5并全身情况受损；</w:t>
            </w:r>
          </w:p>
          <w:p w14:paraId="493DFBB9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或前1周的食物摄入为正常食物需求的25%~50%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284FB0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4668D41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298DA0E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6C127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25693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58AF92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1A6027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1个月内体重丢失大于5%（3个月内大于15%）；</w:t>
            </w:r>
          </w:p>
          <w:p w14:paraId="761828B3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或BMI&lt;18.5并全身情况受损；</w:t>
            </w:r>
          </w:p>
          <w:p w14:paraId="5E93FC8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或前1周的食物摄入为正常食物需求的0%~25%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C49C6A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31C40B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7CD93D5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AA7B80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B50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3B09472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疾</w:t>
            </w:r>
          </w:p>
          <w:p w14:paraId="2CAE91C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病</w:t>
            </w:r>
          </w:p>
          <w:p w14:paraId="1834B80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严</w:t>
            </w:r>
          </w:p>
          <w:p w14:paraId="1D16730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重</w:t>
            </w:r>
          </w:p>
          <w:p w14:paraId="18ADC5E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程</w:t>
            </w:r>
          </w:p>
          <w:p w14:paraId="4F1E156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度</w:t>
            </w:r>
          </w:p>
        </w:tc>
        <w:tc>
          <w:tcPr>
            <w:tcW w:w="5632" w:type="dxa"/>
            <w:noWrap/>
            <w:vAlign w:val="center"/>
          </w:tcPr>
          <w:p w14:paraId="3ACDB624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正常营养需求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690141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5E4F08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7DAE8C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D3ECB1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44EF2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103F692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A374E6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髋骨折、慢性疾病有急性并发症；肝硬化、慢性阻塞性疾病、长期血液透析、糖尿病、恶性肿瘤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D333F5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668BC52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DC6ACF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2C4638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87B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050790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3250472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腹部大手术、卒中、重度肺炎、血液系统恶化肿瘤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A31549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7978457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40C95FA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14DC3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642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2B73B35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2139C0C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头部损伤、骨髓移植、重症监护的患者（APACHE＞10）分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32A951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16FFBBD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2AA8D8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8EFA8C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8CD7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7C237EB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年</w:t>
            </w:r>
          </w:p>
          <w:p w14:paraId="21EF105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龄</w:t>
            </w:r>
          </w:p>
        </w:tc>
        <w:tc>
          <w:tcPr>
            <w:tcW w:w="5632" w:type="dxa"/>
            <w:noWrap/>
            <w:vAlign w:val="center"/>
          </w:tcPr>
          <w:p w14:paraId="02AD8D9F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&lt;70岁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D66F07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3ACC0AE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10C298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04734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12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674" w:type="dxa"/>
            <w:vMerge w:val="continue"/>
            <w:noWrap/>
          </w:tcPr>
          <w:p w14:paraId="25C79D8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0637F3E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≥</w:t>
            </w: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7002AB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FB4E49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784B2B9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E6A511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56A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6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4EE07B6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得分</w:t>
            </w:r>
          </w:p>
        </w:tc>
        <w:tc>
          <w:tcPr>
            <w:tcW w:w="822" w:type="dxa"/>
            <w:noWrap/>
            <w:vAlign w:val="center"/>
          </w:tcPr>
          <w:p w14:paraId="355045F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>
            <w:r>
              <w:t>6</w:t>
            </w:r>
          </w:p>
        </w:tc>
        <w:tc>
          <w:tcPr>
            <w:tcW w:w="963" w:type="dxa"/>
            <w:noWrap/>
          </w:tcPr>
          <w:p w14:paraId="382744D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A5485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79DB9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40957E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822" w:type="dxa"/>
            <w:noWrap/>
            <w:vAlign w:val="center"/>
          </w:tcPr>
          <w:p w14:paraId="6995604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>
            <w:r>
              <w:t>2026-07-23</w:t>
            </w:r>
          </w:p>
        </w:tc>
        <w:tc>
          <w:tcPr>
            <w:tcW w:w="963" w:type="dxa"/>
            <w:noWrap/>
          </w:tcPr>
          <w:p w14:paraId="332260A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50762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2D897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7DD5B8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822" w:type="dxa"/>
            <w:noWrap/>
            <w:vAlign w:val="center"/>
          </w:tcPr>
          <w:p w14:paraId="52C8806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0EFECA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32E7D6F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51DBA8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</w:tbl>
    <w:p w14:paraId="552F9042">
      <w:pPr>
        <w:ind w:firstLine="840" w:firstLineChars="400"/>
        <w:rPr>
          <w:rFonts w:hint="default" w:ascii="Times New Roman" w:hAnsi="Times New Roman" w:eastAsia="宋体" w:cs="Times New Roman"/>
          <w:color w:val="000000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[注]分数</w:t>
      </w:r>
      <w:r>
        <w:rPr>
          <w:rFonts w:hint="eastAsia" w:ascii="宋体" w:hAnsi="宋体" w:eastAsia="宋体" w:cs="宋体"/>
          <w:color w:val="000000"/>
          <w:szCs w:val="24"/>
        </w:rPr>
        <w:t>≥</w:t>
      </w:r>
      <w:r>
        <w:rPr>
          <w:rFonts w:hint="default" w:ascii="Times New Roman" w:hAnsi="Times New Roman" w:eastAsia="宋体" w:cs="Times New Roman"/>
          <w:color w:val="000000"/>
          <w:szCs w:val="24"/>
        </w:rPr>
        <w:t>3：说明患者存在营养风险，需要营养治疗请通知营养科；</w:t>
      </w:r>
    </w:p>
    <w:p w14:paraId="50F370EF">
      <w:pPr>
        <w:ind w:firstLine="840" w:firstLineChars="400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分数&lt;3：患者需要每周重测，如果患者安排有重大手术，需考虑预防性的营养治疗以避免联合风险状况。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4F296F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41C2D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2026-07-21T07:29:29Z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D29FDD62FE9D4312B8089939F316F43B_13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