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Requisitos do Sistema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Unilibras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pgSz w:h="16838" w:w="11906" w:orient="portrait"/>
          <w:pgMar w:bottom="1418" w:top="1418" w:left="1418" w:right="1418" w:header="680" w:footer="68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75"/>
        <w:gridCol w:w="990"/>
        <w:gridCol w:w="4530"/>
        <w:gridCol w:w="1920"/>
        <w:tblGridChange w:id="0">
          <w:tblGrid>
            <w:gridCol w:w="1275"/>
            <w:gridCol w:w="990"/>
            <w:gridCol w:w="453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03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Inserção de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17/03/2023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Reajuste de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left" w:leader="none" w:pos="567"/>
              <w:tab w:val="right" w:leader="none" w:pos="9060"/>
              <w:tab w:val="left" w:leader="none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Convenções, termos e abreviações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left" w:leader="none" w:pos="567"/>
              <w:tab w:val="right" w:leader="none" w:pos="9060"/>
              <w:tab w:val="left" w:leader="none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left" w:leader="none" w:pos="567"/>
              <w:tab w:val="right" w:leader="none" w:pos="9060"/>
              <w:tab w:val="left" w:leader="none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 (CASOS DE USO)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Glossário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[RF001] </w:t>
            </w:r>
          </w:hyperlink>
          <w:hyperlink w:anchor="_32hioqz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Selecionar categoria</w:t>
            </w:r>
          </w:hyperlink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[RF002] </w:t>
            </w:r>
          </w:hyperlink>
          <w:hyperlink w:anchor="_1hmsyys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Selecionar tradução</w:t>
            </w:r>
          </w:hyperlink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/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[RF003] </w:t>
            </w:r>
          </w:hyperlink>
          <w:hyperlink w:anchor="_3rdcrjn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Realizar atendimento</w:t>
            </w:r>
          </w:hyperlink>
          <w:hyperlink w:anchor="_3rdcrjn">
            <w:r w:rsidDel="00000000" w:rsidR="00000000" w:rsidRPr="00000000">
              <w:rPr>
                <w:rtl w:val="0"/>
              </w:rPr>
              <w:t xml:space="preserve"> </w:t>
            </w:r>
          </w:hyperlink>
          <w:hyperlink w:anchor="_3rdcrjn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                                                                                             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60"/>
            </w:tabs>
            <w:ind w:left="480" w:firstLine="0"/>
            <w:rPr/>
          </w:pPr>
          <w:hyperlink w:anchor="_3rdcrjn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[RF004] Ferramenta de tradução simultânea </w:t>
            </w:r>
          </w:hyperlink>
          <w:r w:rsidDel="00000000" w:rsidR="00000000" w:rsidRPr="00000000">
            <w:rPr>
              <w:rtl w:val="0"/>
            </w:rPr>
            <w:t xml:space="preserve">                                                                               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 </w:t>
          </w:r>
          <w:hyperlink w:anchor="_26in1rg"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[RF001] Visualizar Componente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[RF002] </w:t>
            </w:r>
          </w:hyperlink>
          <w:hyperlink w:anchor="_35nkun2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Realizar tradução simultânea 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6"/>
              <w:tab w:val="left" w:leader="none" w:pos="567"/>
              <w:tab w:val="right" w:leader="none" w:pos="9060"/>
              <w:tab w:val="left" w:leader="none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</w:r>
          <w:r w:rsidDel="00000000" w:rsidR="00000000" w:rsidRPr="00000000">
            <w:fldChar w:fldCharType="end"/>
          </w:r>
          <w:hyperlink w:anchor="_1ksv4uv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[NF001] Usabilidade</w:t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[NF002] Desempenho</w:t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[NF003] Hardware e Software</w:t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vertAlign w:val="baseline"/>
        </w:rPr>
        <w:sectPr>
          <w:headerReference r:id="rId7" w:type="default"/>
          <w:footerReference r:id="rId8" w:type="default"/>
          <w:type w:val="nextPage"/>
          <w:pgSz w:h="16838" w:w="11906" w:orient="portrait"/>
          <w:pgMar w:bottom="1418" w:top="1418" w:left="1418" w:right="1418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C">
      <w:pPr>
        <w:jc w:val="both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Este documento especifica os requisitos do sistema </w:t>
      </w:r>
      <w:r w:rsidDel="00000000" w:rsidR="00000000" w:rsidRPr="00000000">
        <w:rPr>
          <w:i w:val="1"/>
          <w:vertAlign w:val="baseline"/>
          <w:rtl w:val="0"/>
        </w:rPr>
        <w:t xml:space="preserve">Fast System Support</w:t>
      </w:r>
      <w:r w:rsidDel="00000000" w:rsidR="00000000" w:rsidRPr="00000000">
        <w:rPr>
          <w:vertAlign w:val="baseline"/>
          <w:rtl w:val="0"/>
        </w:rPr>
        <w:t xml:space="preserve">, através de casos de uso, fornecendo aos desenvolvedores e </w:t>
      </w:r>
      <w:r w:rsidDel="00000000" w:rsidR="00000000" w:rsidRPr="00000000">
        <w:rPr>
          <w:rtl w:val="0"/>
        </w:rPr>
        <w:t xml:space="preserve">clientes</w:t>
      </w:r>
      <w:r w:rsidDel="00000000" w:rsidR="00000000" w:rsidRPr="00000000">
        <w:rPr>
          <w:vertAlign w:val="baseline"/>
          <w:rtl w:val="0"/>
        </w:rPr>
        <w:t xml:space="preserve"> as infor</w:t>
      </w:r>
      <w:r w:rsidDel="00000000" w:rsidR="00000000" w:rsidRPr="00000000">
        <w:rPr>
          <w:rtl w:val="0"/>
        </w:rPr>
        <w:t xml:space="preserve">mações necessárias para o projeto e implementação, assim como para a realização dos testes e homologação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 do documento</w:t>
      </w:r>
    </w:p>
    <w:p w:rsidR="00000000" w:rsidDel="00000000" w:rsidP="00000000" w:rsidRDefault="00000000" w:rsidRPr="00000000" w14:paraId="0000002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2 – Descrição geral do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apresenta uma visão geral do sistema, caracterizando qual é o seu escopo e descrevendo seus usuários.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3 – Requisitos funcionais (casos de uso)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especifica todos os casos de uso do sistema, descrevendo os fluxos de eventos, prioridades, atores, entradas e saídas de cada caso de uso a ser implementado.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4 – Requisitos não-funcionais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especifica todos os requisitos não funcionais do 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3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3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FSS - </w:t>
      </w:r>
      <w:r w:rsidDel="00000000" w:rsidR="00000000" w:rsidRPr="00000000">
        <w:rPr>
          <w:i w:val="1"/>
          <w:vertAlign w:val="baseline"/>
          <w:rtl w:val="0"/>
        </w:rPr>
        <w:t xml:space="preserve">Fast System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Frame – É um elemento que permite exibir o conteúdo extra dentro de uma página.</w:t>
      </w:r>
    </w:p>
    <w:p w:rsidR="00000000" w:rsidDel="00000000" w:rsidP="00000000" w:rsidRDefault="00000000" w:rsidRPr="00000000" w14:paraId="00000037">
      <w:pPr>
        <w:jc w:val="both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</w:t>
      </w:r>
    </w:p>
    <w:p w:rsidR="00000000" w:rsidDel="00000000" w:rsidP="00000000" w:rsidRDefault="00000000" w:rsidRPr="00000000" w14:paraId="0000003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convenção, a referência a requisitos é feita através do nome da subseção onde eles estão descritos, seguidos do identificador do requisito, de acordo com a especificação a seguir:</w:t>
      </w:r>
    </w:p>
    <w:p w:rsidR="00000000" w:rsidDel="00000000" w:rsidP="00000000" w:rsidRDefault="00000000" w:rsidRPr="00000000" w14:paraId="0000003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</w:t>
      </w:r>
      <w:r w:rsidDel="00000000" w:rsidR="00000000" w:rsidRPr="00000000">
        <w:rPr>
          <w:i w:val="1"/>
          <w:vertAlign w:val="baseline"/>
          <w:rtl w:val="0"/>
        </w:rPr>
        <w:t xml:space="preserve">nome da subseção. identificador do requisito</w:t>
      </w:r>
      <w:r w:rsidDel="00000000" w:rsidR="00000000" w:rsidRPr="00000000">
        <w:rPr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exemplo, o requisito funcional [Recuperação de dados.RF016] deve estar descrito em uma subseção chamada “Recuperação de dados”, em um bloco identificado pelo número [RF016]. Já o requisito não-funcional </w:t>
      </w:r>
      <w:r w:rsidDel="00000000" w:rsidR="00000000" w:rsidRPr="00000000">
        <w:rPr>
          <w:rtl w:val="0"/>
        </w:rPr>
        <w:t xml:space="preserve">[Confiabilidade.NF 008]</w:t>
      </w:r>
      <w:r w:rsidDel="00000000" w:rsidR="00000000" w:rsidRPr="00000000">
        <w:rPr>
          <w:vertAlign w:val="baseline"/>
          <w:rtl w:val="0"/>
        </w:rPr>
        <w:t xml:space="preserve"> deve estar descrito na seção de requisitos não-funcionais de Confiabilidade, em um bloco identificado por [NF008]. </w:t>
      </w:r>
    </w:p>
    <w:p w:rsidR="00000000" w:rsidDel="00000000" w:rsidP="00000000" w:rsidRDefault="00000000" w:rsidRPr="00000000" w14:paraId="0000003C">
      <w:pPr>
        <w:jc w:val="both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Os requisitos devem ser identificados com um identificador único. A numeração inicia com o identificador [RF001] ou [NF001] e prossegue sendo incrementada à medida que forem surgindo novos requisitos.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3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estabelecer a prioridade dos requisitos, na seção 4, foram adotadas as denominações “essencial”, “importante” e “desejável”.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44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Nos dias de hoje, com um constante e quase instantâneo acesso a informação,algumas pessoas praticamentes da LIBRAS (tanto surdos quanto ouvintes da modalidade) necessitam consultar determinadas sinalizações para tirar dúvidas, porém a depender da região, essa sinalização pode variar, e o sinal mostrado pode não ser aquele que prevalece na sua região.</w:t>
      </w:r>
    </w:p>
    <w:p w:rsidR="00000000" w:rsidDel="00000000" w:rsidP="00000000" w:rsidRDefault="00000000" w:rsidRPr="00000000" w14:paraId="00000045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Nesta temática, um projeto está sendo desenvolvido para funcionar como uma ferramenta, onde nela estão indicadas sinalizações da LIBRAS (trazendo sinalizações que são específicas da região pernambucana) e como fazê-las, com o intuito de sanar as dúvidas de maneira fácil e rápida, por meio de um aplicativo acessível para download.</w:t>
      </w:r>
    </w:p>
    <w:p w:rsidR="00000000" w:rsidDel="00000000" w:rsidP="00000000" w:rsidRDefault="00000000" w:rsidRPr="00000000" w14:paraId="00000047">
      <w:pPr>
        <w:jc w:val="both"/>
        <w:rPr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Selecionar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 </w:t>
      </w:r>
      <w:r w:rsidDel="00000000" w:rsidR="00000000" w:rsidRPr="00000000">
        <w:rPr>
          <w:vertAlign w:val="baseline"/>
          <w:rtl w:val="0"/>
        </w:rPr>
        <w:t xml:space="preserve">Este caso de uso permite ao sistema disponibilizar </w:t>
      </w:r>
      <w:r w:rsidDel="00000000" w:rsidR="00000000" w:rsidRPr="00000000">
        <w:rPr>
          <w:rtl w:val="0"/>
        </w:rPr>
        <w:t xml:space="preserve">categorias a fim de facilitar o acesso do usuário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tl w:val="0"/>
        </w:rPr>
      </w:r>
    </w:p>
    <w:tbl>
      <w:tblPr>
        <w:tblStyle w:val="Table2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rHeight w:val="69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56">
      <w:pPr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Usuário 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Opções para o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vertAlign w:val="baseline"/>
          <w:rtl w:val="0"/>
        </w:rPr>
        <w:t xml:space="preserve"> es</w:t>
      </w:r>
      <w:r w:rsidDel="00000000" w:rsidR="00000000" w:rsidRPr="00000000">
        <w:rPr>
          <w:rtl w:val="0"/>
        </w:rPr>
        <w:t xml:space="preserve">colher.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[RF002]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Selecionar tradução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Este caso de uso permite aos usuários</w:t>
      </w:r>
      <w:r w:rsidDel="00000000" w:rsidR="00000000" w:rsidRPr="00000000">
        <w:rPr>
          <w:rtl w:val="0"/>
        </w:rPr>
        <w:t xml:space="preserve"> escolher qual tradução lhe faz mais necessária no momento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Ator: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tl w:val="0"/>
        </w:rPr>
      </w:r>
    </w:p>
    <w:tbl>
      <w:tblPr>
        <w:tblStyle w:val="Table3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6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RF[001]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0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O usuário é direcionado para a tela de</w:t>
      </w:r>
      <w:r w:rsidDel="00000000" w:rsidR="00000000" w:rsidRPr="00000000">
        <w:rPr>
          <w:rtl w:val="0"/>
        </w:rPr>
        <w:t xml:space="preserve"> tradução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[RF003]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Realizar Atendimento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a interação entre atendente e usuário.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Ator: Atendente/Usuário</w:t>
      </w:r>
      <w:r w:rsidDel="00000000" w:rsidR="00000000" w:rsidRPr="00000000">
        <w:rPr>
          <w:rtl w:val="0"/>
        </w:rPr>
      </w:r>
    </w:p>
    <w:tbl>
      <w:tblPr>
        <w:tblStyle w:val="Table4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7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RF[002]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Realizar o atendimento.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[RF004] Ferramenta de Tradução Simultânea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a tradução simultânea de sinais entre usuários.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Ator: Atendente/Usuário</w:t>
      </w:r>
      <w:r w:rsidDel="00000000" w:rsidR="00000000" w:rsidRPr="00000000">
        <w:rPr>
          <w:rtl w:val="0"/>
        </w:rPr>
      </w:r>
    </w:p>
    <w:tbl>
      <w:tblPr>
        <w:tblStyle w:val="Table5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Usuário 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Realizar tradução.</w:t>
      </w:r>
    </w:p>
    <w:p w:rsidR="00000000" w:rsidDel="00000000" w:rsidP="00000000" w:rsidRDefault="00000000" w:rsidRPr="00000000" w14:paraId="00000088">
      <w:pPr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Visualizar Componente</w:t>
      </w:r>
    </w:p>
    <w:p w:rsidR="00000000" w:rsidDel="00000000" w:rsidP="00000000" w:rsidRDefault="00000000" w:rsidRPr="00000000" w14:paraId="0000008B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 </w:t>
      </w:r>
      <w:r w:rsidDel="00000000" w:rsidR="00000000" w:rsidRPr="00000000">
        <w:rPr>
          <w:vertAlign w:val="baseline"/>
          <w:rtl w:val="0"/>
        </w:rPr>
        <w:t xml:space="preserve">Este caso de uso permite que o usuário visualize os dados de um determinado componente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94">
      <w:pPr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deve receber como entrada o componente que se deseja visualizar.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0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o usuário visualiza o componente desejado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[RF002]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Realizar Tradução Simultânea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Este caso de uso permite que o usuário</w:t>
      </w:r>
      <w:r w:rsidDel="00000000" w:rsidR="00000000" w:rsidRPr="00000000">
        <w:rPr>
          <w:rtl w:val="0"/>
        </w:rPr>
        <w:t xml:space="preserve"> utilize a ferramenta de tradução para sanar possíveis dúvidas</w:t>
      </w:r>
      <w:r w:rsidDel="00000000" w:rsidR="00000000" w:rsidRPr="00000000">
        <w:rPr>
          <w:vertAlign w:val="baseline"/>
          <w:rtl w:val="0"/>
        </w:rPr>
        <w:t xml:space="preserve">.</w:t>
      </w:r>
    </w:p>
    <w:tbl>
      <w:tblPr>
        <w:tblStyle w:val="Table7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A0">
      <w:pPr>
        <w:jc w:val="both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recebe como entrada </w:t>
      </w:r>
      <w:r w:rsidDel="00000000" w:rsidR="00000000" w:rsidRPr="00000000">
        <w:rPr>
          <w:rtl w:val="0"/>
        </w:rPr>
        <w:t xml:space="preserve">os sinais a serem traduzidos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o usuário </w:t>
      </w:r>
      <w:r w:rsidDel="00000000" w:rsidR="00000000" w:rsidRPr="00000000">
        <w:rPr>
          <w:rtl w:val="0"/>
        </w:rPr>
        <w:t xml:space="preserve">recebe a tradução desejada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3">
      <w:pPr>
        <w:rPr/>
      </w:pPr>
      <w:bookmarkStart w:colFirst="0" w:colLast="0" w:name="_wmxrmzjax6x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bookmarkStart w:colFirst="0" w:colLast="0" w:name="_3whwml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terá uma interface amigável ao usuário primário sem se tornar cansativa aos usuários mais experientes.</w:t>
      </w:r>
      <w:r w:rsidDel="00000000" w:rsidR="00000000" w:rsidRPr="00000000">
        <w:rPr>
          <w:rtl w:val="0"/>
        </w:rPr>
        <w:t xml:space="preserve"> Em especial, por se tratar de uma aplicação mobile o fácil acesso ao dispositivo facilitará a utilização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3">
      <w:pPr>
        <w:rPr>
          <w:color w:val="0000ff"/>
          <w:vertAlign w:val="baseline"/>
        </w:rPr>
      </w:pPr>
      <w:bookmarkStart w:colFirst="0" w:colLast="0" w:name="_qsh70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[NF002]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Embora não seja um requisito essencial ao sistema, deve ser considerada por corresponder a um fator de qualidade de software. </w:t>
      </w:r>
    </w:p>
    <w:p w:rsidR="00000000" w:rsidDel="00000000" w:rsidP="00000000" w:rsidRDefault="00000000" w:rsidRPr="00000000" w14:paraId="000000B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-108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E">
      <w:pPr>
        <w:rPr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3as4poj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[NF003] 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vertAlign w:val="baseline"/>
          <w:rtl w:val="0"/>
        </w:rPr>
        <w:t xml:space="preserve">Visando criar um produto com maior</w:t>
      </w:r>
      <w:r w:rsidDel="00000000" w:rsidR="00000000" w:rsidRPr="00000000">
        <w:rPr>
          <w:rtl w:val="0"/>
        </w:rPr>
        <w:t xml:space="preserve"> flexibilidade, vamos utilizar como framework principal a ferramenta React Native, por ter uma boa compatibilidade com os principais sistemas operacionais mobile.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35.0" w:type="dxa"/>
        <w:jc w:val="left"/>
        <w:tblInd w:w="-108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ind w:left="-108" w:firstLine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even"/>
      <w:type w:val="nextPage"/>
      <w:pgSz w:h="16838" w:w="11906" w:orient="portrait"/>
      <w:pgMar w:bottom="1418" w:top="1418" w:left="1418" w:right="1418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286.0" w:type="dxa"/>
      <w:jc w:val="left"/>
      <w:tblInd w:w="-108.0" w:type="dxa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cantSplit w:val="1"/>
        <w:trHeight w:val="534.9609375" w:hRule="atLeast"/>
        <w:tblHeader w:val="0"/>
      </w:trPr>
      <w:tc>
        <w:tcPr>
          <w:vMerge w:val="restart"/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D6">
          <w:pPr>
            <w:tabs>
              <w:tab w:val="center" w:leader="none" w:pos="4153"/>
              <w:tab w:val="right" w:leader="none" w:pos="8306"/>
            </w:tabs>
            <w:rPr/>
          </w:pPr>
          <w:bookmarkStart w:colFirst="0" w:colLast="0" w:name="_1pxezwc" w:id="20"/>
          <w:bookmarkEnd w:id="20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1pxezwc" w:id="20"/>
          <w:bookmarkEnd w:id="2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67" w:hRule="atLeast"/>
        <w:tblHeader w:val="0"/>
      </w:trPr>
      <w:tc>
        <w:tcPr>
          <w:vMerge w:val="continue"/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D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D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pBdr>
        <w:top w:color="000000" w:space="1" w:sz="6" w:val="single"/>
      </w:pBdr>
      <w:jc w:val="right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Unilibras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Equipe</w:t>
    </w: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Lucas Medeiros, Alexandre Brito, Everton Antônio, Vinnícius Pires, Matheus Rodrigues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pBdr>
        <w:bottom w:color="000000" w:space="1" w:sz="6" w:val="single"/>
      </w:pBdr>
      <w:jc w:val="right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Projeto Integrador IV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