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png" ContentType="image/png"/>
  <Override PartName="/word/media/rId61.png" ContentType="image/png"/>
  <Override PartName="/word/media/rId76.png" ContentType="image/png"/>
  <Override PartName="/word/media/rId99.png" ContentType="image/png"/>
  <Override PartName="/word/media/rId107.png" ContentType="image/png"/>
  <Override PartName="/word/media/rId129.png" ContentType="image/png"/>
  <Override PartName="/word/media/rId94.png" ContentType="image/png"/>
  <Override PartName="/word/media/rId111.png" ContentType="image/png"/>
  <Override PartName="/word/media/rId115.png" ContentType="image/png"/>
  <Override PartName="/word/media/rId141.png" ContentType="image/png"/>
  <Override PartName="/word/media/rId1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ext"/>
        <w:spacing w:before="0" w:after="0" w:line="276" w:lineRule="auto"/>
        <w:jc w:val="center"/>
      </w:pPr>
      <w:r>
        <w:rPr>
          <w:rFonts w:ascii="Times New Roman" w:hAnsi="Times New Roman" w:cs="Times New Roman"/>
          <w:b/>
          <w:sz w:val="26"/>
          <w:szCs w:val="26"/>
        </w:rPr>
        <w:t xml:space="preserve">BỘ GIÁO DỤC VÀ ĐÀO TẠO</w:t>
      </w:r>
    </w:p>
    <w:p>
      <w:pPr>
        <w:pStyle w:val="CoverText"/>
        <w:spacing w:before="0" w:after="0" w:line="276" w:lineRule="auto"/>
        <w:jc w:val="center"/>
      </w:pPr>
      <w:r>
        <w:rPr>
          <w:rFonts w:ascii="Times New Roman" w:hAnsi="Times New Roman" w:cs="Times New Roman"/>
          <w:b/>
          <w:sz w:val="26"/>
          <w:szCs w:val="26"/>
        </w:rPr>
        <w:t xml:space="preserve">ĐẠI HỌC KINH TẾ THÀNH PHỐ HỒ CHÍ MINH</w:t>
      </w:r>
    </w:p>
    <w:p>
      <w:pPr>
        <w:pStyle w:val="CoverText"/>
        <w:spacing w:before="0" w:after="0" w:line="276" w:lineRule="auto"/>
        <w:jc w:val="center"/>
      </w:pPr>
      <w:r>
        <w:rPr>
          <w:rFonts w:ascii="Times New Roman" w:hAnsi="Times New Roman" w:cs="Times New Roman"/>
          <w:b/>
          <w:sz w:val="26"/>
          <w:szCs w:val="26"/>
        </w:rPr>
        <w:t xml:space="preserve">[TÊN TRƯỜNG THÀNH VIÊN / KHOA]</w:t>
      </w:r>
    </w:p>
    <w:p>
      <w:pPr>
        <w:pStyle w:val="CoverText"/>
        <w:spacing w:before="60" w:after="0" w:line="276" w:lineRule="auto"/>
        <w:jc w:val="center"/>
      </w:pPr>
      <w:r>
        <w:rPr>
          <w:rFonts w:ascii="Times New Roman" w:hAnsi="Times New Roman" w:cs="Times New Roman"/>
          <w:sz w:val="26"/>
          <w:szCs w:val="26"/>
        </w:rPr>
        <w:t xml:space="preserve">──────── ✦ ────────</w:t>
      </w:r>
    </w:p>
    <w:p>
      <w:pPr>
        <w:pStyle w:val="CoverText"/>
        <w:spacing w:before="600" w:after="600" w:line="276" w:lineRule="auto"/>
        <w:jc w:val="center"/>
      </w:pPr>
      <w:r>
        <w:rPr>
          <w:rFonts w:ascii="Times New Roman" w:hAnsi="Times New Roman" w:cs="Times New Roman"/>
          <w:i/>
          <w:sz w:val="22"/>
          <w:szCs w:val="22"/>
        </w:rPr>
        <w:t xml:space="preserve">[LOGO UEH]</w:t>
      </w:r>
    </w:p>
    <w:p>
      <w:pPr>
        <w:pStyle w:val="CoverText"/>
        <w:spacing w:before="600" w:after="400" w:line="276" w:lineRule="auto"/>
        <w:jc w:val="center"/>
      </w:pPr>
      <w:r>
        <w:rPr>
          <w:rFonts w:ascii="Times New Roman" w:hAnsi="Times New Roman" w:cs="Times New Roman"/>
          <w:b/>
          <w:sz w:val="36"/>
          <w:szCs w:val="36"/>
        </w:rPr>
        <w:t xml:space="preserve">KHÓA LUẬN TỐT NGHIỆP</w:t>
      </w:r>
    </w:p>
    <w:p>
      <w:pPr>
        <w:pStyle w:val="CoverText"/>
        <w:spacing w:before="0" w:after="600" w:line="276" w:lineRule="auto"/>
        <w:jc w:val="center"/>
      </w:pPr>
      <w:r>
        <w:rPr>
          <w:rFonts w:ascii="Times New Roman" w:hAnsi="Times New Roman" w:cs="Times New Roman"/>
          <w:b/>
          <w:sz w:val="32"/>
          <w:szCs w:val="32"/>
        </w:rPr>
        <w:t xml:space="preserve">TỐI ƯU HÓA DANH MỤC ĐA TÀI SẢN CHO NHÀ ĐẦU TƯ VIỆT NAM: SO SÁNH CÁC PHƯƠNG PHÁP PHÂN BỔ TRUYỀN THỐNG VÀ HỌC MÁY</w:t>
      </w:r>
    </w:p>
    <w:p>
      <w:pPr>
        <w:pStyle w:val="CoverText"/>
        <w:spacing w:before="200" w:after="0" w:line="276" w:lineRule="auto"/>
        <w:jc w:val="center"/>
      </w:pPr>
      <w:r>
        <w:rPr>
          <w:rFonts w:ascii="Times New Roman" w:hAnsi="Times New Roman" w:cs="Times New Roman"/>
          <w:sz w:val="26"/>
          <w:szCs w:val="26"/>
        </w:rPr>
        <w:t xml:space="preserve">Chuyên ngành: Khoa học dữ liệu</w:t>
      </w:r>
    </w:p>
    <w:p>
      <w:pPr>
        <w:pStyle w:val="CoverText"/>
        <w:spacing w:before="1400" w:after="0" w:line="276" w:lineRule="auto"/>
        <w:jc w:val="center"/>
      </w:pPr>
      <w:r>
        <w:rPr>
          <w:rFonts w:ascii="Times New Roman" w:hAnsi="Times New Roman" w:cs="Times New Roman"/>
          <w:b/>
          <w:sz w:val="28"/>
          <w:szCs w:val="28"/>
        </w:rPr>
        <w:t xml:space="preserve">[HỌ VÀ TÊN SINH VIÊN]</w:t>
      </w:r>
    </w:p>
    <w:p>
      <w:pPr>
        <w:pStyle w:val="CoverText"/>
        <w:spacing w:before="1400" w:after="0" w:line="276" w:lineRule="auto"/>
        <w:jc w:val="center"/>
      </w:pPr>
      <w:r>
        <w:rPr>
          <w:rFonts w:ascii="Times New Roman" w:hAnsi="Times New Roman" w:cs="Times New Roman"/>
          <w:sz w:val="26"/>
          <w:szCs w:val="26"/>
        </w:rPr>
        <w:t xml:space="preserve">TP. Hồ Chí Minh – Năm 2026</w:t>
      </w:r>
    </w:p>
    <w:p>
      <w:r>
        <w:br w:type="page"/>
      </w:r>
    </w:p>
    <w:p>
      <w:pPr>
        <w:pStyle w:val="CoverText"/>
        <w:spacing w:before="0" w:after="0" w:line="276" w:lineRule="auto"/>
        <w:jc w:val="center"/>
      </w:pPr>
      <w:r>
        <w:rPr>
          <w:rFonts w:ascii="Times New Roman" w:hAnsi="Times New Roman" w:cs="Times New Roman"/>
          <w:b/>
          <w:sz w:val="26"/>
          <w:szCs w:val="26"/>
        </w:rPr>
        <w:t xml:space="preserve">BỘ GIÁO DỤC VÀ ĐÀO TẠO</w:t>
      </w:r>
    </w:p>
    <w:p>
      <w:pPr>
        <w:pStyle w:val="CoverText"/>
        <w:spacing w:before="0" w:after="0" w:line="276" w:lineRule="auto"/>
        <w:jc w:val="center"/>
      </w:pPr>
      <w:r>
        <w:rPr>
          <w:rFonts w:ascii="Times New Roman" w:hAnsi="Times New Roman" w:cs="Times New Roman"/>
          <w:b/>
          <w:sz w:val="26"/>
          <w:szCs w:val="26"/>
        </w:rPr>
        <w:t xml:space="preserve">ĐẠI HỌC KINH TẾ THÀNH PHỐ HỒ CHÍ MINH</w:t>
      </w:r>
    </w:p>
    <w:p>
      <w:pPr>
        <w:pStyle w:val="CoverText"/>
        <w:spacing w:before="0" w:after="0" w:line="276" w:lineRule="auto"/>
        <w:jc w:val="center"/>
      </w:pPr>
      <w:r>
        <w:rPr>
          <w:rFonts w:ascii="Times New Roman" w:hAnsi="Times New Roman" w:cs="Times New Roman"/>
          <w:b/>
          <w:sz w:val="26"/>
          <w:szCs w:val="26"/>
        </w:rPr>
        <w:t xml:space="preserve">[TÊN TRƯỜNG THÀNH VIÊN / KHOA]</w:t>
      </w:r>
    </w:p>
    <w:p>
      <w:pPr>
        <w:pStyle w:val="CoverText"/>
        <w:spacing w:before="60" w:after="0" w:line="276" w:lineRule="auto"/>
        <w:jc w:val="center"/>
      </w:pPr>
      <w:r>
        <w:rPr>
          <w:rFonts w:ascii="Times New Roman" w:hAnsi="Times New Roman" w:cs="Times New Roman"/>
          <w:sz w:val="26"/>
          <w:szCs w:val="26"/>
        </w:rPr>
        <w:t xml:space="preserve">──────── ✦ ────────</w:t>
      </w:r>
    </w:p>
    <w:p>
      <w:pPr>
        <w:pStyle w:val="CoverText"/>
        <w:spacing w:before="600" w:after="600" w:line="276" w:lineRule="auto"/>
        <w:jc w:val="center"/>
      </w:pPr>
      <w:r>
        <w:rPr>
          <w:rFonts w:ascii="Times New Roman" w:hAnsi="Times New Roman" w:cs="Times New Roman"/>
          <w:i/>
          <w:sz w:val="22"/>
          <w:szCs w:val="22"/>
        </w:rPr>
        <w:t xml:space="preserve">[LOGO UEH]</w:t>
      </w:r>
    </w:p>
    <w:p>
      <w:pPr>
        <w:pStyle w:val="CoverText"/>
        <w:spacing w:before="0" w:after="600" w:line="276" w:lineRule="auto"/>
        <w:jc w:val="center"/>
      </w:pPr>
      <w:r>
        <w:rPr>
          <w:rFonts w:ascii="Times New Roman" w:hAnsi="Times New Roman" w:cs="Times New Roman"/>
          <w:b/>
          <w:sz w:val="28"/>
          <w:szCs w:val="28"/>
        </w:rPr>
        <w:t xml:space="preserve">[HỌ VÀ TÊN SINH VIÊN]</w:t>
      </w:r>
    </w:p>
    <w:p>
      <w:pPr>
        <w:pStyle w:val="CoverText"/>
        <w:spacing w:before="300" w:after="400" w:line="276" w:lineRule="auto"/>
        <w:jc w:val="center"/>
      </w:pPr>
      <w:r>
        <w:rPr>
          <w:rFonts w:ascii="Times New Roman" w:hAnsi="Times New Roman" w:cs="Times New Roman"/>
          <w:b/>
          <w:sz w:val="36"/>
          <w:szCs w:val="36"/>
        </w:rPr>
        <w:t xml:space="preserve">KHÓA LUẬN TỐT NGHIỆP</w:t>
      </w:r>
    </w:p>
    <w:p>
      <w:pPr>
        <w:pStyle w:val="CoverText"/>
        <w:spacing w:before="0" w:after="600" w:line="276" w:lineRule="auto"/>
        <w:jc w:val="center"/>
      </w:pPr>
      <w:r>
        <w:rPr>
          <w:rFonts w:ascii="Times New Roman" w:hAnsi="Times New Roman" w:cs="Times New Roman"/>
          <w:b/>
          <w:sz w:val="32"/>
          <w:szCs w:val="32"/>
        </w:rPr>
        <w:t xml:space="preserve">TỐI ƯU HÓA DANH MỤC ĐA TÀI SẢN CHO NHÀ ĐẦU TƯ VIỆT NAM: SO SÁNH CÁC PHƯƠNG PHÁP PHÂN BỔ TRUYỀN THỐNG VÀ HỌC MÁY</w:t>
      </w:r>
    </w:p>
    <w:p>
      <w:pPr>
        <w:pStyle w:val="CoverText"/>
        <w:spacing w:before="200" w:after="0" w:line="276" w:lineRule="auto"/>
        <w:jc w:val="center"/>
      </w:pPr>
      <w:r>
        <w:rPr>
          <w:rFonts w:ascii="Times New Roman" w:hAnsi="Times New Roman" w:cs="Times New Roman"/>
          <w:sz w:val="26"/>
          <w:szCs w:val="26"/>
        </w:rPr>
        <w:t xml:space="preserve">Chuyên ngành: Khoa học dữ liệu</w:t>
      </w:r>
    </w:p>
    <w:p>
      <w:pPr>
        <w:pStyle w:val="CoverText"/>
        <w:tabs>
          <w:tab w:val="left" w:pos="5600"/>
        </w:tabs>
        <w:spacing w:before="0" w:after="60" w:line="276" w:lineRule="auto"/>
        <w:ind w:left="2600"/>
        <w:jc w:val="left"/>
      </w:pPr>
      <w:r>
        <w:rPr>
          <w:sz w:val="26"/>
        </w:rPr>
        <w:t xml:space="preserve">Giảng viên hướng dẫn:</w:t>
      </w:r>
      <w:r>
        <w:rPr>
          <w:sz w:val="26"/>
        </w:rPr>
        <w:tab/>
      </w:r>
      <w:r>
        <w:rPr>
          <w:b/>
          <w:sz w:val="26"/>
        </w:rPr>
        <w:t xml:space="preserve">TS. Nguyễn Đăng Cao</w:t>
      </w:r>
    </w:p>
    <w:p>
      <w:pPr>
        <w:pStyle w:val="CoverText"/>
        <w:tabs>
          <w:tab w:val="left" w:pos="5600"/>
        </w:tabs>
        <w:spacing w:before="0" w:after="60" w:line="276" w:lineRule="auto"/>
        <w:ind w:left="2600"/>
        <w:jc w:val="left"/>
      </w:pPr>
      <w:r>
        <w:rPr>
          <w:sz w:val="26"/>
        </w:rPr>
        <w:t xml:space="preserve">Sinh viên thực hiện:</w:t>
      </w:r>
      <w:r>
        <w:rPr>
          <w:sz w:val="26"/>
        </w:rPr>
        <w:tab/>
      </w:r>
      <w:r>
        <w:rPr>
          <w:b/>
          <w:sz w:val="26"/>
        </w:rPr>
        <w:t xml:space="preserve">[Họ và tên]</w:t>
      </w:r>
    </w:p>
    <w:p>
      <w:pPr>
        <w:pStyle w:val="CoverText"/>
        <w:tabs>
          <w:tab w:val="left" w:pos="5600"/>
        </w:tabs>
        <w:spacing w:before="0" w:after="60" w:line="276" w:lineRule="auto"/>
        <w:ind w:left="2600"/>
        <w:jc w:val="left"/>
      </w:pPr>
      <w:r>
        <w:rPr>
          <w:sz w:val="26"/>
        </w:rPr>
        <w:t xml:space="preserve">Mã số sinh viên:</w:t>
      </w:r>
      <w:r>
        <w:rPr>
          <w:sz w:val="26"/>
        </w:rPr>
        <w:tab/>
      </w:r>
      <w:r>
        <w:rPr>
          <w:b/>
          <w:sz w:val="26"/>
        </w:rPr>
        <w:t xml:space="preserve">31231026504</w:t>
      </w:r>
    </w:p>
    <w:p>
      <w:pPr>
        <w:pStyle w:val="CoverText"/>
        <w:tabs>
          <w:tab w:val="left" w:pos="5600"/>
        </w:tabs>
        <w:spacing w:before="0" w:after="60" w:line="276" w:lineRule="auto"/>
        <w:ind w:left="2600"/>
        <w:jc w:val="left"/>
      </w:pPr>
      <w:r>
        <w:rPr>
          <w:sz w:val="26"/>
        </w:rPr>
        <w:t xml:space="preserve">Lớp:</w:t>
      </w:r>
      <w:r>
        <w:rPr>
          <w:sz w:val="26"/>
        </w:rPr>
        <w:tab/>
      </w:r>
      <w:r>
        <w:rPr>
          <w:b/>
          <w:sz w:val="26"/>
        </w:rPr>
        <w:t xml:space="preserve">[Mã lớp]</w:t>
      </w:r>
    </w:p>
    <w:p>
      <w:pPr>
        <w:pStyle w:val="CoverText"/>
        <w:tabs>
          <w:tab w:val="left" w:pos="5600"/>
        </w:tabs>
        <w:spacing w:before="0" w:after="60" w:line="276" w:lineRule="auto"/>
        <w:ind w:left="2600"/>
        <w:jc w:val="left"/>
      </w:pPr>
      <w:r>
        <w:rPr>
          <w:sz w:val="26"/>
        </w:rPr>
        <w:t xml:space="preserve">Khóa:</w:t>
      </w:r>
      <w:r>
        <w:rPr>
          <w:sz w:val="26"/>
        </w:rPr>
        <w:tab/>
      </w:r>
      <w:r>
        <w:rPr>
          <w:b/>
          <w:sz w:val="26"/>
        </w:rPr>
        <w:t xml:space="preserve">[Khóa]</w:t>
      </w:r>
    </w:p>
    <w:p>
      <w:pPr>
        <w:pStyle w:val="CoverText"/>
        <w:spacing w:before="1000" w:after="0" w:line="276" w:lineRule="auto"/>
        <w:jc w:val="center"/>
      </w:pPr>
      <w:r>
        <w:rPr>
          <w:rFonts w:ascii="Times New Roman" w:hAnsi="Times New Roman" w:cs="Times New Roman"/>
          <w:sz w:val="26"/>
          <w:szCs w:val="26"/>
        </w:rPr>
        <w:t xml:space="preserve">TP. Hồ Chí Minh, tháng 11 năm 2026</w:t>
      </w:r>
    </w:p>
    <w:p>
      <w:pPr>
        <w:sectPr>
          <w:pgSz w:h="16838" w:w="11906"/>
          <w:pgMar w:bottom="1701" w:footer="709" w:header="709" w:left="1701" w:right="1134" w:top="1701" w:gutter="0"/>
          <w:pgBorders w:offsetFrom="page">
            <w:top w:val="thinThickSmallGap" w:sz="24" w:space="24" w:color="1F3864"/>
            <w:left w:val="thinThickSmallGap" w:sz="24" w:space="24" w:color="1F3864"/>
            <w:bottom w:val="thinThickSmallGap" w:sz="24" w:space="24" w:color="1F3864"/>
            <w:right w:val="thinThickSmallGap" w:sz="24" w:space="24" w:color="1F3864"/>
          </w:pgBorders>
          <w:pgNumType w:start="1"/>
        </w:sectPr>
      </w:pPr>
    </w:p>
    <w:p>
      <w:pPr>
        <w:pStyle w:val="FrontHeading"/>
      </w:pPr>
      <w:r>
        <w:t xml:space="preserve">LỜI CÁM ƠN</w:t>
      </w:r>
    </w:p>
    <w:p>
      <w:pPr>
        <w:pStyle w:val="BodyText"/>
      </w:pPr>
      <w:r>
        <w:t xml:space="preserve">Để hoàn thành khóa luận này, tôi xin gửi lời cám ơn chân thành đến TS. Nguyễn Đăng Cao, người đã tận tình hướng dẫn, góp ý và định hướng cho tôi trong suốt quá trình thực hiện đề tài, từ việc xác định câu hỏi nghiên cứu, thiết kế phương pháp đến cách trình bày kết quả.</w:t>
      </w:r>
    </w:p>
    <w:p>
      <w:pPr>
        <w:pStyle w:val="BodyText"/>
      </w:pPr>
      <w:r>
        <w:t xml:space="preserve">Tôi xin cám ơn quý Thầy Cô của Đại học Kinh tế Thành phố Hồ Chí Minh đã truyền đạt kiến thức về tài chính, thống kê và khoa học dữ liệu trong những năm học vừa qua, là nền tảng để tôi thực hiện nghiên cứu này.</w:t>
      </w:r>
    </w:p>
    <w:p>
      <w:pPr>
        <w:pStyle w:val="BodyText"/>
      </w:pPr>
      <w:r>
        <w:t xml:space="preserve">Tôi cũng xin cám ơn gia đình và bạn bè đã luôn động viên, hỗ trợ tôi trong thời gian học tập và làm khóa luận.</w:t>
      </w:r>
    </w:p>
    <w:p>
      <w:pPr>
        <w:pStyle w:val="BodyText"/>
      </w:pPr>
      <w:r>
        <w:t xml:space="preserve">Do giới hạn về thời gian, dữ liệu và kinh nghiệm, khóa luận không tránh khỏi thiếu sót. Tôi rất mong nhận được ý kiến đóng góp của quý Thầy Cô để hoàn thiện đề tài.</w:t>
      </w:r>
    </w:p>
    <w:p>
      <w:pPr>
        <w:pStyle w:val="Signature"/>
      </w:pPr>
      <w:r>
        <w:t xml:space="preserve">TP. Hồ Chí Minh, ngày … tháng … năm 2026</w:t>
      </w:r>
    </w:p>
    <w:p>
      <w:pPr>
        <w:pStyle w:val="Signature"/>
      </w:pPr>
      <w:r>
        <w:t xml:space="preserve">Sinh viên thực hiện</w:t>
      </w:r>
    </w:p>
    <w:p>
      <w:pPr>
        <w:pStyle w:val="Signature"/>
      </w:pPr>
      <w:r>
        <w:t xml:space="preserve">[Họ và tên]</w:t>
      </w:r>
    </w:p>
    <w:p>
      <w:r>
        <w:br w:type="page"/>
      </w:r>
    </w:p>
    <w:p>
      <w:pPr>
        <w:pStyle w:val="FrontHeading"/>
      </w:pPr>
      <w:r>
        <w:t xml:space="preserve">LỜI CAM ĐOAN</w:t>
      </w:r>
    </w:p>
    <w:p>
      <w:pPr>
        <w:pStyle w:val="BodyText"/>
      </w:pPr>
      <w:r>
        <w:t xml:space="preserve">Tôi xin cam đoan khóa luận</w:t>
      </w:r>
      <w:r>
        <w:t xml:space="preserve"> </w:t>
      </w:r>
      <w:r>
        <w:t xml:space="preserve">“</w:t>
      </w:r>
      <w:r>
        <w:t xml:space="preserve">Tối ưu hóa danh mục đa tài sản cho nhà đầu tư Việt Nam</w:t>
      </w:r>
      <w:r>
        <w:t xml:space="preserve">”</w:t>
      </w:r>
      <w:r>
        <w:t xml:space="preserve"> </w:t>
      </w:r>
      <w:r>
        <w:t xml:space="preserve">là công trình nghiên cứu của tôi dưới sự hướng dẫn của TS. Nguyễn Đăng Cao. Các số liệu và kết quả trong khóa luận được tính toán từ dữ liệu công khai có trích nguồn và có thể tái lập bằng mã nguồn đính kèm. [Bổ sung câu khai báo việc sử dụng công cụ AI theo quy định của UEH.]</w:t>
      </w:r>
    </w:p>
    <w:p>
      <w:pPr>
        <w:pStyle w:val="Signature"/>
      </w:pPr>
      <w:r>
        <w:t xml:space="preserve">TP. Hồ Chí Minh, ngày … tháng … năm 2026</w:t>
      </w:r>
    </w:p>
    <w:p>
      <w:pPr>
        <w:pStyle w:val="Signature"/>
      </w:pPr>
      <w:r>
        <w:t xml:space="preserve">Sinh viên ký tên</w:t>
      </w:r>
    </w:p>
    <w:p>
      <w:pPr>
        <w:pStyle w:val="Signature"/>
      </w:pPr>
      <w:r>
        <w:t xml:space="preserve">[Họ và tên]</w:t>
      </w:r>
    </w:p>
    <w:p>
      <w:r>
        <w:br w:type="page"/>
      </w:r>
    </w:p>
    <w:p>
      <w:pPr>
        <w:pStyle w:val="FrontHeading"/>
      </w:pPr>
      <w:r>
        <w:t xml:space="preserve">TÓM TẮT</w:t>
      </w:r>
    </w:p>
    <w:p>
      <w:pPr>
        <w:pStyle w:val="BodyText"/>
      </w:pPr>
      <w:r>
        <w:t xml:space="preserve">Khóa luận so sánh bảy phương pháp phân bổ danh mục — phân bổ đều, Markowitz, Risk Parity, Hierarchical Risk Parity, Black–Litterman với quan điểm từ học máy, tối ưu với dự báo MLP và học tăng cường — trên danh mục 5 lớp tài sản mà nhà đầu tư cá nhân Việt Nam thực hiện được: cổ phiếu (ETF E1VFVN30), rổ cổ phiếu bất động sản, vàng SJC, quỹ trái phiếu mở và tiền gửi Vietcombank. Dữ liệu tháng 02/2016–07/2026 được dựng theo nguyên tắc point-in-time; backtest walk-forward 102 tháng trên 9 kịch bản khẩu vị × khung thời gian, có chi phí giao dịch theo lớp; chênh lệch Sharpe được kiểm định bằng phương pháp Ledoit–Wolf (2008) với hiệu chỉnh Holm. Kết quả: mô hình học máy không dự báo được cổ phiếu nhưng có kỹ năng với vàng; Black–Litterman có Sharpe cao nhất trong nhóm 5 phương pháp chính ở 8/9 kịch bản, nhưng không cặp so sánh nào có ý nghĩa thống kê và thứ hạng không vững qua mô phỏng bootstrap và phân tích độ nhạy. Khẩu vị rủi ro và đa dạng hóa sang vàng, trái phiếu quan trọng hơn lựa chọn thuật toán. Kết quả được đưa vào ứng dụng tư vấn PortfolioVN dùng Risk Parity, chuyển tỷ trọng thành kế hoạch mua cụ thể.</w:t>
      </w:r>
    </w:p>
    <w:p>
      <w:pPr>
        <w:pStyle w:val="BodyText"/>
      </w:pPr>
      <w:r>
        <w:rPr>
          <w:bCs/>
          <w:b/>
        </w:rPr>
        <w:t xml:space="preserve">Từ khóa:</w:t>
      </w:r>
      <w:r>
        <w:t xml:space="preserve"> </w:t>
      </w:r>
      <w:r>
        <w:t xml:space="preserve">phân bổ tài sản, Black–Litterman, Risk Parity, học máy, kiểm định Sharpe, Việt Nam.</w:t>
      </w:r>
    </w:p>
    <w:p>
      <w:r>
        <w:br w:type="page"/>
      </w:r>
    </w:p>
    <w:p>
      <w:pPr>
        <w:pStyle w:val="FrontHeading"/>
      </w:pPr>
      <w:r>
        <w:t xml:space="preserve">ABSTRACT</w:t>
      </w:r>
    </w:p>
    <w:p>
      <w:pPr>
        <w:pStyle w:val="BodyText"/>
      </w:pPr>
      <w:r>
        <w:t xml:space="preserve">This thesis compares seven allocation methods — equal weight, Markowitz, Risk Parity, Hierarchical Risk Parity, Black–Litterman with machine-learning views, mean–variance with MLP forecasts, and a reinforcement-learning bandit — on a five-asset portfolio available to Vietnamese retail investors: an equity ETF (E1VFVN30), a real-estate stock basket, SJC gold, an open-ended bond fund and Vietcombank deposits. Monthly data for 02/2016–07/2026 are built point-in-time; a 102-month walk-forward backtest covers nine risk-profile × horizon scenarios with class-specific transaction costs, and Sharpe differences are tested with Ledoit–Wolf (2008) and Holm corrections. Machine-learning models fail to forecast equities but show skill for gold; Black–Litterman achieves the highest Sharpe among the five main methods in 8 of 9 scenarios, yet no difference is statistically significant and the ranking is not robust to bootstrap simulation or sensitivity checks. Risk level and diversification into gold and bonds matter more than the choice of algorithm. The results are delivered through PortfolioVN, an advisory application based on Risk Parity.</w:t>
      </w:r>
    </w:p>
    <w:p>
      <w:pPr>
        <w:pStyle w:val="BodyText"/>
      </w:pPr>
      <w:r>
        <w:rPr>
          <w:bCs/>
          <w:b/>
        </w:rPr>
        <w:t xml:space="preserve">Keywords:</w:t>
      </w:r>
      <w:r>
        <w:t xml:space="preserve"> </w:t>
      </w:r>
      <w:r>
        <w:t xml:space="preserve">asset allocation, Black–Litterman, risk parity, machine learning, Sharpe ratio test, Vietnam.</w:t>
      </w:r>
    </w:p>
    <w:p>
      <w:r>
        <w:br w:type="page"/>
      </w:r>
    </w:p>
    <w:p>
      <w:pPr>
        <w:pStyle w:val="FrontHeading"/>
      </w:pPr>
      <w:r>
        <w:t xml:space="preserve">MỤC LỤC</w:t>
      </w:r>
    </w:p>
    <w:p>
      <w:pPr>
        <w:pStyle w:val="TOC1"/>
      </w:pPr>
      <w:r>
        <w:fldChar w:fldCharType="begin"/>
      </w:r>
      <w:r>
        <w:instrText xml:space="preserve"> TOC \o "1-3" \h \z \u </w:instrText>
      </w:r>
      <w:r>
        <w:fldChar w:fldCharType="separate"/>
      </w:r>
      <w:r>
        <w:t xml:space="preserve">Chương 1. Giới thiệu</w:t>
      </w:r>
      <w:r>
        <w:tab/>
      </w:r>
      <w:r>
        <w:t>1</w:t>
      </w:r>
    </w:p>
    <w:p>
      <w:pPr>
        <w:pStyle w:val="TOC2"/>
      </w:pPr>
      <w:r>
        <w:t xml:space="preserve">1.1 Bối cảnh và lý do chọn đề tài</w:t>
      </w:r>
      <w:r>
        <w:tab/>
      </w:r>
      <w:r>
        <w:t>1</w:t>
      </w:r>
    </w:p>
    <w:p>
      <w:pPr>
        <w:pStyle w:val="TOC3"/>
      </w:pPr>
      <w:r>
        <w:t xml:space="preserve">1.1.1 Nhà đầu tư cá nhân và nhu cầu phân bổ tài sản</w:t>
      </w:r>
      <w:r>
        <w:tab/>
      </w:r>
      <w:r>
        <w:t>1</w:t>
      </w:r>
    </w:p>
    <w:p>
      <w:pPr>
        <w:pStyle w:val="TOC3"/>
      </w:pPr>
      <w:r>
        <w:t xml:space="preserve">1.1.2 Đặc điểm các kênh đầu tư của người Việt</w:t>
      </w:r>
      <w:r>
        <w:tab/>
      </w:r>
      <w:r>
        <w:t>1</w:t>
      </w:r>
    </w:p>
    <w:p>
      <w:pPr>
        <w:pStyle w:val="TOC3"/>
      </w:pPr>
      <w:r>
        <w:t xml:space="preserve">1.1.3 Lý thuyết, học máy và khoảng trống tại Việt Nam</w:t>
      </w:r>
      <w:r>
        <w:tab/>
      </w:r>
      <w:r>
        <w:t>3</w:t>
      </w:r>
    </w:p>
    <w:p>
      <w:pPr>
        <w:pStyle w:val="TOC2"/>
      </w:pPr>
      <w:r>
        <w:t xml:space="preserve">1.2 Mục tiêu nghiên cứu</w:t>
      </w:r>
      <w:r>
        <w:tab/>
      </w:r>
      <w:r>
        <w:t>4</w:t>
      </w:r>
    </w:p>
    <w:p>
      <w:pPr>
        <w:pStyle w:val="TOC2"/>
      </w:pPr>
      <w:r>
        <w:t xml:space="preserve">1.3 Câu hỏi nghiên cứu và giả thuyết</w:t>
      </w:r>
      <w:r>
        <w:tab/>
      </w:r>
      <w:r>
        <w:t>4</w:t>
      </w:r>
    </w:p>
    <w:p>
      <w:pPr>
        <w:pStyle w:val="TOC2"/>
      </w:pPr>
      <w:r>
        <w:t xml:space="preserve">1.4 Đối tượng và phạm vi nghiên cứu</w:t>
      </w:r>
      <w:r>
        <w:tab/>
      </w:r>
      <w:r>
        <w:t>5</w:t>
      </w:r>
    </w:p>
    <w:p>
      <w:pPr>
        <w:pStyle w:val="TOC2"/>
      </w:pPr>
      <w:r>
        <w:t xml:space="preserve">1.5 Phương pháp nghiên cứu</w:t>
      </w:r>
      <w:r>
        <w:tab/>
      </w:r>
      <w:r>
        <w:t>7</w:t>
      </w:r>
    </w:p>
    <w:p>
      <w:pPr>
        <w:pStyle w:val="TOC2"/>
      </w:pPr>
      <w:r>
        <w:t xml:space="preserve">1.6 Đóng góp của đề tài</w:t>
      </w:r>
      <w:r>
        <w:tab/>
      </w:r>
      <w:r>
        <w:t>7</w:t>
      </w:r>
    </w:p>
    <w:p>
      <w:pPr>
        <w:pStyle w:val="TOC2"/>
      </w:pPr>
      <w:r>
        <w:t xml:space="preserve">1.7 Bố cục khóa luận</w:t>
      </w:r>
      <w:r>
        <w:tab/>
      </w:r>
      <w:r>
        <w:t>8</w:t>
      </w:r>
    </w:p>
    <w:p>
      <w:pPr>
        <w:pStyle w:val="TOC1"/>
      </w:pPr>
      <w:r>
        <w:t xml:space="preserve">Chương 2. Cơ sở lý thuyết và tổng quan nghiên cứu</w:t>
      </w:r>
      <w:r>
        <w:tab/>
      </w:r>
      <w:r>
        <w:t>10</w:t>
      </w:r>
    </w:p>
    <w:p>
      <w:pPr>
        <w:pStyle w:val="TOC2"/>
      </w:pPr>
      <w:r>
        <w:t xml:space="preserve">2.1 Lý thuyết danh mục hiện đại</w:t>
      </w:r>
      <w:r>
        <w:tab/>
      </w:r>
      <w:r>
        <w:t>10</w:t>
      </w:r>
    </w:p>
    <w:p>
      <w:pPr>
        <w:pStyle w:val="TOC3"/>
      </w:pPr>
      <w:r>
        <w:t xml:space="preserve">2.1.1 Mô hình trung bình–phương sai Markowitz</w:t>
      </w:r>
      <w:r>
        <w:tab/>
      </w:r>
      <w:r>
        <w:t>10</w:t>
      </w:r>
    </w:p>
    <w:p>
      <w:pPr>
        <w:pStyle w:val="TOC3"/>
      </w:pPr>
      <w:r>
        <w:t xml:space="preserve">2.1.2 Sai số ước lượng và phương pháp ước lượng co ngót</w:t>
      </w:r>
      <w:r>
        <w:tab/>
      </w:r>
      <w:r>
        <w:t>11</w:t>
      </w:r>
    </w:p>
    <w:p>
      <w:pPr>
        <w:pStyle w:val="TOC2"/>
      </w:pPr>
      <w:r>
        <w:t xml:space="preserve">2.2 Các phương pháp không cần dự báo lợi nhuận</w:t>
      </w:r>
      <w:r>
        <w:tab/>
      </w:r>
      <w:r>
        <w:t>13</w:t>
      </w:r>
    </w:p>
    <w:p>
      <w:pPr>
        <w:pStyle w:val="TOC3"/>
      </w:pPr>
      <w:r>
        <w:t xml:space="preserve">2.2.1 Phân bổ đều 1/N</w:t>
      </w:r>
      <w:r>
        <w:tab/>
      </w:r>
      <w:r>
        <w:t>13</w:t>
      </w:r>
    </w:p>
    <w:p>
      <w:pPr>
        <w:pStyle w:val="TOC3"/>
      </w:pPr>
      <w:r>
        <w:t xml:space="preserve">2.2.2 Risk Parity</w:t>
      </w:r>
      <w:r>
        <w:tab/>
      </w:r>
      <w:r>
        <w:t>14</w:t>
      </w:r>
    </w:p>
    <w:p>
      <w:pPr>
        <w:pStyle w:val="TOC3"/>
      </w:pPr>
      <w:r>
        <w:t xml:space="preserve">2.2.3 Hierarchical Risk Parity</w:t>
      </w:r>
      <w:r>
        <w:tab/>
      </w:r>
      <w:r>
        <w:t>14</w:t>
      </w:r>
    </w:p>
    <w:p>
      <w:pPr>
        <w:pStyle w:val="TOC2"/>
      </w:pPr>
      <w:r>
        <w:t xml:space="preserve">2.3 Mô hình Black–Litterman</w:t>
      </w:r>
      <w:r>
        <w:tab/>
      </w:r>
      <w:r>
        <w:t>15</w:t>
      </w:r>
    </w:p>
    <w:p>
      <w:pPr>
        <w:pStyle w:val="TOC2"/>
      </w:pPr>
      <w:r>
        <w:t xml:space="preserve">2.4 Học máy trong dự báo lợi nhuận tài sản</w:t>
      </w:r>
      <w:r>
        <w:tab/>
      </w:r>
      <w:r>
        <w:t>17</w:t>
      </w:r>
    </w:p>
    <w:p>
      <w:pPr>
        <w:pStyle w:val="TOC3"/>
      </w:pPr>
      <w:r>
        <w:t xml:space="preserve">2.4.1 Đánh đổi độ chệch–phương sai và chính quy hóa</w:t>
      </w:r>
      <w:r>
        <w:tab/>
      </w:r>
      <w:r>
        <w:t>17</w:t>
      </w:r>
    </w:p>
    <w:p>
      <w:pPr>
        <w:pStyle w:val="TOC3"/>
      </w:pPr>
      <w:r>
        <w:t xml:space="preserve">2.4.2 Ba mô hình được sử dụng</w:t>
      </w:r>
      <w:r>
        <w:tab/>
      </w:r>
      <w:r>
        <w:t>18</w:t>
      </w:r>
    </w:p>
    <w:p>
      <w:pPr>
        <w:pStyle w:val="TOC3"/>
      </w:pPr>
      <w:r>
        <w:t xml:space="preserve">2.4.3 Đánh giá dự báo ngoài mẫu</w:t>
      </w:r>
      <w:r>
        <w:tab/>
      </w:r>
      <w:r>
        <w:t>19</w:t>
      </w:r>
    </w:p>
    <w:p>
      <w:pPr>
        <w:pStyle w:val="TOC3"/>
      </w:pPr>
      <w:r>
        <w:t xml:space="preserve">2.4.4 Học tăng cường và bài toán bandit</w:t>
      </w:r>
      <w:r>
        <w:tab/>
      </w:r>
      <w:r>
        <w:t>20</w:t>
      </w:r>
    </w:p>
    <w:p>
      <w:pPr>
        <w:pStyle w:val="TOC2"/>
      </w:pPr>
      <w:r>
        <w:t xml:space="preserve">2.5 Đo lường hiệu quả và kiểm định so sánh danh mục</w:t>
      </w:r>
      <w:r>
        <w:tab/>
      </w:r>
      <w:r>
        <w:t>20</w:t>
      </w:r>
    </w:p>
    <w:p>
      <w:pPr>
        <w:pStyle w:val="TOC3"/>
      </w:pPr>
      <w:r>
        <w:t xml:space="preserve">2.5.1 Các thước đo hiệu quả</w:t>
      </w:r>
      <w:r>
        <w:tab/>
      </w:r>
      <w:r>
        <w:t>20</w:t>
      </w:r>
    </w:p>
    <w:p>
      <w:pPr>
        <w:pStyle w:val="TOC3"/>
      </w:pPr>
      <w:r>
        <w:t xml:space="preserve">2.5.2 Kiểm định chênh lệch Sharpe</w:t>
      </w:r>
      <w:r>
        <w:tab/>
      </w:r>
      <w:r>
        <w:t>21</w:t>
      </w:r>
    </w:p>
    <w:p>
      <w:pPr>
        <w:pStyle w:val="TOC3"/>
      </w:pPr>
      <w:r>
        <w:t xml:space="preserve">2.5.3 Kiểm định bội, độ mạnh và thiên lệch chọn lọc</w:t>
      </w:r>
      <w:r>
        <w:tab/>
      </w:r>
      <w:r>
        <w:t>22</w:t>
      </w:r>
    </w:p>
    <w:p>
      <w:pPr>
        <w:pStyle w:val="TOC2"/>
      </w:pPr>
      <w:r>
        <w:t xml:space="preserve">2.6 Tổng quan nghiên cứu thực nghiệm</w:t>
      </w:r>
      <w:r>
        <w:tab/>
      </w:r>
      <w:r>
        <w:t>23</w:t>
      </w:r>
    </w:p>
    <w:p>
      <w:pPr>
        <w:pStyle w:val="TOC3"/>
      </w:pPr>
      <w:r>
        <w:t xml:space="preserve">2.6.1 Nghiên cứu trên thế giới</w:t>
      </w:r>
      <w:r>
        <w:tab/>
      </w:r>
      <w:r>
        <w:t>23</w:t>
      </w:r>
    </w:p>
    <w:p>
      <w:pPr>
        <w:pStyle w:val="TOC3"/>
      </w:pPr>
      <w:r>
        <w:t xml:space="preserve">2.6.2 Nghiên cứu tại Việt Nam</w:t>
      </w:r>
      <w:r>
        <w:tab/>
      </w:r>
      <w:r>
        <w:t>24</w:t>
      </w:r>
    </w:p>
    <w:p>
      <w:pPr>
        <w:pStyle w:val="TOC2"/>
      </w:pPr>
      <w:r>
        <w:t xml:space="preserve">2.7 Khoảng trống nghiên cứu và khung phân tích</w:t>
      </w:r>
      <w:r>
        <w:tab/>
      </w:r>
      <w:r>
        <w:t>25</w:t>
      </w:r>
    </w:p>
    <w:p>
      <w:pPr>
        <w:pStyle w:val="TOC2"/>
      </w:pPr>
      <w:r>
        <w:t xml:space="preserve">2.8 Tóm tắt chương</w:t>
      </w:r>
      <w:r>
        <w:tab/>
      </w:r>
      <w:r>
        <w:t>26</w:t>
      </w:r>
    </w:p>
    <w:p>
      <w:pPr>
        <w:pStyle w:val="TOC1"/>
      </w:pPr>
      <w:r>
        <w:t xml:space="preserve">Chương 3. Dữ liệu và phương pháp nghiên cứu</w:t>
      </w:r>
      <w:r>
        <w:tab/>
      </w:r>
      <w:r>
        <w:t>27</w:t>
      </w:r>
    </w:p>
    <w:p>
      <w:pPr>
        <w:pStyle w:val="TOC2"/>
      </w:pPr>
      <w:r>
        <w:t xml:space="preserve">3.1 Dữ liệu và nguồn</w:t>
      </w:r>
      <w:r>
        <w:tab/>
      </w:r>
      <w:r>
        <w:t>28</w:t>
      </w:r>
    </w:p>
    <w:p>
      <w:pPr>
        <w:pStyle w:val="TOC3"/>
      </w:pPr>
      <w:r>
        <w:t xml:space="preserve">3.1.1 Phạm vi và nguyên tắc chọn chuỗi</w:t>
      </w:r>
      <w:r>
        <w:tab/>
      </w:r>
      <w:r>
        <w:t>28</w:t>
      </w:r>
    </w:p>
    <w:p>
      <w:pPr>
        <w:pStyle w:val="TOC3"/>
      </w:pPr>
      <w:r>
        <w:t xml:space="preserve">3.1.2 Chất lượng dữ liệu</w:t>
      </w:r>
      <w:r>
        <w:tab/>
      </w:r>
      <w:r>
        <w:t>29</w:t>
      </w:r>
    </w:p>
    <w:p>
      <w:pPr>
        <w:pStyle w:val="TOC2"/>
      </w:pPr>
      <w:r>
        <w:t xml:space="preserve">3.2 Xử lý dữ liệu</w:t>
      </w:r>
      <w:r>
        <w:tab/>
      </w:r>
      <w:r>
        <w:t>30</w:t>
      </w:r>
    </w:p>
    <w:p>
      <w:pPr>
        <w:pStyle w:val="TOC3"/>
      </w:pPr>
      <w:r>
        <w:t xml:space="preserve">3.2.1 Ghép chuỗi nhiều nguồn và kiểm tra độ khớp</w:t>
      </w:r>
      <w:r>
        <w:tab/>
      </w:r>
      <w:r>
        <w:t>30</w:t>
      </w:r>
    </w:p>
    <w:p>
      <w:pPr>
        <w:pStyle w:val="TOC3"/>
      </w:pPr>
      <w:r>
        <w:t xml:space="preserve">3.2.2 Dựng lại giá vàng SJC theo chế độ point-in-time</w:t>
      </w:r>
      <w:r>
        <w:tab/>
      </w:r>
      <w:r>
        <w:t>32</w:t>
      </w:r>
    </w:p>
    <w:p>
      <w:pPr>
        <w:pStyle w:val="TOC3"/>
      </w:pPr>
      <w:r>
        <w:t xml:space="preserve">3.2.3 Rổ cổ phiếu bất động sản xác định đầu mỗi năm</w:t>
      </w:r>
      <w:r>
        <w:tab/>
      </w:r>
      <w:r>
        <w:t>34</w:t>
      </w:r>
    </w:p>
    <w:p>
      <w:pPr>
        <w:pStyle w:val="TOC3"/>
      </w:pPr>
      <w:r>
        <w:t xml:space="preserve">3.2.4 Biến đầu vào cho mô hình dự báo</w:t>
      </w:r>
      <w:r>
        <w:tab/>
      </w:r>
      <w:r>
        <w:t>36</w:t>
      </w:r>
    </w:p>
    <w:p>
      <w:pPr>
        <w:pStyle w:val="TOC2"/>
      </w:pPr>
      <w:r>
        <w:t xml:space="preserve">3.3 Thiết kế khẩu vị rủi ro và khung thời gian</w:t>
      </w:r>
      <w:r>
        <w:tab/>
      </w:r>
      <w:r>
        <w:t>37</w:t>
      </w:r>
    </w:p>
    <w:p>
      <w:pPr>
        <w:pStyle w:val="TOC2"/>
      </w:pPr>
      <w:r>
        <w:t xml:space="preserve">3.4 Ước lượng tham số</w:t>
      </w:r>
      <w:r>
        <w:tab/>
      </w:r>
      <w:r>
        <w:t>38</w:t>
      </w:r>
    </w:p>
    <w:p>
      <w:pPr>
        <w:pStyle w:val="TOC2"/>
      </w:pPr>
      <w:r>
        <w:t xml:space="preserve">3.5 Bảy phương pháp phân bổ</w:t>
      </w:r>
      <w:r>
        <w:tab/>
      </w:r>
      <w:r>
        <w:t>40</w:t>
      </w:r>
    </w:p>
    <w:p>
      <w:pPr>
        <w:pStyle w:val="TOC2"/>
      </w:pPr>
      <w:r>
        <w:t xml:space="preserve">3.6 Mô hình dự báo học máy</w:t>
      </w:r>
      <w:r>
        <w:tab/>
      </w:r>
      <w:r>
        <w:t>43</w:t>
      </w:r>
    </w:p>
    <w:p>
      <w:pPr>
        <w:pStyle w:val="TOC3"/>
      </w:pPr>
      <w:r>
        <w:t xml:space="preserve">3.6.1 Biến mục tiêu chuẩn hóa</w:t>
      </w:r>
      <w:r>
        <w:tab/>
      </w:r>
      <w:r>
        <w:t>43</w:t>
      </w:r>
    </w:p>
    <w:p>
      <w:pPr>
        <w:pStyle w:val="TOC3"/>
      </w:pPr>
      <w:r>
        <w:t xml:space="preserve">3.6.2 Ba mô hình</w:t>
      </w:r>
      <w:r>
        <w:tab/>
      </w:r>
      <w:r>
        <w:t>43</w:t>
      </w:r>
    </w:p>
    <w:p>
      <w:pPr>
        <w:pStyle w:val="TOC3"/>
      </w:pPr>
      <w:r>
        <w:t xml:space="preserve">3.6.3 Quy trình dự báo ngoài mẫu</w:t>
      </w:r>
      <w:r>
        <w:tab/>
      </w:r>
      <w:r>
        <w:t>45</w:t>
      </w:r>
    </w:p>
    <w:p>
      <w:pPr>
        <w:pStyle w:val="TOC3"/>
      </w:pPr>
      <w:r>
        <w:t xml:space="preserve">3.6.4 Đánh giá kỹ năng dự báo</w:t>
      </w:r>
      <w:r>
        <w:tab/>
      </w:r>
      <w:r>
        <w:t>45</w:t>
      </w:r>
    </w:p>
    <w:p>
      <w:pPr>
        <w:pStyle w:val="TOC2"/>
      </w:pPr>
      <w:r>
        <w:t xml:space="preserve">3.7 Thiết kế kiểm định lịch sử (backtest)</w:t>
      </w:r>
      <w:r>
        <w:tab/>
      </w:r>
      <w:r>
        <w:t>46</w:t>
      </w:r>
    </w:p>
    <w:p>
      <w:pPr>
        <w:pStyle w:val="TOC3"/>
      </w:pPr>
      <w:r>
        <w:t xml:space="preserve">3.7.1 Quy trình walk-forward</w:t>
      </w:r>
      <w:r>
        <w:tab/>
      </w:r>
      <w:r>
        <w:t>46</w:t>
      </w:r>
    </w:p>
    <w:p>
      <w:pPr>
        <w:pStyle w:val="TOC3"/>
      </w:pPr>
      <w:r>
        <w:t xml:space="preserve">3.7.2 Kịch bản và giai đoạn kiểm tra</w:t>
      </w:r>
      <w:r>
        <w:tab/>
      </w:r>
      <w:r>
        <w:t>47</w:t>
      </w:r>
    </w:p>
    <w:p>
      <w:pPr>
        <w:pStyle w:val="TOC3"/>
      </w:pPr>
      <w:r>
        <w:t xml:space="preserve">3.7.3 Chi phí giao dịch</w:t>
      </w:r>
      <w:r>
        <w:tab/>
      </w:r>
      <w:r>
        <w:t>48</w:t>
      </w:r>
    </w:p>
    <w:p>
      <w:pPr>
        <w:pStyle w:val="TOC3"/>
      </w:pPr>
      <w:r>
        <w:t xml:space="preserve">3.7.4 Thước đo hiệu quả</w:t>
      </w:r>
      <w:r>
        <w:tab/>
      </w:r>
      <w:r>
        <w:t>48</w:t>
      </w:r>
    </w:p>
    <w:p>
      <w:pPr>
        <w:pStyle w:val="TOC3"/>
      </w:pPr>
      <w:r>
        <w:t xml:space="preserve">3.7.5 Phân tích độ nhạy</w:t>
      </w:r>
      <w:r>
        <w:tab/>
      </w:r>
      <w:r>
        <w:t>49</w:t>
      </w:r>
    </w:p>
    <w:p>
      <w:pPr>
        <w:pStyle w:val="TOC2"/>
      </w:pPr>
      <w:r>
        <w:t xml:space="preserve">3.8 Kiểm định thống kê</w:t>
      </w:r>
      <w:r>
        <w:tab/>
      </w:r>
      <w:r>
        <w:t>50</w:t>
      </w:r>
    </w:p>
    <w:p>
      <w:pPr>
        <w:pStyle w:val="TOC3"/>
      </w:pPr>
      <w:r>
        <w:t xml:space="preserve">3.8.1 Giả thuyết và họ kiểm định</w:t>
      </w:r>
      <w:r>
        <w:tab/>
      </w:r>
      <w:r>
        <w:t>50</w:t>
      </w:r>
    </w:p>
    <w:p>
      <w:pPr>
        <w:pStyle w:val="TOC3"/>
      </w:pPr>
      <w:r>
        <w:t xml:space="preserve">3.8.2 Kiểm định chênh lệch Sharpe</w:t>
      </w:r>
      <w:r>
        <w:tab/>
      </w:r>
      <w:r>
        <w:t>50</w:t>
      </w:r>
    </w:p>
    <w:p>
      <w:pPr>
        <w:pStyle w:val="TOC3"/>
      </w:pPr>
      <w:r>
        <w:t xml:space="preserve">3.8.3 Kiểm soát kiểm định bội</w:t>
      </w:r>
      <w:r>
        <w:tab/>
      </w:r>
      <w:r>
        <w:t>51</w:t>
      </w:r>
    </w:p>
    <w:p>
      <w:pPr>
        <w:pStyle w:val="TOC3"/>
      </w:pPr>
      <w:r>
        <w:t xml:space="preserve">3.8.4 Độ mạnh kiểm định</w:t>
      </w:r>
      <w:r>
        <w:tab/>
      </w:r>
      <w:r>
        <w:t>51</w:t>
      </w:r>
    </w:p>
    <w:p>
      <w:pPr>
        <w:pStyle w:val="TOC3"/>
      </w:pPr>
      <w:r>
        <w:t xml:space="preserve">3.8.5 Deflated Sharpe Ratio</w:t>
      </w:r>
      <w:r>
        <w:tab/>
      </w:r>
      <w:r>
        <w:t>52</w:t>
      </w:r>
    </w:p>
    <w:p>
      <w:pPr>
        <w:pStyle w:val="TOC3"/>
      </w:pPr>
      <w:r>
        <w:t xml:space="preserve">3.8.6 Mô phỏng bootstrap và phân rã đóng góp</w:t>
      </w:r>
      <w:r>
        <w:tab/>
      </w:r>
      <w:r>
        <w:t>52</w:t>
      </w:r>
    </w:p>
    <w:p>
      <w:pPr>
        <w:pStyle w:val="TOC2"/>
      </w:pPr>
      <w:r>
        <w:t xml:space="preserve">3.9 Tóm tắt chương</w:t>
      </w:r>
      <w:r>
        <w:tab/>
      </w:r>
      <w:r>
        <w:t>53</w:t>
      </w:r>
    </w:p>
    <w:p>
      <w:pPr>
        <w:pStyle w:val="TOC1"/>
      </w:pPr>
      <w:r>
        <w:t xml:space="preserve">Chương 4. Kết quả và thảo luận</w:t>
      </w:r>
      <w:r>
        <w:tab/>
      </w:r>
      <w:r>
        <w:t>54</w:t>
      </w:r>
    </w:p>
    <w:p>
      <w:pPr>
        <w:pStyle w:val="TOC2"/>
      </w:pPr>
      <w:r>
        <w:t xml:space="preserve">4.1 Thống kê mô tả các lớp tài sản</w:t>
      </w:r>
      <w:r>
        <w:tab/>
      </w:r>
      <w:r>
        <w:t>54</w:t>
      </w:r>
    </w:p>
    <w:p>
      <w:pPr>
        <w:pStyle w:val="TOC3"/>
      </w:pPr>
      <w:r>
        <w:t xml:space="preserve">4.1.1 Lợi nhuận, rủi ro và phân phối</w:t>
      </w:r>
      <w:r>
        <w:tab/>
      </w:r>
      <w:r>
        <w:t>54</w:t>
      </w:r>
    </w:p>
    <w:p>
      <w:pPr>
        <w:pStyle w:val="TOC2"/>
      </w:pPr>
      <w:r>
        <w:t xml:space="preserve">4.2 Kỹ năng dự báo của mô hình học máy</w:t>
      </w:r>
      <w:r>
        <w:tab/>
      </w:r>
      <w:r>
        <w:t>58</w:t>
      </w:r>
    </w:p>
    <w:p>
      <w:pPr>
        <w:pStyle w:val="TOC3"/>
      </w:pPr>
      <w:r>
        <w:t xml:space="preserve">4.2.1 Kỹ năng theo từng lớp tài sản</w:t>
      </w:r>
      <w:r>
        <w:tab/>
      </w:r>
      <w:r>
        <w:t>58</w:t>
      </w:r>
    </w:p>
    <w:p>
      <w:pPr>
        <w:pStyle w:val="TOC3"/>
      </w:pPr>
      <w:r>
        <w:t xml:space="preserve">4.2.2 Kỹ năng gộp</w:t>
      </w:r>
      <w:r>
        <w:tab/>
      </w:r>
      <w:r>
        <w:t>59</w:t>
      </w:r>
    </w:p>
    <w:p>
      <w:pPr>
        <w:pStyle w:val="TOC3"/>
      </w:pPr>
      <w:r>
        <w:t xml:space="preserve">4.2.3 Mô hình học được gì</w:t>
      </w:r>
      <w:r>
        <w:tab/>
      </w:r>
      <w:r>
        <w:t>60</w:t>
      </w:r>
    </w:p>
    <w:p>
      <w:pPr>
        <w:pStyle w:val="TOC3"/>
      </w:pPr>
      <w:r>
        <w:t xml:space="preserve">4.2.4 Dự báo đi vào Black–Litterman</w:t>
      </w:r>
      <w:r>
        <w:tab/>
      </w:r>
      <w:r>
        <w:t>61</w:t>
      </w:r>
    </w:p>
    <w:p>
      <w:pPr>
        <w:pStyle w:val="TOC2"/>
      </w:pPr>
      <w:r>
        <w:t xml:space="preserve">4.3 Hiệu quả danh mục theo 9 kịch bản</w:t>
      </w:r>
      <w:r>
        <w:tab/>
      </w:r>
      <w:r>
        <w:t>64</w:t>
      </w:r>
    </w:p>
    <w:p>
      <w:pPr>
        <w:pStyle w:val="TOC3"/>
      </w:pPr>
      <w:r>
        <w:t xml:space="preserve">4.3.1 Tổng quan 9 kịch bản</w:t>
      </w:r>
      <w:r>
        <w:tab/>
      </w:r>
      <w:r>
        <w:t>64</w:t>
      </w:r>
    </w:p>
    <w:p>
      <w:pPr>
        <w:pStyle w:val="TOC3"/>
      </w:pPr>
      <w:r>
        <w:t xml:space="preserve">4.3.2 Kịch bản chính: Cân bằng / Trung hạn</w:t>
      </w:r>
      <w:r>
        <w:tab/>
      </w:r>
      <w:r>
        <w:t>66</w:t>
      </w:r>
    </w:p>
    <w:p>
      <w:pPr>
        <w:pStyle w:val="TOC3"/>
      </w:pPr>
      <w:r>
        <w:t xml:space="preserve">4.3.3 Danh mục nắm giữ những gì</w:t>
      </w:r>
      <w:r>
        <w:tab/>
      </w:r>
      <w:r>
        <w:t>68</w:t>
      </w:r>
    </w:p>
    <w:p>
      <w:pPr>
        <w:pStyle w:val="TOC2"/>
      </w:pPr>
      <w:r>
        <w:t xml:space="preserve">4.4 Hiệu quả theo năm và giai đoạn khủng hoảng</w:t>
      </w:r>
      <w:r>
        <w:tab/>
      </w:r>
      <w:r>
        <w:t>69</w:t>
      </w:r>
    </w:p>
    <w:p>
      <w:pPr>
        <w:pStyle w:val="TOC2"/>
      </w:pPr>
      <w:r>
        <w:t xml:space="preserve">4.5 Kết quả kiểm định giả thuyết H1–H3</w:t>
      </w:r>
      <w:r>
        <w:tab/>
      </w:r>
      <w:r>
        <w:t>71</w:t>
      </w:r>
    </w:p>
    <w:p>
      <w:pPr>
        <w:pStyle w:val="TOC3"/>
      </w:pPr>
      <w:r>
        <w:t xml:space="preserve">4.5.1 Kết quả chính</w:t>
      </w:r>
      <w:r>
        <w:tab/>
      </w:r>
      <w:r>
        <w:t>71</w:t>
      </w:r>
    </w:p>
    <w:p>
      <w:pPr>
        <w:pStyle w:val="TOC3"/>
      </w:pPr>
      <w:r>
        <w:t xml:space="preserve">4.5.2 Lớp nào tạo ra lợi ích đa dạng hóa</w:t>
      </w:r>
      <w:r>
        <w:tab/>
      </w:r>
      <w:r>
        <w:t>73</w:t>
      </w:r>
    </w:p>
    <w:p>
      <w:pPr>
        <w:pStyle w:val="TOC2"/>
      </w:pPr>
      <w:r>
        <w:t xml:space="preserve">4.6 Độ vững</w:t>
      </w:r>
      <w:r>
        <w:tab/>
      </w:r>
      <w:r>
        <w:t>74</w:t>
      </w:r>
    </w:p>
    <w:p>
      <w:pPr>
        <w:pStyle w:val="TOC3"/>
      </w:pPr>
      <w:r>
        <w:t xml:space="preserve">4.6.1 Độ nhạy theo giả định</w:t>
      </w:r>
      <w:r>
        <w:tab/>
      </w:r>
      <w:r>
        <w:t>74</w:t>
      </w:r>
    </w:p>
    <w:p>
      <w:pPr>
        <w:pStyle w:val="TOC3"/>
      </w:pPr>
      <w:r>
        <w:t xml:space="preserve">4.6.2 Mô phỏng bootstrap</w:t>
      </w:r>
      <w:r>
        <w:tab/>
      </w:r>
      <w:r>
        <w:t>76</w:t>
      </w:r>
    </w:p>
    <w:p>
      <w:pPr>
        <w:pStyle w:val="TOC3"/>
      </w:pPr>
      <w:r>
        <w:t xml:space="preserve">4.6.3 Deflated Sharpe Ratio</w:t>
      </w:r>
      <w:r>
        <w:tab/>
      </w:r>
      <w:r>
        <w:t>77</w:t>
      </w:r>
    </w:p>
    <w:p>
      <w:pPr>
        <w:pStyle w:val="TOC3"/>
      </w:pPr>
      <w:r>
        <w:t xml:space="preserve">4.6.4 Mức độ giống nhau giữa các phương pháp</w:t>
      </w:r>
      <w:r>
        <w:tab/>
      </w:r>
      <w:r>
        <w:t>77</w:t>
      </w:r>
    </w:p>
    <w:p>
      <w:pPr>
        <w:pStyle w:val="TOC2"/>
      </w:pPr>
      <w:r>
        <w:t xml:space="preserve">4.7 Phân rã đóng góp vào hiệu quả</w:t>
      </w:r>
      <w:r>
        <w:tab/>
      </w:r>
      <w:r>
        <w:t>78</w:t>
      </w:r>
    </w:p>
    <w:p>
      <w:pPr>
        <w:pStyle w:val="TOC3"/>
      </w:pPr>
      <w:r>
        <w:t xml:space="preserve">4.7.1 Đóng góp theo lớp tài sản</w:t>
      </w:r>
      <w:r>
        <w:tab/>
      </w:r>
      <w:r>
        <w:t>78</w:t>
      </w:r>
    </w:p>
    <w:p>
      <w:pPr>
        <w:pStyle w:val="TOC3"/>
      </w:pPr>
      <w:r>
        <w:t xml:space="preserve">4.7.2 Tác động của dải khẩu vị và cách chia tỷ trọng</w:t>
      </w:r>
      <w:r>
        <w:tab/>
      </w:r>
      <w:r>
        <w:t>78</w:t>
      </w:r>
    </w:p>
    <w:p>
      <w:pPr>
        <w:pStyle w:val="TOC2"/>
      </w:pPr>
      <w:r>
        <w:t xml:space="preserve">4.8 Thảo luận</w:t>
      </w:r>
      <w:r>
        <w:tab/>
      </w:r>
      <w:r>
        <w:t>80</w:t>
      </w:r>
    </w:p>
    <w:p>
      <w:pPr>
        <w:pStyle w:val="TOC2"/>
      </w:pPr>
      <w:r>
        <w:t xml:space="preserve">4.9 Tóm tắt chương</w:t>
      </w:r>
      <w:r>
        <w:tab/>
      </w:r>
      <w:r>
        <w:t>82</w:t>
      </w:r>
    </w:p>
    <w:p>
      <w:pPr>
        <w:pStyle w:val="TOC1"/>
      </w:pPr>
      <w:r>
        <w:t xml:space="preserve">Chương 5. Ứng dụng tư vấn PortfolioVN</w:t>
      </w:r>
      <w:r>
        <w:tab/>
      </w:r>
      <w:r>
        <w:t>83</w:t>
      </w:r>
    </w:p>
    <w:p>
      <w:pPr>
        <w:pStyle w:val="TOC2"/>
      </w:pPr>
      <w:r>
        <w:t xml:space="preserve">5.1 Yêu cầu và đối tượng người dùng</w:t>
      </w:r>
      <w:r>
        <w:tab/>
      </w:r>
      <w:r>
        <w:t>83</w:t>
      </w:r>
    </w:p>
    <w:p>
      <w:pPr>
        <w:pStyle w:val="TOC3"/>
      </w:pPr>
      <w:r>
        <w:t xml:space="preserve">5.1.1 Vai trò người dùng</w:t>
      </w:r>
      <w:r>
        <w:tab/>
      </w:r>
      <w:r>
        <w:t>83</w:t>
      </w:r>
    </w:p>
    <w:p>
      <w:pPr>
        <w:pStyle w:val="TOC3"/>
      </w:pPr>
      <w:r>
        <w:t xml:space="preserve">5.1.2 Yêu cầu chức năng và phi chức năng</w:t>
      </w:r>
      <w:r>
        <w:tab/>
      </w:r>
      <w:r>
        <w:t>83</w:t>
      </w:r>
    </w:p>
    <w:p>
      <w:pPr>
        <w:pStyle w:val="TOC2"/>
      </w:pPr>
      <w:r>
        <w:t xml:space="preserve">5.2 Kiến trúc hệ thống</w:t>
      </w:r>
      <w:r>
        <w:tab/>
      </w:r>
      <w:r>
        <w:t>85</w:t>
      </w:r>
    </w:p>
    <w:p>
      <w:pPr>
        <w:pStyle w:val="TOC3"/>
      </w:pPr>
      <w:r>
        <w:t xml:space="preserve">5.2.1 Các thành phần</w:t>
      </w:r>
      <w:r>
        <w:tab/>
      </w:r>
      <w:r>
        <w:t>85</w:t>
      </w:r>
    </w:p>
    <w:p>
      <w:pPr>
        <w:pStyle w:val="TOC3"/>
      </w:pPr>
      <w:r>
        <w:t xml:space="preserve">5.2.2 Mô hình dữ liệu</w:t>
      </w:r>
      <w:r>
        <w:tab/>
      </w:r>
      <w:r>
        <w:t>86</w:t>
      </w:r>
    </w:p>
    <w:p>
      <w:pPr>
        <w:pStyle w:val="TOC3"/>
      </w:pPr>
      <w:r>
        <w:t xml:space="preserve">5.2.3 Giao diện lập trình</w:t>
      </w:r>
      <w:r>
        <w:tab/>
      </w:r>
      <w:r>
        <w:t>87</w:t>
      </w:r>
    </w:p>
    <w:p>
      <w:pPr>
        <w:pStyle w:val="TOC2"/>
      </w:pPr>
      <w:r>
        <w:t xml:space="preserve">5.3 Luồng tư vấn</w:t>
      </w:r>
      <w:r>
        <w:tab/>
      </w:r>
      <w:r>
        <w:t>87</w:t>
      </w:r>
    </w:p>
    <w:p>
      <w:pPr>
        <w:pStyle w:val="TOC3"/>
      </w:pPr>
      <w:r>
        <w:t xml:space="preserve">5.3.1 Đánh giá khẩu vị rủi ro</w:t>
      </w:r>
      <w:r>
        <w:tab/>
      </w:r>
      <w:r>
        <w:t>88</w:t>
      </w:r>
    </w:p>
    <w:p>
      <w:pPr>
        <w:pStyle w:val="TOC3"/>
      </w:pPr>
      <w:r>
        <w:t xml:space="preserve">5.3.2 Phân bổ theo Risk Parity</w:t>
      </w:r>
      <w:r>
        <w:tab/>
      </w:r>
      <w:r>
        <w:t>90</w:t>
      </w:r>
    </w:p>
    <w:p>
      <w:pPr>
        <w:pStyle w:val="TOC3"/>
      </w:pPr>
      <w:r>
        <w:t xml:space="preserve">5.3.3 Kế hoạch thực hiện</w:t>
      </w:r>
      <w:r>
        <w:tab/>
      </w:r>
      <w:r>
        <w:t>92</w:t>
      </w:r>
    </w:p>
    <w:p>
      <w:pPr>
        <w:pStyle w:val="TOC3"/>
      </w:pPr>
      <w:r>
        <w:t xml:space="preserve">5.3.4 Rủi ro bằng tiền đồng, lịch tái cân bằng và giải thích</w:t>
      </w:r>
      <w:r>
        <w:tab/>
      </w:r>
      <w:r>
        <w:t>94</w:t>
      </w:r>
    </w:p>
    <w:p>
      <w:pPr>
        <w:pStyle w:val="TOC3"/>
      </w:pPr>
      <w:r>
        <w:t xml:space="preserve">5.3.5 Màn hình phân tích dành cho hội đồng</w:t>
      </w:r>
      <w:r>
        <w:tab/>
      </w:r>
      <w:r>
        <w:t>95</w:t>
      </w:r>
    </w:p>
    <w:p>
      <w:pPr>
        <w:pStyle w:val="TOC2"/>
      </w:pPr>
      <w:r>
        <w:t xml:space="preserve">5.4 Kiểm thử và tái lập kết quả</w:t>
      </w:r>
      <w:r>
        <w:tab/>
      </w:r>
      <w:r>
        <w:t>96</w:t>
      </w:r>
    </w:p>
    <w:p>
      <w:pPr>
        <w:pStyle w:val="TOC2"/>
      </w:pPr>
      <w:r>
        <w:t xml:space="preserve">5.5 Giới hạn của ứng dụng</w:t>
      </w:r>
      <w:r>
        <w:tab/>
      </w:r>
      <w:r>
        <w:t>97</w:t>
      </w:r>
    </w:p>
    <w:p>
      <w:pPr>
        <w:pStyle w:val="TOC2"/>
      </w:pPr>
      <w:r>
        <w:t xml:space="preserve">5.6 Tóm tắt chương</w:t>
      </w:r>
      <w:r>
        <w:tab/>
      </w:r>
      <w:r>
        <w:t>97</w:t>
      </w:r>
    </w:p>
    <w:p>
      <w:pPr>
        <w:pStyle w:val="TOC1"/>
      </w:pPr>
      <w:r>
        <w:t xml:space="preserve">Chương 6. Kết luận và hàm ý</w:t>
      </w:r>
      <w:r>
        <w:tab/>
      </w:r>
      <w:r>
        <w:t>99</w:t>
      </w:r>
    </w:p>
    <w:p>
      <w:pPr>
        <w:pStyle w:val="TOC2"/>
      </w:pPr>
      <w:r>
        <w:t xml:space="preserve">6.1 Kết luận</w:t>
      </w:r>
      <w:r>
        <w:tab/>
      </w:r>
      <w:r>
        <w:t>99</w:t>
      </w:r>
    </w:p>
    <w:p>
      <w:pPr>
        <w:pStyle w:val="TOC3"/>
      </w:pPr>
      <w:r>
        <w:t xml:space="preserve">6.1.1 Tóm tắt nghiên cứu</w:t>
      </w:r>
      <w:r>
        <w:tab/>
      </w:r>
      <w:r>
        <w:t>99</w:t>
      </w:r>
    </w:p>
    <w:p>
      <w:pPr>
        <w:pStyle w:val="TOC3"/>
      </w:pPr>
      <w:r>
        <w:t xml:space="preserve">6.1.2 Các kết luận chính</w:t>
      </w:r>
      <w:r>
        <w:tab/>
      </w:r>
      <w:r>
        <w:t>100</w:t>
      </w:r>
    </w:p>
    <w:p>
      <w:pPr>
        <w:pStyle w:val="TOC3"/>
      </w:pPr>
      <w:r>
        <w:t xml:space="preserve">6.1.3 Mức độ hoàn thành mục tiêu</w:t>
      </w:r>
      <w:r>
        <w:tab/>
      </w:r>
      <w:r>
        <w:t>101</w:t>
      </w:r>
    </w:p>
    <w:p>
      <w:pPr>
        <w:pStyle w:val="TOC2"/>
      </w:pPr>
      <w:r>
        <w:t xml:space="preserve">6.2 Hàm ý</w:t>
      </w:r>
      <w:r>
        <w:tab/>
      </w:r>
      <w:r>
        <w:t>101</w:t>
      </w:r>
    </w:p>
    <w:p>
      <w:pPr>
        <w:pStyle w:val="TOC3"/>
      </w:pPr>
      <w:r>
        <w:t xml:space="preserve">6.2.1 Cho nhà đầu tư cá nhân</w:t>
      </w:r>
      <w:r>
        <w:tab/>
      </w:r>
      <w:r>
        <w:t>101</w:t>
      </w:r>
    </w:p>
    <w:p>
      <w:pPr>
        <w:pStyle w:val="TOC3"/>
      </w:pPr>
      <w:r>
        <w:t xml:space="preserve">6.2.2 Cho dịch vụ tư vấn và công ty quản lý quỹ</w:t>
      </w:r>
      <w:r>
        <w:tab/>
      </w:r>
      <w:r>
        <w:t>102</w:t>
      </w:r>
    </w:p>
    <w:p>
      <w:pPr>
        <w:pStyle w:val="TOC3"/>
      </w:pPr>
      <w:r>
        <w:t xml:space="preserve">6.2.3 Cho nghiên cứu học thuật</w:t>
      </w:r>
      <w:r>
        <w:tab/>
      </w:r>
      <w:r>
        <w:t>103</w:t>
      </w:r>
    </w:p>
    <w:p>
      <w:pPr>
        <w:pStyle w:val="TOC2"/>
      </w:pPr>
      <w:r>
        <w:t xml:space="preserve">6.3 Hạn chế của nghiên cứu</w:t>
      </w:r>
      <w:r>
        <w:tab/>
      </w:r>
      <w:r>
        <w:t>103</w:t>
      </w:r>
    </w:p>
    <w:p>
      <w:pPr>
        <w:pStyle w:val="TOC2"/>
      </w:pPr>
      <w:r>
        <w:t xml:space="preserve">6.4 Hướng nghiên cứu tiếp theo</w:t>
      </w:r>
      <w:r>
        <w:tab/>
      </w:r>
      <w:r>
        <w:t>105</w:t>
      </w:r>
    </w:p>
    <w:p>
      <w:pPr>
        <w:pStyle w:val="TOC1"/>
      </w:pPr>
      <w:r>
        <w:t xml:space="preserve">Tài liệu tham khảo</w:t>
      </w:r>
      <w:r>
        <w:tab/>
      </w:r>
      <w:r>
        <w:t>107</w:t>
      </w:r>
    </w:p>
    <w:p>
      <w:pPr>
        <w:pStyle w:val="TOC1"/>
      </w:pPr>
      <w:r>
        <w:t xml:space="preserve">Phụ lục</w:t>
      </w:r>
      <w:r>
        <w:tab/>
      </w:r>
      <w:r>
        <w:t>112</w:t>
      </w:r>
    </w:p>
    <w:p>
      <w:pPr>
        <w:pStyle w:val="TOC2"/>
      </w:pPr>
      <w:r>
        <w:t xml:space="preserve">Phụ lục A. Nguồn dữ liệu và kiểm tra độ khớp giữa các nguồn</w:t>
      </w:r>
      <w:r>
        <w:tab/>
      </w:r>
      <w:r>
        <w:t>113</w:t>
      </w:r>
    </w:p>
    <w:p>
      <w:pPr>
        <w:pStyle w:val="TOC2"/>
      </w:pPr>
      <w:r>
        <w:t xml:space="preserve">Phụ lục B. Bảng xếp hạng vốn hóa và thành viên rổ cổ phiếu BĐS 2015–2026</w:t>
      </w:r>
      <w:r>
        <w:tab/>
      </w:r>
      <w:r>
        <w:t>114</w:t>
      </w:r>
    </w:p>
    <w:p>
      <w:pPr>
        <w:pStyle w:val="TOC2"/>
      </w:pPr>
      <w:r>
        <w:t xml:space="preserve">Phụ lục C. Kết quả kiểm định ngược đầy đủ theo 9 kịch bản</w:t>
      </w:r>
      <w:r>
        <w:tab/>
      </w:r>
      <w:r>
        <w:t>115</w:t>
      </w:r>
    </w:p>
    <w:p>
      <w:pPr>
        <w:pStyle w:val="TOC2"/>
      </w:pPr>
      <w:r>
        <w:t xml:space="preserve">Phụ lục D. Chi tiết kiểm định giả thuyết</w:t>
      </w:r>
      <w:r>
        <w:tab/>
      </w:r>
      <w:r>
        <w:t>117</w:t>
      </w:r>
    </w:p>
    <w:p>
      <w:pPr>
        <w:pStyle w:val="TOC2"/>
      </w:pPr>
      <w:r>
        <w:t xml:space="preserve">Phụ lục E. Phân tích độ nhạy</w:t>
      </w:r>
      <w:r>
        <w:tab/>
      </w:r>
      <w:r>
        <w:t>119</w:t>
      </w:r>
    </w:p>
    <w:p>
      <w:pPr>
        <w:pStyle w:val="TOC2"/>
      </w:pPr>
      <w:r>
        <w:t xml:space="preserve">Phụ lục F. Hướng dẫn tái lập kết quả</w:t>
      </w:r>
      <w:r>
        <w:tab/>
      </w:r>
      <w:r>
        <w:t>120</w:t>
      </w:r>
    </w:p>
    <w:p>
      <w:pPr>
        <w:pStyle w:val="TOC2"/>
      </w:pPr>
      <w:r>
        <w:t xml:space="preserve">Phụ lục G. Ảnh chụp màn hình ứng dụng PortfolioVN</w:t>
      </w:r>
      <w:r>
        <w:tab/>
      </w:r>
      <w:r>
        <w:t>121</w:t>
      </w:r>
      <w:r>
        <w:fldChar w:fldCharType="end"/>
      </w:r>
    </w:p>
    <w:p>
      <w:r>
        <w:br w:type="page"/>
      </w:r>
    </w:p>
    <w:p>
      <w:pPr>
        <w:pStyle w:val="FrontHeading"/>
      </w:pPr>
      <w:r>
        <w:t xml:space="preserve">DANH MỤC CÁC CHỮ VIẾT TẮT VÀ KÝ HIỆU</w:t>
      </w:r>
    </w:p>
    <w:p>
      <w:pPr>
        <w:pStyle w:val="SubHeading"/>
      </w:pPr>
      <w:r>
        <w:t xml:space="preserve">Chữ viết tắt</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p>
            <w:pPr>
              <w:pStyle w:val="Compact"/>
              <w:jc w:val="center"/>
            </w:pPr>
            <w:r>
              <w:rPr>
                <w:b/>
              </w:rPr>
              <w:t xml:space="preserve">Viết tắt</w:t>
            </w:r>
          </w:p>
        </w:tc>
        <w:tc>
          <w:tcPr/>
          <w:p>
            <w:pPr>
              <w:pStyle w:val="Compact"/>
              <w:jc w:val="center"/>
            </w:pPr>
            <w:r>
              <w:rPr>
                <w:b/>
              </w:rPr>
              <w:t xml:space="preserve">Tiếng Anh</w:t>
            </w:r>
          </w:p>
        </w:tc>
        <w:tc>
          <w:tcPr/>
          <w:p>
            <w:pPr>
              <w:pStyle w:val="Compact"/>
              <w:jc w:val="center"/>
            </w:pPr>
            <w:r>
              <w:rPr>
                <w:b/>
              </w:rPr>
              <w:t xml:space="preserve">Tiếng Việt</w:t>
            </w:r>
          </w:p>
        </w:tc>
      </w:tr>
      <w:tr>
        <w:trPr>
          <w:cantSplit/>
        </w:trPr>
        <w:tc>
          <w:tcPr/>
          <w:p>
            <w:pPr>
              <w:pStyle w:val="Compact"/>
              <w:jc w:val="left"/>
            </w:pPr>
            <w:r>
              <w:t xml:space="preserve">BĐS</w:t>
            </w:r>
          </w:p>
        </w:tc>
        <w:tc>
          <w:tcPr/>
          <w:p>
            <w:pPr>
              <w:pStyle w:val="Compact"/>
              <w:jc w:val="left"/>
            </w:pPr>
            <w:r>
              <w:t xml:space="preserve">–</w:t>
            </w:r>
          </w:p>
        </w:tc>
        <w:tc>
          <w:tcPr/>
          <w:p>
            <w:pPr>
              <w:pStyle w:val="Compact"/>
              <w:jc w:val="left"/>
            </w:pPr>
            <w:r>
              <w:t xml:space="preserve">Bất động sản</w:t>
            </w:r>
          </w:p>
        </w:tc>
      </w:tr>
      <w:tr>
        <w:trPr>
          <w:cantSplit/>
        </w:trPr>
        <w:tc>
          <w:tcPr/>
          <w:p>
            <w:pPr>
              <w:pStyle w:val="Compact"/>
              <w:jc w:val="left"/>
            </w:pPr>
            <w:r>
              <w:t xml:space="preserve">API</w:t>
            </w:r>
          </w:p>
        </w:tc>
        <w:tc>
          <w:tcPr/>
          <w:p>
            <w:pPr>
              <w:pStyle w:val="Compact"/>
              <w:jc w:val="left"/>
            </w:pPr>
            <w:r>
              <w:t xml:space="preserve">Application Programming Interface</w:t>
            </w:r>
          </w:p>
        </w:tc>
        <w:tc>
          <w:tcPr/>
          <w:p>
            <w:pPr>
              <w:pStyle w:val="Compact"/>
              <w:jc w:val="left"/>
            </w:pPr>
            <w:r>
              <w:t xml:space="preserve">Giao diện lập trình ứng dụng</w:t>
            </w:r>
          </w:p>
        </w:tc>
      </w:tr>
      <w:tr>
        <w:trPr>
          <w:cantSplit/>
        </w:trPr>
        <w:tc>
          <w:tcPr/>
          <w:p>
            <w:pPr>
              <w:pStyle w:val="Compact"/>
              <w:jc w:val="left"/>
            </w:pPr>
            <w:r>
              <w:t xml:space="preserve">BL</w:t>
            </w:r>
          </w:p>
        </w:tc>
        <w:tc>
          <w:tcPr/>
          <w:p>
            <w:pPr>
              <w:pStyle w:val="Compact"/>
              <w:jc w:val="left"/>
            </w:pPr>
            <w:r>
              <w:t xml:space="preserve">Black–Litterman</w:t>
            </w:r>
          </w:p>
        </w:tc>
        <w:tc>
          <w:tcPr/>
          <w:p>
            <w:pPr>
              <w:pStyle w:val="Compact"/>
              <w:jc w:val="left"/>
            </w:pPr>
            <w:r>
              <w:t xml:space="preserve">Mô hình Black–Litterman</w:t>
            </w:r>
          </w:p>
        </w:tc>
      </w:tr>
      <w:tr>
        <w:trPr>
          <w:cantSplit/>
        </w:trPr>
        <w:tc>
          <w:tcPr/>
          <w:p>
            <w:pPr>
              <w:pStyle w:val="Compact"/>
              <w:jc w:val="left"/>
            </w:pPr>
            <w:r>
              <w:t xml:space="preserve">CV</w:t>
            </w:r>
          </w:p>
        </w:tc>
        <w:tc>
          <w:tcPr/>
          <w:p>
            <w:pPr>
              <w:pStyle w:val="Compact"/>
              <w:jc w:val="left"/>
            </w:pPr>
            <w:r>
              <w:t xml:space="preserve">Cross-validation</w:t>
            </w:r>
          </w:p>
        </w:tc>
        <w:tc>
          <w:tcPr/>
          <w:p>
            <w:pPr>
              <w:pStyle w:val="Compact"/>
              <w:jc w:val="left"/>
            </w:pPr>
            <w:r>
              <w:t xml:space="preserve">Kiểm định chéo</w:t>
            </w:r>
          </w:p>
        </w:tc>
      </w:tr>
      <w:tr>
        <w:trPr>
          <w:cantSplit/>
        </w:trPr>
        <w:tc>
          <w:tcPr/>
          <w:p>
            <w:pPr>
              <w:pStyle w:val="Compact"/>
              <w:jc w:val="left"/>
            </w:pPr>
            <w:r>
              <w:t xml:space="preserve">CVaR</w:t>
            </w:r>
          </w:p>
        </w:tc>
        <w:tc>
          <w:tcPr/>
          <w:p>
            <w:pPr>
              <w:pStyle w:val="Compact"/>
              <w:jc w:val="left"/>
            </w:pPr>
            <w:r>
              <w:t xml:space="preserve">Conditional Value at Risk</w:t>
            </w:r>
          </w:p>
        </w:tc>
        <w:tc>
          <w:tcPr/>
          <w:p>
            <w:pPr>
              <w:pStyle w:val="Compact"/>
              <w:jc w:val="left"/>
            </w:pPr>
            <w:r>
              <w:t xml:space="preserve">Giá trị rủi ro có điều kiện</w:t>
            </w:r>
          </w:p>
        </w:tc>
      </w:tr>
      <w:tr>
        <w:trPr>
          <w:cantSplit/>
        </w:trPr>
        <w:tc>
          <w:tcPr/>
          <w:p>
            <w:pPr>
              <w:pStyle w:val="Compact"/>
              <w:jc w:val="left"/>
            </w:pPr>
            <w:r>
              <w:t xml:space="preserve">DSR</w:t>
            </w:r>
          </w:p>
        </w:tc>
        <w:tc>
          <w:tcPr/>
          <w:p>
            <w:pPr>
              <w:pStyle w:val="Compact"/>
              <w:jc w:val="left"/>
            </w:pPr>
            <w:r>
              <w:t xml:space="preserve">Deflated Sharpe Ratio</w:t>
            </w:r>
          </w:p>
        </w:tc>
        <w:tc>
          <w:tcPr/>
          <w:p>
            <w:pPr>
              <w:pStyle w:val="Compact"/>
              <w:jc w:val="left"/>
            </w:pPr>
            <w:r>
              <w:t xml:space="preserve">Hệ số Sharpe điều chỉnh thiên lệch chọn lọc</w:t>
            </w:r>
          </w:p>
        </w:tc>
      </w:tr>
      <w:tr>
        <w:trPr>
          <w:cantSplit/>
        </w:trPr>
        <w:tc>
          <w:tcPr/>
          <w:p>
            <w:pPr>
              <w:pStyle w:val="Compact"/>
              <w:jc w:val="left"/>
            </w:pPr>
            <w:r>
              <w:t xml:space="preserve">ERC</w:t>
            </w:r>
          </w:p>
        </w:tc>
        <w:tc>
          <w:tcPr/>
          <w:p>
            <w:pPr>
              <w:pStyle w:val="Compact"/>
              <w:jc w:val="left"/>
            </w:pPr>
            <w:r>
              <w:t xml:space="preserve">Equal Risk Contribution</w:t>
            </w:r>
          </w:p>
        </w:tc>
        <w:tc>
          <w:tcPr/>
          <w:p>
            <w:pPr>
              <w:pStyle w:val="Compact"/>
              <w:jc w:val="left"/>
            </w:pPr>
            <w:r>
              <w:t xml:space="preserve">Đóng góp rủi ro đều</w:t>
            </w:r>
          </w:p>
        </w:tc>
      </w:tr>
      <w:tr>
        <w:trPr>
          <w:cantSplit/>
        </w:trPr>
        <w:tc>
          <w:tcPr/>
          <w:p>
            <w:pPr>
              <w:pStyle w:val="Compact"/>
              <w:jc w:val="left"/>
            </w:pPr>
            <w:r>
              <w:t xml:space="preserve">ETF</w:t>
            </w:r>
          </w:p>
        </w:tc>
        <w:tc>
          <w:tcPr/>
          <w:p>
            <w:pPr>
              <w:pStyle w:val="Compact"/>
              <w:jc w:val="left"/>
            </w:pPr>
            <w:r>
              <w:t xml:space="preserve">Exchange-Traded Fund</w:t>
            </w:r>
          </w:p>
        </w:tc>
        <w:tc>
          <w:tcPr/>
          <w:p>
            <w:pPr>
              <w:pStyle w:val="Compact"/>
              <w:jc w:val="left"/>
            </w:pPr>
            <w:r>
              <w:t xml:space="preserve">Quỹ hoán đổi danh mục</w:t>
            </w:r>
          </w:p>
        </w:tc>
      </w:tr>
      <w:tr>
        <w:trPr>
          <w:cantSplit/>
        </w:trPr>
        <w:tc>
          <w:tcPr/>
          <w:p>
            <w:pPr>
              <w:pStyle w:val="Compact"/>
              <w:jc w:val="left"/>
            </w:pPr>
            <w:r>
              <w:t xml:space="preserve">EW</w:t>
            </w:r>
          </w:p>
        </w:tc>
        <w:tc>
          <w:tcPr/>
          <w:p>
            <w:pPr>
              <w:pStyle w:val="Compact"/>
              <w:jc w:val="left"/>
            </w:pPr>
            <w:r>
              <w:t xml:space="preserve">Equal Weight</w:t>
            </w:r>
          </w:p>
        </w:tc>
        <w:tc>
          <w:tcPr/>
          <w:p>
            <w:pPr>
              <w:pStyle w:val="Compact"/>
              <w:jc w:val="left"/>
            </w:pPr>
            <w:r>
              <w:t xml:space="preserve">Phân bổ đều</w:t>
            </w:r>
          </w:p>
        </w:tc>
      </w:tr>
      <w:tr>
        <w:trPr>
          <w:cantSplit/>
        </w:trPr>
        <w:tc>
          <w:tcPr/>
          <w:p>
            <w:pPr>
              <w:pStyle w:val="Compact"/>
              <w:jc w:val="left"/>
            </w:pPr>
            <w:r>
              <w:t xml:space="preserve">EWMA</w:t>
            </w:r>
          </w:p>
        </w:tc>
        <w:tc>
          <w:tcPr/>
          <w:p>
            <w:pPr>
              <w:pStyle w:val="Compact"/>
              <w:jc w:val="left"/>
            </w:pPr>
            <w:r>
              <w:t xml:space="preserve">Exponentially Weighted Moving Average</w:t>
            </w:r>
          </w:p>
        </w:tc>
        <w:tc>
          <w:tcPr/>
          <w:p>
            <w:pPr>
              <w:pStyle w:val="Compact"/>
              <w:jc w:val="left"/>
            </w:pPr>
            <w:r>
              <w:t xml:space="preserve">Trung bình trượt có trọng số mũ</w:t>
            </w:r>
          </w:p>
        </w:tc>
      </w:tr>
      <w:tr>
        <w:trPr>
          <w:cantSplit/>
        </w:trPr>
        <w:tc>
          <w:tcPr/>
          <w:p>
            <w:pPr>
              <w:pStyle w:val="Compact"/>
              <w:jc w:val="left"/>
            </w:pPr>
            <w:r>
              <w:t xml:space="preserve">HAC</w:t>
            </w:r>
          </w:p>
        </w:tc>
        <w:tc>
          <w:tcPr/>
          <w:p>
            <w:pPr>
              <w:pStyle w:val="Compact"/>
              <w:jc w:val="left"/>
            </w:pPr>
            <w:r>
              <w:t xml:space="preserve">Heteroskedasticity and Autocorrelation Consistent</w:t>
            </w:r>
          </w:p>
        </w:tc>
        <w:tc>
          <w:tcPr/>
          <w:p>
            <w:pPr>
              <w:pStyle w:val="Compact"/>
              <w:jc w:val="left"/>
            </w:pPr>
            <w:r>
              <w:t xml:space="preserve">Vững với phương sai thay đổi và tự tương quan</w:t>
            </w:r>
          </w:p>
        </w:tc>
      </w:tr>
      <w:tr>
        <w:trPr>
          <w:cantSplit/>
        </w:trPr>
        <w:tc>
          <w:tcPr/>
          <w:p>
            <w:pPr>
              <w:pStyle w:val="Compact"/>
              <w:jc w:val="left"/>
            </w:pPr>
            <w:r>
              <w:t xml:space="preserve">HOSE</w:t>
            </w:r>
          </w:p>
        </w:tc>
        <w:tc>
          <w:tcPr/>
          <w:p>
            <w:pPr>
              <w:pStyle w:val="Compact"/>
              <w:jc w:val="left"/>
            </w:pPr>
            <w:r>
              <w:t xml:space="preserve">Ho Chi Minh Stock Exchange</w:t>
            </w:r>
          </w:p>
        </w:tc>
        <w:tc>
          <w:tcPr/>
          <w:p>
            <w:pPr>
              <w:pStyle w:val="Compact"/>
              <w:jc w:val="left"/>
            </w:pPr>
            <w:r>
              <w:t xml:space="preserve">Sở Giao dịch Chứng khoán TP.HCM</w:t>
            </w:r>
          </w:p>
        </w:tc>
      </w:tr>
      <w:tr>
        <w:trPr>
          <w:cantSplit/>
        </w:trPr>
        <w:tc>
          <w:tcPr/>
          <w:p>
            <w:pPr>
              <w:pStyle w:val="Compact"/>
              <w:jc w:val="left"/>
            </w:pPr>
            <w:r>
              <w:t xml:space="preserve">HRP</w:t>
            </w:r>
          </w:p>
        </w:tc>
        <w:tc>
          <w:tcPr/>
          <w:p>
            <w:pPr>
              <w:pStyle w:val="Compact"/>
              <w:jc w:val="left"/>
            </w:pPr>
            <w:r>
              <w:t xml:space="preserve">Hierarchical Risk Parity</w:t>
            </w:r>
          </w:p>
        </w:tc>
        <w:tc>
          <w:tcPr/>
          <w:p>
            <w:pPr>
              <w:pStyle w:val="Compact"/>
              <w:jc w:val="left"/>
            </w:pPr>
            <w:r>
              <w:t xml:space="preserve">Phân bổ rủi ro cân bằng phân cấp</w:t>
            </w:r>
          </w:p>
        </w:tc>
      </w:tr>
      <w:tr>
        <w:trPr>
          <w:cantSplit/>
        </w:trPr>
        <w:tc>
          <w:tcPr/>
          <w:p>
            <w:pPr>
              <w:pStyle w:val="Compact"/>
              <w:jc w:val="left"/>
            </w:pPr>
            <w:r>
              <w:t xml:space="preserve">IC</w:t>
            </w:r>
          </w:p>
        </w:tc>
        <w:tc>
          <w:tcPr/>
          <w:p>
            <w:pPr>
              <w:pStyle w:val="Compact"/>
              <w:jc w:val="left"/>
            </w:pPr>
            <w:r>
              <w:t xml:space="preserve">Information Coefficient</w:t>
            </w:r>
          </w:p>
        </w:tc>
        <w:tc>
          <w:tcPr/>
          <w:p>
            <w:pPr>
              <w:pStyle w:val="Compact"/>
              <w:jc w:val="left"/>
            </w:pPr>
            <w:r>
              <w:t xml:space="preserve">Hệ số thông tin</w:t>
            </w:r>
          </w:p>
        </w:tc>
      </w:tr>
      <w:tr>
        <w:trPr>
          <w:cantSplit/>
        </w:trPr>
        <w:tc>
          <w:tcPr/>
          <w:p>
            <w:pPr>
              <w:pStyle w:val="Compact"/>
              <w:jc w:val="left"/>
            </w:pPr>
            <w:r>
              <w:t xml:space="preserve">LW</w:t>
            </w:r>
          </w:p>
        </w:tc>
        <w:tc>
          <w:tcPr/>
          <w:p>
            <w:pPr>
              <w:pStyle w:val="Compact"/>
              <w:jc w:val="left"/>
            </w:pPr>
            <w:r>
              <w:t xml:space="preserve">Ledoit–Wolf</w:t>
            </w:r>
          </w:p>
        </w:tc>
        <w:tc>
          <w:tcPr/>
          <w:p>
            <w:pPr>
              <w:pStyle w:val="Compact"/>
              <w:jc w:val="left"/>
            </w:pPr>
            <w:r>
              <w:t xml:space="preserve">–</w:t>
            </w:r>
          </w:p>
        </w:tc>
      </w:tr>
      <w:tr>
        <w:trPr>
          <w:cantSplit/>
        </w:trPr>
        <w:tc>
          <w:tcPr/>
          <w:p>
            <w:pPr>
              <w:pStyle w:val="Compact"/>
              <w:jc w:val="left"/>
            </w:pPr>
            <w:r>
              <w:t xml:space="preserve">MDD</w:t>
            </w:r>
          </w:p>
        </w:tc>
        <w:tc>
          <w:tcPr/>
          <w:p>
            <w:pPr>
              <w:pStyle w:val="Compact"/>
              <w:jc w:val="left"/>
            </w:pPr>
            <w:r>
              <w:t xml:space="preserve">Maximum Drawdown</w:t>
            </w:r>
          </w:p>
        </w:tc>
        <w:tc>
          <w:tcPr/>
          <w:p>
            <w:pPr>
              <w:pStyle w:val="Compact"/>
              <w:jc w:val="left"/>
            </w:pPr>
            <w:r>
              <w:t xml:space="preserve">Mức sụt giảm tối đa</w:t>
            </w:r>
          </w:p>
        </w:tc>
      </w:tr>
      <w:tr>
        <w:trPr>
          <w:cantSplit/>
        </w:trPr>
        <w:tc>
          <w:tcPr/>
          <w:p>
            <w:pPr>
              <w:pStyle w:val="Compact"/>
              <w:jc w:val="left"/>
            </w:pPr>
            <w:r>
              <w:t xml:space="preserve">MDE</w:t>
            </w:r>
          </w:p>
        </w:tc>
        <w:tc>
          <w:tcPr/>
          <w:p>
            <w:pPr>
              <w:pStyle w:val="Compact"/>
              <w:jc w:val="left"/>
            </w:pPr>
            <w:r>
              <w:t xml:space="preserve">Minimum Detectable Effect</w:t>
            </w:r>
          </w:p>
        </w:tc>
        <w:tc>
          <w:tcPr/>
          <w:p>
            <w:pPr>
              <w:pStyle w:val="Compact"/>
              <w:jc w:val="left"/>
            </w:pPr>
            <w:r>
              <w:t xml:space="preserve">Chênh lệch tối thiểu phát hiện được</w:t>
            </w:r>
          </w:p>
        </w:tc>
      </w:tr>
      <w:tr>
        <w:trPr>
          <w:cantSplit/>
        </w:trPr>
        <w:tc>
          <w:tcPr/>
          <w:p>
            <w:pPr>
              <w:pStyle w:val="Compact"/>
              <w:jc w:val="left"/>
            </w:pPr>
            <w:r>
              <w:t xml:space="preserve">MLP</w:t>
            </w:r>
          </w:p>
        </w:tc>
        <w:tc>
          <w:tcPr/>
          <w:p>
            <w:pPr>
              <w:pStyle w:val="Compact"/>
              <w:jc w:val="left"/>
            </w:pPr>
            <w:r>
              <w:t xml:space="preserve">Multilayer Perceptron</w:t>
            </w:r>
          </w:p>
        </w:tc>
        <w:tc>
          <w:tcPr/>
          <w:p>
            <w:pPr>
              <w:pStyle w:val="Compact"/>
              <w:jc w:val="left"/>
            </w:pPr>
            <w:r>
              <w:t xml:space="preserve">Mạng nơ-ron nhiều lớp</w:t>
            </w:r>
          </w:p>
        </w:tc>
      </w:tr>
      <w:tr>
        <w:trPr>
          <w:cantSplit/>
        </w:trPr>
        <w:tc>
          <w:tcPr/>
          <w:p>
            <w:pPr>
              <w:pStyle w:val="Compact"/>
              <w:jc w:val="left"/>
            </w:pPr>
            <w:r>
              <w:t xml:space="preserve">MVO</w:t>
            </w:r>
          </w:p>
        </w:tc>
        <w:tc>
          <w:tcPr/>
          <w:p>
            <w:pPr>
              <w:pStyle w:val="Compact"/>
              <w:jc w:val="left"/>
            </w:pPr>
            <w:r>
              <w:t xml:space="preserve">Mean–Variance Optimization</w:t>
            </w:r>
          </w:p>
        </w:tc>
        <w:tc>
          <w:tcPr/>
          <w:p>
            <w:pPr>
              <w:pStyle w:val="Compact"/>
              <w:jc w:val="left"/>
            </w:pPr>
            <w:r>
              <w:t xml:space="preserve">Tối ưu trung bình–phương sai</w:t>
            </w:r>
          </w:p>
        </w:tc>
      </w:tr>
      <w:tr>
        <w:trPr>
          <w:cantSplit/>
        </w:trPr>
        <w:tc>
          <w:tcPr/>
          <w:p>
            <w:pPr>
              <w:pStyle w:val="Compact"/>
              <w:jc w:val="left"/>
            </w:pPr>
            <w:r>
              <w:t xml:space="preserve">NAV</w:t>
            </w:r>
          </w:p>
        </w:tc>
        <w:tc>
          <w:tcPr/>
          <w:p>
            <w:pPr>
              <w:pStyle w:val="Compact"/>
              <w:jc w:val="left"/>
            </w:pPr>
            <w:r>
              <w:t xml:space="preserve">Net Asset Value</w:t>
            </w:r>
          </w:p>
        </w:tc>
        <w:tc>
          <w:tcPr/>
          <w:p>
            <w:pPr>
              <w:pStyle w:val="Compact"/>
              <w:jc w:val="left"/>
            </w:pPr>
            <w:r>
              <w:t xml:space="preserve">Giá trị tài sản ròng</w:t>
            </w:r>
          </w:p>
        </w:tc>
      </w:tr>
      <w:tr>
        <w:trPr>
          <w:cantSplit/>
        </w:trPr>
        <w:tc>
          <w:tcPr/>
          <w:p>
            <w:pPr>
              <w:pStyle w:val="Compact"/>
              <w:jc w:val="left"/>
            </w:pPr>
            <w:r>
              <w:t xml:space="preserve">RL</w:t>
            </w:r>
          </w:p>
        </w:tc>
        <w:tc>
          <w:tcPr/>
          <w:p>
            <w:pPr>
              <w:pStyle w:val="Compact"/>
              <w:jc w:val="left"/>
            </w:pPr>
            <w:r>
              <w:t xml:space="preserve">Reinforcement Learning</w:t>
            </w:r>
          </w:p>
        </w:tc>
        <w:tc>
          <w:tcPr/>
          <w:p>
            <w:pPr>
              <w:pStyle w:val="Compact"/>
              <w:jc w:val="left"/>
            </w:pPr>
            <w:r>
              <w:t xml:space="preserve">Học tăng cường</w:t>
            </w:r>
          </w:p>
        </w:tc>
      </w:tr>
      <w:tr>
        <w:trPr>
          <w:cantSplit/>
        </w:trPr>
        <w:tc>
          <w:tcPr/>
          <w:p>
            <w:pPr>
              <w:pStyle w:val="Compact"/>
              <w:jc w:val="left"/>
            </w:pPr>
            <w:r>
              <w:t xml:space="preserve">RP</w:t>
            </w:r>
          </w:p>
        </w:tc>
        <w:tc>
          <w:tcPr/>
          <w:p>
            <w:pPr>
              <w:pStyle w:val="Compact"/>
              <w:jc w:val="left"/>
            </w:pPr>
            <w:r>
              <w:t xml:space="preserve">Risk Parity</w:t>
            </w:r>
          </w:p>
        </w:tc>
        <w:tc>
          <w:tcPr/>
          <w:p>
            <w:pPr>
              <w:pStyle w:val="Compact"/>
              <w:jc w:val="left"/>
            </w:pPr>
            <w:r>
              <w:t xml:space="preserve">Phân bổ cân bằng rủi ro</w:t>
            </w:r>
          </w:p>
        </w:tc>
      </w:tr>
      <w:tr>
        <w:trPr>
          <w:cantSplit/>
        </w:trPr>
        <w:tc>
          <w:tcPr/>
          <w:p>
            <w:pPr>
              <w:pStyle w:val="Compact"/>
              <w:jc w:val="left"/>
            </w:pPr>
            <w:r>
              <w:t xml:space="preserve">R²</w:t>
            </w:r>
            <w:r>
              <w:rPr>
                <w:vertAlign w:val="subscript"/>
              </w:rPr>
              <w:t xml:space="preserve">OS</w:t>
            </w:r>
          </w:p>
        </w:tc>
        <w:tc>
          <w:tcPr/>
          <w:p>
            <w:pPr>
              <w:pStyle w:val="Compact"/>
              <w:jc w:val="left"/>
            </w:pPr>
            <w:r>
              <w:t xml:space="preserve">Out-of-sample R²</w:t>
            </w:r>
          </w:p>
        </w:tc>
        <w:tc>
          <w:tcPr/>
          <w:p>
            <w:pPr>
              <w:pStyle w:val="Compact"/>
              <w:jc w:val="left"/>
            </w:pPr>
            <w:r>
              <w:t xml:space="preserve">R² ngoài mẫu</w:t>
            </w:r>
          </w:p>
        </w:tc>
      </w:tr>
      <w:tr>
        <w:trPr>
          <w:cantSplit/>
        </w:trPr>
        <w:tc>
          <w:tcPr/>
          <w:p>
            <w:pPr>
              <w:pStyle w:val="Compact"/>
              <w:jc w:val="left"/>
            </w:pPr>
            <w:r>
              <w:t xml:space="preserve">SJC</w:t>
            </w:r>
          </w:p>
        </w:tc>
        <w:tc>
          <w:tcPr/>
          <w:p>
            <w:pPr>
              <w:pStyle w:val="Compact"/>
              <w:jc w:val="left"/>
            </w:pPr>
            <w:r>
              <w:t xml:space="preserve">Saigon Jewelry Company</w:t>
            </w:r>
          </w:p>
        </w:tc>
        <w:tc>
          <w:tcPr/>
          <w:p>
            <w:pPr>
              <w:pStyle w:val="Compact"/>
              <w:jc w:val="left"/>
            </w:pPr>
            <w:r>
              <w:t xml:space="preserve">Công ty Vàng bạc Đá quý Sài Gòn</w:t>
            </w:r>
          </w:p>
        </w:tc>
      </w:tr>
      <w:tr>
        <w:trPr>
          <w:cantSplit/>
        </w:trPr>
        <w:tc>
          <w:tcPr/>
          <w:p>
            <w:pPr>
              <w:pStyle w:val="Compact"/>
              <w:jc w:val="left"/>
            </w:pPr>
            <w:r>
              <w:t xml:space="preserve">SR</w:t>
            </w:r>
          </w:p>
        </w:tc>
        <w:tc>
          <w:tcPr/>
          <w:p>
            <w:pPr>
              <w:pStyle w:val="Compact"/>
              <w:jc w:val="left"/>
            </w:pPr>
            <w:r>
              <w:t xml:space="preserve">Sharpe Ratio</w:t>
            </w:r>
          </w:p>
        </w:tc>
        <w:tc>
          <w:tcPr/>
          <w:p>
            <w:pPr>
              <w:pStyle w:val="Compact"/>
              <w:jc w:val="left"/>
            </w:pPr>
            <w:r>
              <w:t xml:space="preserve">Hệ số Sharpe</w:t>
            </w:r>
          </w:p>
        </w:tc>
      </w:tr>
      <w:tr>
        <w:trPr>
          <w:cantSplit/>
        </w:trPr>
        <w:tc>
          <w:tcPr/>
          <w:p>
            <w:pPr>
              <w:pStyle w:val="Compact"/>
              <w:jc w:val="left"/>
            </w:pPr>
            <w:r>
              <w:t xml:space="preserve">TPCP / TPDN</w:t>
            </w:r>
          </w:p>
        </w:tc>
        <w:tc>
          <w:tcPr/>
          <w:p>
            <w:pPr>
              <w:pStyle w:val="Compact"/>
              <w:jc w:val="left"/>
            </w:pPr>
            <w:r>
              <w:t xml:space="preserve">–</w:t>
            </w:r>
          </w:p>
        </w:tc>
        <w:tc>
          <w:tcPr/>
          <w:p>
            <w:pPr>
              <w:pStyle w:val="Compact"/>
              <w:jc w:val="left"/>
            </w:pPr>
            <w:r>
              <w:t xml:space="preserve">Trái phiếu Chính phủ / Trái phiếu doanh nghiệp</w:t>
            </w:r>
          </w:p>
        </w:tc>
      </w:tr>
      <w:tr>
        <w:trPr>
          <w:cantSplit/>
        </w:trPr>
        <w:tc>
          <w:tcPr/>
          <w:p>
            <w:pPr>
              <w:pStyle w:val="Compact"/>
              <w:jc w:val="left"/>
            </w:pPr>
            <w:r>
              <w:t xml:space="preserve">VaR</w:t>
            </w:r>
          </w:p>
        </w:tc>
        <w:tc>
          <w:tcPr/>
          <w:p>
            <w:pPr>
              <w:pStyle w:val="Compact"/>
              <w:jc w:val="left"/>
            </w:pPr>
            <w:r>
              <w:t xml:space="preserve">Value at Risk</w:t>
            </w:r>
          </w:p>
        </w:tc>
        <w:tc>
          <w:tcPr/>
          <w:p>
            <w:pPr>
              <w:pStyle w:val="Compact"/>
              <w:jc w:val="left"/>
            </w:pPr>
            <w:r>
              <w:t xml:space="preserve">Giá trị chịu rủi ro</w:t>
            </w:r>
          </w:p>
        </w:tc>
      </w:tr>
      <w:tr>
        <w:trPr>
          <w:cantSplit/>
        </w:trPr>
        <w:tc>
          <w:tcPr/>
          <w:p>
            <w:pPr>
              <w:pStyle w:val="Compact"/>
              <w:jc w:val="left"/>
            </w:pPr>
            <w:r>
              <w:t xml:space="preserve">VCB</w:t>
            </w:r>
          </w:p>
        </w:tc>
        <w:tc>
          <w:tcPr/>
          <w:p>
            <w:pPr>
              <w:pStyle w:val="Compact"/>
              <w:jc w:val="left"/>
            </w:pPr>
            <w:r>
              <w:t xml:space="preserve">Vietcombank</w:t>
            </w:r>
          </w:p>
        </w:tc>
        <w:tc>
          <w:tcPr/>
          <w:p>
            <w:pPr>
              <w:pStyle w:val="Compact"/>
              <w:jc w:val="left"/>
            </w:pPr>
            <w:r>
              <w:t xml:space="preserve">Ngân hàng TMCP Ngoại thương Việt Nam</w:t>
            </w:r>
          </w:p>
        </w:tc>
      </w:tr>
    </w:tbl>
    <w:p>
      <w:pPr>
        <w:pStyle w:val="SubHeading"/>
        <w:spacing w:before="200"/>
      </w:pPr>
      <w:r>
        <w:t xml:space="preserve">Ký hiệu</w:t>
      </w:r>
    </w:p>
    <w:tbl>
      <w:tblPr>
        <w:tblStyle w:val="Table"/>
        <w:tblW w:type="pct" w:w="5000"/>
        <w:jc w:val="center"/>
        <w:tblLook w:firstRow="1" w:lastRow="0" w:firstColumn="0" w:lastColumn="0" w:noHBand="0" w:noVBand="0" w:val="0020"/>
      </w:tblPr>
      <w:tblGrid>
        <w:gridCol w:w="1250"/>
        <w:gridCol w:w="6669"/>
      </w:tblGrid>
      <w:tr>
        <w:trPr>
          <w:tblHeader w:val="true"/>
        </w:trPr>
        <w:tc>
          <w:tcPr/>
          <w:p>
            <w:pPr>
              <w:pStyle w:val="Compact"/>
              <w:jc w:val="center"/>
            </w:pPr>
            <w:r>
              <w:rPr>
                <w:b/>
              </w:rPr>
              <w:t xml:space="preserve">Ký hiệu</w:t>
            </w:r>
          </w:p>
        </w:tc>
        <w:tc>
          <w:tcPr/>
          <w:p>
            <w:pPr>
              <w:pStyle w:val="Compact"/>
              <w:jc w:val="center"/>
            </w:pPr>
            <w:r>
              <w:rPr>
                <w:b/>
              </w:rPr>
              <w:t xml:space="preserve">Ý nghĩa</w:t>
            </w:r>
          </w:p>
        </w:tc>
      </w:tr>
      <w:tr>
        <w:trPr>
          <w:cantSplit/>
        </w:trPr>
        <w:tc>
          <w:tcPr/>
          <w:p>
            <w:pPr>
              <w:pStyle w:val="Compact"/>
              <w:jc w:val="left"/>
            </w:pPr>
            <w:r>
              <w:t xml:space="preserve">N</w:t>
            </w:r>
          </w:p>
        </w:tc>
        <w:tc>
          <w:tcPr/>
          <w:p>
            <w:pPr>
              <w:pStyle w:val="Compact"/>
              <w:jc w:val="left"/>
            </w:pPr>
            <w:r>
              <w:t xml:space="preserve">Số lớp tài sản trong danh mục</w:t>
            </w:r>
          </w:p>
        </w:tc>
      </w:tr>
      <w:tr>
        <w:trPr>
          <w:cantSplit/>
        </w:trPr>
        <w:tc>
          <w:tcPr/>
          <w:p>
            <w:pPr>
              <w:pStyle w:val="Compact"/>
              <w:jc w:val="left"/>
            </w:pPr>
            <w:r>
              <w:t xml:space="preserve">w</w:t>
            </w:r>
          </w:p>
        </w:tc>
        <w:tc>
          <w:tcPr/>
          <w:p>
            <w:pPr>
              <w:pStyle w:val="Compact"/>
              <w:jc w:val="left"/>
            </w:pPr>
            <w:r>
              <w:t xml:space="preserve">Véc-tơ tỷ trọng danh mục</w:t>
            </w:r>
          </w:p>
        </w:tc>
      </w:tr>
      <w:tr>
        <w:trPr>
          <w:cantSplit/>
        </w:trPr>
        <w:tc>
          <w:tcPr/>
          <w:p>
            <w:pPr>
              <w:pStyle w:val="Compact"/>
              <w:jc w:val="left"/>
            </w:pPr>
            <w:r>
              <w:t xml:space="preserve">μ</w:t>
            </w:r>
          </w:p>
        </w:tc>
        <w:tc>
          <w:tcPr/>
          <w:p>
            <w:pPr>
              <w:pStyle w:val="Compact"/>
              <w:jc w:val="left"/>
            </w:pPr>
            <w:r>
              <w:t xml:space="preserve">Véc-tơ lợi nhuận kỳ vọng</w:t>
            </w:r>
          </w:p>
        </w:tc>
      </w:tr>
      <w:tr>
        <w:trPr>
          <w:cantSplit/>
        </w:trPr>
        <w:tc>
          <w:tcPr/>
          <w:p>
            <w:pPr>
              <w:pStyle w:val="Compact"/>
              <w:jc w:val="left"/>
            </w:pPr>
            <w:r>
              <w:t xml:space="preserve">Σ</w:t>
            </w:r>
          </w:p>
        </w:tc>
        <w:tc>
          <w:tcPr/>
          <w:p>
            <w:pPr>
              <w:pStyle w:val="Compact"/>
              <w:jc w:val="left"/>
            </w:pPr>
            <w:r>
              <w:t xml:space="preserve">Ma trận hiệp phương sai lợi nhuận</w:t>
            </w:r>
          </w:p>
        </w:tc>
      </w:tr>
      <w:tr>
        <w:trPr>
          <w:cantSplit/>
        </w:trPr>
        <w:tc>
          <w:tcPr/>
          <w:p>
            <w:pPr>
              <w:pStyle w:val="Compact"/>
              <w:jc w:val="left"/>
            </w:pPr>
            <w:r>
              <w:t xml:space="preserve">δ</w:t>
            </w:r>
          </w:p>
        </w:tc>
        <w:tc>
          <w:tcPr/>
          <w:p>
            <w:pPr>
              <w:pStyle w:val="Compact"/>
              <w:jc w:val="left"/>
            </w:pPr>
            <w:r>
              <w:t xml:space="preserve">Hệ số ngại rủi ro</w:t>
            </w:r>
          </w:p>
        </w:tc>
      </w:tr>
      <w:tr>
        <w:trPr>
          <w:cantSplit/>
        </w:trPr>
        <w:tc>
          <w:tcPr/>
          <w:p>
            <w:pPr>
              <w:pStyle w:val="Compact"/>
              <w:jc w:val="left"/>
            </w:pPr>
            <w:r>
              <w:t xml:space="preserve">π</w:t>
            </w:r>
          </w:p>
        </w:tc>
        <w:tc>
          <w:tcPr/>
          <w:p>
            <w:pPr>
              <w:pStyle w:val="Compact"/>
              <w:jc w:val="left"/>
            </w:pPr>
            <w:r>
              <w:t xml:space="preserve">Lợi nhuận cân bằng ngụ ý trong mô hình Black–Litterman</w:t>
            </w:r>
          </w:p>
        </w:tc>
      </w:tr>
      <w:tr>
        <w:trPr>
          <w:cantSplit/>
        </w:trPr>
        <w:tc>
          <w:tcPr/>
          <w:p>
            <w:pPr>
              <w:pStyle w:val="Compact"/>
              <w:jc w:val="left"/>
            </w:pPr>
            <w:r>
              <w:t xml:space="preserve">τ</w:t>
            </w:r>
          </w:p>
        </w:tc>
        <w:tc>
          <w:tcPr/>
          <w:p>
            <w:pPr>
              <w:pStyle w:val="Compact"/>
              <w:jc w:val="left"/>
            </w:pPr>
            <w:r>
              <w:t xml:space="preserve">Hệ số vô hướng đo độ không chắc chắn của tiên nghiệm</w:t>
            </w:r>
          </w:p>
        </w:tc>
      </w:tr>
      <w:tr>
        <w:trPr>
          <w:cantSplit/>
        </w:trPr>
        <w:tc>
          <w:tcPr/>
          <w:p>
            <w:pPr>
              <w:pStyle w:val="Compact"/>
              <w:jc w:val="left"/>
            </w:pPr>
            <w:r>
              <w:t xml:space="preserve">P, Q, Ω</w:t>
            </w:r>
          </w:p>
        </w:tc>
        <w:tc>
          <w:tcPr/>
          <w:p>
            <w:pPr>
              <w:pStyle w:val="Compact"/>
              <w:jc w:val="left"/>
            </w:pPr>
            <w:r>
              <w:t xml:space="preserve">Ma trận chọn tài sản, véc-tơ quan điểm và ma trận độ không chắc chắn của quan điểm</w:t>
            </w:r>
          </w:p>
        </w:tc>
      </w:tr>
      <w:tr>
        <w:trPr>
          <w:cantSplit/>
        </w:trPr>
        <w:tc>
          <w:tcPr/>
          <w:p>
            <w:pPr>
              <w:pStyle w:val="Compact"/>
              <w:jc w:val="left"/>
            </w:pPr>
            <w:r>
              <w:t xml:space="preserve">ρ</w:t>
            </w:r>
          </w:p>
        </w:tc>
        <w:tc>
          <w:tcPr/>
          <w:p>
            <w:pPr>
              <w:pStyle w:val="Compact"/>
              <w:jc w:val="left"/>
            </w:pPr>
            <w:r>
              <w:t xml:space="preserve">Hệ số tương quan hoặc hệ số tự tương quan bậc một</w:t>
            </w:r>
          </w:p>
        </w:tc>
      </w:tr>
      <w:tr>
        <w:trPr>
          <w:cantSplit/>
        </w:trPr>
        <w:tc>
          <w:tcPr/>
          <w:p>
            <w:pPr>
              <w:pStyle w:val="Compact"/>
              <w:jc w:val="left"/>
            </w:pPr>
            <w:r>
              <w:t xml:space="preserve">σ</w:t>
            </w:r>
            <w:r>
              <w:rPr>
                <w:vertAlign w:val="subscript"/>
              </w:rPr>
              <w:t xml:space="preserve">p</w:t>
            </w:r>
          </w:p>
        </w:tc>
        <w:tc>
          <w:tcPr/>
          <w:p>
            <w:pPr>
              <w:pStyle w:val="Compact"/>
              <w:jc w:val="left"/>
            </w:pPr>
            <w:r>
              <w:t xml:space="preserve">Độ lệch chuẩn của lợi nhuận danh mục</w:t>
            </w:r>
          </w:p>
        </w:tc>
      </w:tr>
      <w:tr>
        <w:trPr>
          <w:cantSplit/>
        </w:trPr>
        <w:tc>
          <w:tcPr/>
          <w:p>
            <w:pPr>
              <w:pStyle w:val="Compact"/>
              <w:jc w:val="left"/>
            </w:pPr>
            <w:r>
              <w:t xml:space="preserve">RC</w:t>
            </w:r>
            <w:r>
              <w:rPr>
                <w:vertAlign w:val="subscript"/>
              </w:rPr>
              <w:t xml:space="preserve">i</w:t>
            </w:r>
          </w:p>
        </w:tc>
        <w:tc>
          <w:tcPr/>
          <w:p>
            <w:pPr>
              <w:pStyle w:val="Compact"/>
              <w:jc w:val="left"/>
            </w:pPr>
            <w:r>
              <w:t xml:space="preserve">Đóng góp rủi ro của tài sản i</w:t>
            </w:r>
          </w:p>
        </w:tc>
      </w:tr>
      <w:tr>
        <w:trPr>
          <w:cantSplit/>
        </w:trPr>
        <w:tc>
          <w:tcPr/>
          <w:p>
            <w:pPr>
              <w:pStyle w:val="Compact"/>
              <w:jc w:val="left"/>
            </w:pPr>
            <w:r>
              <w:t xml:space="preserve">SR, ΔSR</w:t>
            </w:r>
          </w:p>
        </w:tc>
        <w:tc>
          <w:tcPr/>
          <w:p>
            <w:pPr>
              <w:pStyle w:val="Compact"/>
              <w:jc w:val="left"/>
            </w:pPr>
            <w:r>
              <w:t xml:space="preserve">Hệ số Sharpe và chênh lệch Sharpe giữa hai danh mục</w:t>
            </w:r>
          </w:p>
        </w:tc>
      </w:tr>
      <w:tr>
        <w:trPr>
          <w:cantSplit/>
        </w:trPr>
        <w:tc>
          <w:tcPr/>
          <w:p>
            <w:pPr>
              <w:pStyle w:val="Compact"/>
              <w:jc w:val="left"/>
            </w:pPr>
            <w:r>
              <w:t xml:space="preserve">α</w:t>
            </w:r>
          </w:p>
        </w:tc>
        <w:tc>
          <w:tcPr/>
          <w:p>
            <w:pPr>
              <w:pStyle w:val="Compact"/>
              <w:jc w:val="left"/>
            </w:pPr>
            <w:r>
              <w:t xml:space="preserve">Mức ý nghĩa của kiểm định</w:t>
            </w:r>
          </w:p>
        </w:tc>
      </w:tr>
    </w:tbl>
    <w:p>
      <w:r>
        <w:br w:type="page"/>
      </w:r>
    </w:p>
    <w:p>
      <w:pPr>
        <w:pStyle w:val="FrontHeading"/>
      </w:pPr>
      <w:r>
        <w:t xml:space="preserve">DANH MỤC CÁC SƠ ĐỒ, ĐỒ THỊ</w:t>
      </w:r>
    </w:p>
    <w:p>
      <w:pPr>
        <w:pStyle w:val="TOC1"/>
      </w:pPr>
      <w:r>
        <w:fldChar w:fldCharType="begin"/>
      </w:r>
      <w:r>
        <w:instrText xml:space="preserve"> TOC \h \z \t "Image Caption,1" </w:instrText>
      </w:r>
      <w:r>
        <w:fldChar w:fldCharType="separate"/>
      </w:r>
      <w:r>
        <w:t xml:space="preserve">Hình 3.1. Khung quy trình nghiên cứu</w:t>
      </w:r>
      <w:r>
        <w:tab/>
      </w:r>
      <w:r>
        <w:t>27</w:t>
      </w:r>
    </w:p>
    <w:p>
      <w:pPr>
        <w:pStyle w:val="TOC1"/>
      </w:pPr>
      <w:r>
        <w:t xml:space="preserve">Hình 3.2. Giá vàng SJC: điểm neo và chuỗi dùng trong nghiên cứu</w:t>
      </w:r>
      <w:r>
        <w:tab/>
      </w:r>
      <w:r>
        <w:t>32</w:t>
      </w:r>
    </w:p>
    <w:p>
      <w:pPr>
        <w:pStyle w:val="TOC1"/>
      </w:pPr>
      <w:r>
        <w:t xml:space="preserve">Hình 3.3. Quy trình walk-forward tại mỗi tháng quyết định</w:t>
      </w:r>
      <w:r>
        <w:tab/>
      </w:r>
      <w:r>
        <w:t>46</w:t>
      </w:r>
    </w:p>
    <w:p>
      <w:pPr>
        <w:pStyle w:val="TOC1"/>
      </w:pPr>
      <w:r>
        <w:t xml:space="preserve">Hình 4.1. Giá trị tích lũy của 1 đồng đầu tư vào từng lớp tài sản, 02/2016–07/2026</w:t>
      </w:r>
      <w:r>
        <w:tab/>
      </w:r>
      <w:r>
        <w:t>55</w:t>
      </w:r>
    </w:p>
    <w:p>
      <w:pPr>
        <w:pStyle w:val="TOC1"/>
      </w:pPr>
      <w:r>
        <w:t xml:space="preserve">Hình 4.2. R² ngoài mẫu theo lớp tài sản và mô hình</w:t>
      </w:r>
      <w:r>
        <w:tab/>
      </w:r>
      <w:r>
        <w:t>58</w:t>
      </w:r>
    </w:p>
    <w:p>
      <w:pPr>
        <w:pStyle w:val="TOC1"/>
      </w:pPr>
      <w:r>
        <w:t xml:space="preserve">Hình 4.3. Hệ số Sharpe của 7 phương pháp trên 9 kịch bản</w:t>
      </w:r>
      <w:r>
        <w:tab/>
      </w:r>
      <w:r>
        <w:t>64</w:t>
      </w:r>
    </w:p>
    <w:p>
      <w:pPr>
        <w:pStyle w:val="TOC1"/>
      </w:pPr>
      <w:r>
        <w:t xml:space="preserve">Hình 4.4. Giá trị tích lũy và mức sụt giảm từ đỉnh, kịch bản chính</w:t>
      </w:r>
      <w:r>
        <w:tab/>
      </w:r>
      <w:r>
        <w:t>67</w:t>
      </w:r>
    </w:p>
    <w:p>
      <w:pPr>
        <w:pStyle w:val="TOC1"/>
      </w:pPr>
      <w:r>
        <w:t xml:space="preserve">Hình 4.5. Tỷ trọng theo thời gian của Risk Parity và Black–Litterman, kịch bản chính</w:t>
      </w:r>
      <w:r>
        <w:tab/>
      </w:r>
      <w:r>
        <w:t>69</w:t>
      </w:r>
    </w:p>
    <w:p>
      <w:pPr>
        <w:pStyle w:val="TOC1"/>
      </w:pPr>
      <w:r>
        <w:t xml:space="preserve">Hình 4.6. Đóng góp của từng lớp vào lợi nhuận danh mục</w:t>
      </w:r>
      <w:r>
        <w:tab/>
      </w:r>
      <w:r>
        <w:t>78</w:t>
      </w:r>
    </w:p>
    <w:p>
      <w:pPr>
        <w:pStyle w:val="TOC1"/>
      </w:pPr>
      <w:r>
        <w:t xml:space="preserve">Hình 5.1. Kiến trúc PortfolioVN</w:t>
      </w:r>
      <w:r>
        <w:tab/>
      </w:r>
      <w:r>
        <w:t>85</w:t>
      </w:r>
    </w:p>
    <w:p>
      <w:pPr>
        <w:pStyle w:val="TOC1"/>
      </w:pPr>
      <w:r>
        <w:t xml:space="preserve">Hình 5.2. Luồng tư vấn của PortfolioVN</w:t>
      </w:r>
      <w:r>
        <w:tab/>
      </w:r>
      <w:r>
        <w:t>88</w:t>
      </w:r>
    </w:p>
    <w:p>
      <w:pPr>
        <w:pStyle w:val="TOC1"/>
      </w:pPr>
      <w:r>
        <w:t xml:space="preserve">Hình 5.3. Màn hình bảng hỏi khẩu vị rủi ro</w:t>
      </w:r>
      <w:r>
        <w:tab/>
      </w:r>
      <w:r>
        <w:t>89</w:t>
      </w:r>
    </w:p>
    <w:p>
      <w:pPr>
        <w:pStyle w:val="TOC1"/>
      </w:pPr>
      <w:r>
        <w:t xml:space="preserve">Hình 5.4. Màn hình kết quả đánh giá và chọn khẩu vị</w:t>
      </w:r>
      <w:r>
        <w:tab/>
      </w:r>
      <w:r>
        <w:t>90</w:t>
      </w:r>
    </w:p>
    <w:p>
      <w:pPr>
        <w:pStyle w:val="TOC1"/>
      </w:pPr>
      <w:r>
        <w:t xml:space="preserve">Hình 5.5. Báo cáo kế hoạch: tỷ trọng và lệnh mua</w:t>
      </w:r>
      <w:r>
        <w:tab/>
      </w:r>
      <w:r>
        <w:t>94</w:t>
      </w:r>
    </w:p>
    <w:p>
      <w:pPr>
        <w:pStyle w:val="TOC1"/>
      </w:pPr>
      <w:r>
        <w:t xml:space="preserve">Hình 5.6. Báo cáo kế hoạch: rủi ro bằng tiền đồng và giải thích</w:t>
      </w:r>
      <w:r>
        <w:tab/>
      </w:r>
      <w:r>
        <w:t>95</w:t>
      </w:r>
      <w:r>
        <w:fldChar w:fldCharType="end"/>
      </w:r>
    </w:p>
    <w:p>
      <w:r>
        <w:br w:type="page"/>
      </w:r>
    </w:p>
    <w:p>
      <w:pPr>
        <w:pStyle w:val="FrontHeading"/>
      </w:pPr>
      <w:r>
        <w:t xml:space="preserve">DANH MỤC CÁC BẢNG BIỂU</w:t>
      </w:r>
    </w:p>
    <w:p>
      <w:pPr>
        <w:pStyle w:val="TOC1"/>
      </w:pPr>
      <w:r>
        <w:fldChar w:fldCharType="begin"/>
      </w:r>
      <w:r>
        <w:instrText xml:space="preserve"> TOC \h \z \t "Table Caption,1" </w:instrText>
      </w:r>
      <w:r>
        <w:fldChar w:fldCharType="separate"/>
      </w:r>
      <w:r>
        <w:t xml:space="preserve">Bảng 1.1. Câu hỏi nghiên cứu và giả thuyết</w:t>
      </w:r>
      <w:r>
        <w:tab/>
      </w:r>
      <w:r>
        <w:t>5</w:t>
      </w:r>
    </w:p>
    <w:p>
      <w:pPr>
        <w:pStyle w:val="TOC1"/>
      </w:pPr>
      <w:r>
        <w:t xml:space="preserve">Bảng 1.2. Năm lớp tài sản nghiên cứu</w:t>
      </w:r>
      <w:r>
        <w:tab/>
      </w:r>
      <w:r>
        <w:t>6</w:t>
      </w:r>
    </w:p>
    <w:p>
      <w:pPr>
        <w:pStyle w:val="TOC1"/>
      </w:pPr>
      <w:r>
        <w:t xml:space="preserve">Bảng 2.1. Một số nghiên cứu thực nghiệm liên quan tại Việt Nam</w:t>
      </w:r>
      <w:r>
        <w:tab/>
      </w:r>
      <w:r>
        <w:t>24</w:t>
      </w:r>
    </w:p>
    <w:p>
      <w:pPr>
        <w:pStyle w:val="TOC1"/>
      </w:pPr>
      <w:r>
        <w:t xml:space="preserve">Bảng 2.2. Khoảng trống nghiên cứu và cách luận văn tiếp cận</w:t>
      </w:r>
      <w:r>
        <w:tab/>
      </w:r>
      <w:r>
        <w:t>25</w:t>
      </w:r>
    </w:p>
    <w:p>
      <w:pPr>
        <w:pStyle w:val="TOC1"/>
      </w:pPr>
      <w:r>
        <w:t xml:space="preserve">Bảng 3.1. Các lớp tài sản, chuỗi đại diện và nguồn dữ liệu</w:t>
      </w:r>
      <w:r>
        <w:tab/>
      </w:r>
      <w:r>
        <w:t>28</w:t>
      </w:r>
    </w:p>
    <w:p>
      <w:pPr>
        <w:pStyle w:val="TOC1"/>
      </w:pPr>
      <w:r>
        <w:t xml:space="preserve">Bảng 3.2. Chất lượng dữ liệu theo chuỗi, 02/2016–07/2026</w:t>
      </w:r>
      <w:r>
        <w:tab/>
      </w:r>
      <w:r>
        <w:t>30</w:t>
      </w:r>
    </w:p>
    <w:p>
      <w:pPr>
        <w:pStyle w:val="TOC1"/>
      </w:pPr>
      <w:r>
        <w:t xml:space="preserve">Bảng 3.3. Kiểm tra độ khớp trên đoạn trùng khi ghép chuỗi</w:t>
      </w:r>
      <w:r>
        <w:tab/>
      </w:r>
      <w:r>
        <w:t>31</w:t>
      </w:r>
    </w:p>
    <w:p>
      <w:pPr>
        <w:pStyle w:val="TOC1"/>
      </w:pPr>
      <w:r>
        <w:t xml:space="preserve">Bảng 3.4. Kiểm chứng phương pháp dựng lại giá vàng trên 47 tháng có giá thật</w:t>
      </w:r>
      <w:r>
        <w:tab/>
      </w:r>
      <w:r>
        <w:t>34</w:t>
      </w:r>
    </w:p>
    <w:p>
      <w:pPr>
        <w:pStyle w:val="TOC1"/>
      </w:pPr>
      <w:r>
        <w:t xml:space="preserve">Bảng 3.5. Thành viên rổ cổ phiếu bất động sản theo năm</w:t>
      </w:r>
      <w:r>
        <w:tab/>
      </w:r>
      <w:r>
        <w:t>35</w:t>
      </w:r>
    </w:p>
    <w:p>
      <w:pPr>
        <w:pStyle w:val="TOC1"/>
      </w:pPr>
      <w:r>
        <w:t xml:space="preserve">Bảng 3.6. Biến đầu vào, định nghĩa và dấu kỳ vọng</w:t>
      </w:r>
      <w:r>
        <w:tab/>
      </w:r>
      <w:r>
        <w:t>36</w:t>
      </w:r>
    </w:p>
    <w:p>
      <w:pPr>
        <w:pStyle w:val="TOC1"/>
      </w:pPr>
      <w:r>
        <w:t xml:space="preserve">Bảng 3.7. Tham số theo khẩu vị rủi ro</w:t>
      </w:r>
      <w:r>
        <w:tab/>
      </w:r>
      <w:r>
        <w:t>37</w:t>
      </w:r>
    </w:p>
    <w:p>
      <w:pPr>
        <w:pStyle w:val="TOC1"/>
      </w:pPr>
      <w:r>
        <w:t xml:space="preserve">Bảng 3.8. Tóm tắt bảy phương pháp phân bổ</w:t>
      </w:r>
      <w:r>
        <w:tab/>
      </w:r>
      <w:r>
        <w:t>40</w:t>
      </w:r>
    </w:p>
    <w:p>
      <w:pPr>
        <w:pStyle w:val="TOC1"/>
      </w:pPr>
      <w:r>
        <w:t xml:space="preserve">Bảng 3.9. Cấu hình mô hình học máy</w:t>
      </w:r>
      <w:r>
        <w:tab/>
      </w:r>
      <w:r>
        <w:t>43</w:t>
      </w:r>
    </w:p>
    <w:p>
      <w:pPr>
        <w:pStyle w:val="TOC1"/>
      </w:pPr>
      <w:r>
        <w:t xml:space="preserve">Bảng 3.10. Khung thời gian đầu tư</w:t>
      </w:r>
      <w:r>
        <w:tab/>
      </w:r>
      <w:r>
        <w:t>47</w:t>
      </w:r>
    </w:p>
    <w:p>
      <w:pPr>
        <w:pStyle w:val="TOC1"/>
      </w:pPr>
      <w:r>
        <w:t xml:space="preserve">Bảng 3.11. Thước đo hiệu quả danh mục</w:t>
      </w:r>
      <w:r>
        <w:tab/>
      </w:r>
      <w:r>
        <w:t>48</w:t>
      </w:r>
    </w:p>
    <w:p>
      <w:pPr>
        <w:pStyle w:val="TOC1"/>
      </w:pPr>
      <w:r>
        <w:t xml:space="preserve">Bảng 3.12. Giả thuyết nghiên cứu và các cặp so sánh</w:t>
      </w:r>
      <w:r>
        <w:tab/>
      </w:r>
      <w:r>
        <w:t>50</w:t>
      </w:r>
    </w:p>
    <w:p>
      <w:pPr>
        <w:pStyle w:val="TOC1"/>
      </w:pPr>
      <w:r>
        <w:t xml:space="preserve">Bảng 4.1. Thống kê mô tả lợi nhuận tháng, 02/2016–07/2026 (126 tháng)</w:t>
      </w:r>
      <w:r>
        <w:tab/>
      </w:r>
      <w:r>
        <w:t>54</w:t>
      </w:r>
    </w:p>
    <w:p>
      <w:pPr>
        <w:pStyle w:val="TOC1"/>
      </w:pPr>
      <w:r>
        <w:t xml:space="preserve">Bảng 4.2. Lợi nhuận theo năm của các lớp tài sản (%)</w:t>
      </w:r>
      <w:r>
        <w:tab/>
      </w:r>
      <w:r>
        <w:t>55</w:t>
      </w:r>
    </w:p>
    <w:p>
      <w:pPr>
        <w:pStyle w:val="TOC1"/>
      </w:pPr>
      <w:r>
        <w:t xml:space="preserve">Bảng 4.3. Ma trận tương quan lợi nhuận tháng, 02/2016–07/2026</w:t>
      </w:r>
      <w:r>
        <w:tab/>
      </w:r>
      <w:r>
        <w:t>56</w:t>
      </w:r>
    </w:p>
    <w:p>
      <w:pPr>
        <w:pStyle w:val="TOC1"/>
      </w:pPr>
      <w:r>
        <w:t xml:space="preserve">Bảng 4.4. Kỹ năng dự báo theo lớp tài sản, giai đoạn kiểm tra (102 tháng)</w:t>
      </w:r>
      <w:r>
        <w:tab/>
      </w:r>
      <w:r>
        <w:t>58</w:t>
      </w:r>
    </w:p>
    <w:p>
      <w:pPr>
        <w:pStyle w:val="TOC1"/>
      </w:pPr>
      <w:r>
        <w:t xml:space="preserve">Bảng 4.5. Kỹ năng dự báo gộp, giai đoạn kiểm tra (408 quan sát lớp–tháng)</w:t>
      </w:r>
      <w:r>
        <w:tab/>
      </w:r>
      <w:r>
        <w:t>59</w:t>
      </w:r>
    </w:p>
    <w:p>
      <w:pPr>
        <w:pStyle w:val="TOC1"/>
      </w:pPr>
      <w:r>
        <w:t xml:space="preserve">Bảng 4.6. Hệ số Elastic Net qua 101 lần huấn luyện có hệ số khác 0</w:t>
      </w:r>
      <w:r>
        <w:tab/>
      </w:r>
      <w:r>
        <w:t>60</w:t>
      </w:r>
    </w:p>
    <w:p>
      <w:pPr>
        <w:pStyle w:val="TOC1"/>
      </w:pPr>
      <w:r>
        <w:t xml:space="preserve">Bảng 4.7. Các bước tính Black–Litterman tại lần tái cân bằng cuối 04/2025 (Cân bằng / Trung hạn)</w:t>
      </w:r>
      <w:r>
        <w:tab/>
      </w:r>
      <w:r>
        <w:t>62</w:t>
      </w:r>
    </w:p>
    <w:p>
      <w:pPr>
        <w:pStyle w:val="TOC1"/>
      </w:pPr>
      <w:r>
        <w:t xml:space="preserve">Bảng 4.8. Hiệu quả bình quân theo khẩu vị và khung thời gian</w:t>
      </w:r>
      <w:r>
        <w:tab/>
      </w:r>
      <w:r>
        <w:t>64</w:t>
      </w:r>
    </w:p>
    <w:p>
      <w:pPr>
        <w:pStyle w:val="TOC1"/>
      </w:pPr>
      <w:r>
        <w:t xml:space="preserve">Bảng 4.9. Hiệu quả kịch bản chính (Cân bằng / Trung hạn, 34 lần tái cân bằng)</w:t>
      </w:r>
      <w:r>
        <w:tab/>
      </w:r>
      <w:r>
        <w:t>66</w:t>
      </w:r>
    </w:p>
    <w:p>
      <w:pPr>
        <w:pStyle w:val="TOC1"/>
      </w:pPr>
      <w:r>
        <w:t xml:space="preserve">Bảng 4.10. Các thước đo rủi ro bổ sung, kịch bản chính</w:t>
      </w:r>
      <w:r>
        <w:tab/>
      </w:r>
      <w:r>
        <w:t>66</w:t>
      </w:r>
    </w:p>
    <w:p>
      <w:pPr>
        <w:pStyle w:val="TOC1"/>
      </w:pPr>
      <w:r>
        <w:t xml:space="preserve">Bảng 4.11. Tỷ trọng bình quân theo lớp, kịch bản chính</w:t>
      </w:r>
      <w:r>
        <w:tab/>
      </w:r>
      <w:r>
        <w:t>68</w:t>
      </w:r>
    </w:p>
    <w:p>
      <w:pPr>
        <w:pStyle w:val="TOC1"/>
      </w:pPr>
      <w:r>
        <w:t xml:space="preserve">Bảng 4.12. Lợi nhuận theo năm, kịch bản Cân bằng / Trung hạn (%)</w:t>
      </w:r>
      <w:r>
        <w:tab/>
      </w:r>
      <w:r>
        <w:t>69</w:t>
      </w:r>
    </w:p>
    <w:p>
      <w:pPr>
        <w:pStyle w:val="TOC1"/>
      </w:pPr>
      <w:r>
        <w:t xml:space="preserve">Bảng 4.13. Lợi nhuận tích lũy trong ba giai đoạn sụt giảm (%)</w:t>
      </w:r>
      <w:r>
        <w:tab/>
      </w:r>
      <w:r>
        <w:t>70</w:t>
      </w:r>
    </w:p>
    <w:p>
      <w:pPr>
        <w:pStyle w:val="TOC1"/>
      </w:pPr>
      <w:r>
        <w:t xml:space="preserve">Bảng 4.14. Kiểm định chênh lệch Sharpe, kịch bản Cân bằng / Trung hạn (102 tháng)</w:t>
      </w:r>
      <w:r>
        <w:tab/>
      </w:r>
      <w:r>
        <w:t>71</w:t>
      </w:r>
    </w:p>
    <w:p>
      <w:pPr>
        <w:pStyle w:val="TOC1"/>
      </w:pPr>
      <w:r>
        <w:t xml:space="preserve">Bảng 4.15. Sharpe khi thêm từng lớp vào danh mục cổ phiếu–trái phiếu, kịch bản chính</w:t>
      </w:r>
      <w:r>
        <w:tab/>
      </w:r>
      <w:r>
        <w:t>73</w:t>
      </w:r>
    </w:p>
    <w:p>
      <w:pPr>
        <w:pStyle w:val="TOC1"/>
      </w:pPr>
      <w:r>
        <w:t xml:space="preserve">Bảng 4.16. Sharpe kịch bản chính khi thay đổi từng giả định</w:t>
      </w:r>
      <w:r>
        <w:tab/>
      </w:r>
      <w:r>
        <w:t>74</w:t>
      </w:r>
    </w:p>
    <w:p>
      <w:pPr>
        <w:pStyle w:val="TOC1"/>
      </w:pPr>
      <w:r>
        <w:t xml:space="preserve">Bảng 4.17. Sharpe ngoài mẫu trên 1.000 lịch sử mô phỏng (stationary bootstrap)</w:t>
      </w:r>
      <w:r>
        <w:tab/>
      </w:r>
      <w:r>
        <w:t>76</w:t>
      </w:r>
    </w:p>
    <w:p>
      <w:pPr>
        <w:pStyle w:val="TOC1"/>
      </w:pPr>
      <w:r>
        <w:t xml:space="preserve">Bảng 4.18. Phân rã Sharpe, khẩu vị Cân bằng, khung Trung hạn</w:t>
      </w:r>
      <w:r>
        <w:tab/>
      </w:r>
      <w:r>
        <w:t>79</w:t>
      </w:r>
    </w:p>
    <w:p>
      <w:pPr>
        <w:pStyle w:val="TOC1"/>
      </w:pPr>
      <w:r>
        <w:t xml:space="preserve">Bảng 4.19. Tỷ lệ lần tái cân bằng mà dải khẩu vị bị chạm, khung Trung hạn</w:t>
      </w:r>
      <w:r>
        <w:tab/>
      </w:r>
      <w:r>
        <w:t>79</w:t>
      </w:r>
    </w:p>
    <w:p>
      <w:pPr>
        <w:pStyle w:val="TOC1"/>
      </w:pPr>
      <w:r>
        <w:t xml:space="preserve">Bảng 5.1. Vai trò người dùng và quyền hạn</w:t>
      </w:r>
      <w:r>
        <w:tab/>
      </w:r>
      <w:r>
        <w:t>83</w:t>
      </w:r>
    </w:p>
    <w:p>
      <w:pPr>
        <w:pStyle w:val="TOC1"/>
      </w:pPr>
      <w:r>
        <w:t xml:space="preserve">Bảng 5.2. Các bảng dữ liệu chính của ứng dụng</w:t>
      </w:r>
      <w:r>
        <w:tab/>
      </w:r>
      <w:r>
        <w:t>86</w:t>
      </w:r>
    </w:p>
    <w:p>
      <w:pPr>
        <w:pStyle w:val="TOC1"/>
      </w:pPr>
      <w:r>
        <w:t xml:space="preserve">Bảng 5.3. Các nhóm điểm cuối API</w:t>
      </w:r>
      <w:r>
        <w:tab/>
      </w:r>
      <w:r>
        <w:t>87</w:t>
      </w:r>
    </w:p>
    <w:p>
      <w:pPr>
        <w:pStyle w:val="TOC1"/>
      </w:pPr>
      <w:r>
        <w:t xml:space="preserve">Bảng 5.4. Nội dung bảng hỏi khẩu vị rủi ro</w:t>
      </w:r>
      <w:r>
        <w:tab/>
      </w:r>
      <w:r>
        <w:t>88</w:t>
      </w:r>
    </w:p>
    <w:p>
      <w:pPr>
        <w:pStyle w:val="TOC1"/>
      </w:pPr>
      <w:r>
        <w:t xml:space="preserve">Bảng 5.5. Cách chấm điểm và quy đổi</w:t>
      </w:r>
      <w:r>
        <w:tab/>
      </w:r>
      <w:r>
        <w:t>89</w:t>
      </w:r>
    </w:p>
    <w:p>
      <w:pPr>
        <w:pStyle w:val="TOC1"/>
      </w:pPr>
      <w:r>
        <w:t xml:space="preserve">Bảng 5.6. Tỷ trọng khuyến nghị hiện hành theo khẩu vị (Risk Parity, dữ liệu đến 07/2026)</w:t>
      </w:r>
      <w:r>
        <w:tab/>
      </w:r>
      <w:r>
        <w:t>90</w:t>
      </w:r>
    </w:p>
    <w:p>
      <w:pPr>
        <w:pStyle w:val="TOC1"/>
      </w:pPr>
      <w:r>
        <w:t xml:space="preserve">Bảng 5.7. Ba tầng tính tỷ trọng Risk Parity, khẩu vị Cân bằng, dữ liệu đến 07/2026</w:t>
      </w:r>
      <w:r>
        <w:tab/>
      </w:r>
      <w:r>
        <w:t>91</w:t>
      </w:r>
    </w:p>
    <w:p>
      <w:pPr>
        <w:pStyle w:val="TOC1"/>
      </w:pPr>
      <w:r>
        <w:t xml:space="preserve">Bảng 5.8. Ví dụ kế hoạch cho 100 triệu đồng, khẩu vị Cân bằng (giá tham chiếu cuối 07/2026)</w:t>
      </w:r>
      <w:r>
        <w:tab/>
      </w:r>
      <w:r>
        <w:t>93</w:t>
      </w:r>
    </w:p>
    <w:p>
      <w:pPr>
        <w:pStyle w:val="TOC1"/>
      </w:pPr>
      <w:r>
        <w:t xml:space="preserve">Bảng 5.9. Rủi ro bằng tiền đồng, kế hoạch 100 triệu đồng, Cân bằng / Trung hạn</w:t>
      </w:r>
      <w:r>
        <w:tab/>
      </w:r>
      <w:r>
        <w:t>94</w:t>
      </w:r>
    </w:p>
    <w:p>
      <w:pPr>
        <w:pStyle w:val="TOC1"/>
      </w:pPr>
      <w:r>
        <w:t xml:space="preserve">Bảng 5.10. Bộ kiểm thử tự động</w:t>
      </w:r>
      <w:r>
        <w:tab/>
      </w:r>
      <w:r>
        <w:t>96</w:t>
      </w:r>
    </w:p>
    <w:p>
      <w:pPr>
        <w:pStyle w:val="TOC1"/>
      </w:pPr>
      <w:r>
        <w:t xml:space="preserve">Bảng 6.1. Tóm tắt kết quả theo giả thuyết</w:t>
      </w:r>
      <w:r>
        <w:tab/>
      </w:r>
      <w:r>
        <w:t>99</w:t>
      </w:r>
    </w:p>
    <w:p>
      <w:pPr>
        <w:pStyle w:val="TOC1"/>
      </w:pPr>
      <w:r>
        <w:t xml:space="preserve">Bảng A.1. Nguồn từng file dữ liệu thô (ngày truy cập 24/10/2026, trừ khi ghi khác)</w:t>
      </w:r>
      <w:r>
        <w:tab/>
      </w:r>
      <w:r>
        <w:t>113</w:t>
      </w:r>
    </w:p>
    <w:p>
      <w:pPr>
        <w:pStyle w:val="TOC1"/>
      </w:pPr>
      <w:r>
        <w:t xml:space="preserve">Bảng A.2. Kiểm tra độ khớp ở các đoạn ghép chuỗi</w:t>
      </w:r>
      <w:r>
        <w:tab/>
      </w:r>
      <w:r>
        <w:t>114</w:t>
      </w:r>
    </w:p>
    <w:p>
      <w:pPr>
        <w:pStyle w:val="TOC1"/>
      </w:pPr>
      <w:r>
        <w:t xml:space="preserve">Bảng B.1. Sáu doanh nghiệp vốn hóa lớn nhất cuối mỗi năm (tỷ đồng)</w:t>
      </w:r>
      <w:r>
        <w:tab/>
      </w:r>
      <w:r>
        <w:t>115</w:t>
      </w:r>
    </w:p>
    <w:p>
      <w:pPr>
        <w:pStyle w:val="TOC1"/>
      </w:pPr>
      <w:r>
        <w:t xml:space="preserve">Bảng C.1. Chỉ tiêu hiệu quả của 7 phương pháp × 9 kịch bản (63 danh mục)</w:t>
      </w:r>
      <w:r>
        <w:tab/>
      </w:r>
      <w:r>
        <w:t>116</w:t>
      </w:r>
    </w:p>
    <w:p>
      <w:pPr>
        <w:pStyle w:val="TOC1"/>
      </w:pPr>
      <w:r>
        <w:t xml:space="preserve">Bảng D.1. Kiểm định chênh lệch Sharpe theo cặp</w:t>
      </w:r>
      <w:r>
        <w:tab/>
      </w:r>
      <w:r>
        <w:t>118</w:t>
      </w:r>
    </w:p>
    <w:p>
      <w:pPr>
        <w:pStyle w:val="TOC1"/>
      </w:pPr>
      <w:r>
        <w:t xml:space="preserve">Bảng D.2. Sharpe điều chỉnh cho số lần thử (Deflated Sharpe Ratio)</w:t>
      </w:r>
      <w:r>
        <w:tab/>
      </w:r>
      <w:r>
        <w:t>118</w:t>
      </w:r>
    </w:p>
    <w:p>
      <w:pPr>
        <w:pStyle w:val="TOC1"/>
      </w:pPr>
      <w:r>
        <w:t xml:space="preserve">Bảng E.1. Sharpe của 5 phương pháp chính theo từng biến thể; MDD và tỷ trọng vàng của Black–Litterman</w:t>
      </w:r>
      <w:r>
        <w:tab/>
      </w:r>
      <w:r>
        <w:t>119</w:t>
      </w:r>
      <w:r>
        <w:fldChar w:fldCharType="end"/>
      </w:r>
    </w:p>
    <w:p>
      <w:pPr>
        <w:sectPr>
          <w:footerReference r:id="rId9" w:type="default"/>
          <w:pgSz w:h="16838" w:w="11906"/>
          <w:pgMar w:bottom="1701" w:footer="709" w:header="709" w:left="1701" w:right="1134" w:top="1701" w:gutter="0"/>
          <w:pgNumType w:fmt="lowerRoman" w:start="1"/>
        </w:sectPr>
      </w:pPr>
    </w:p>
    <w:bookmarkStart w:id="30" w:name="chương-1.-giới-thiệu"/>
    <w:p>
      <w:pPr>
        <w:pStyle w:val="Heading1"/>
      </w:pPr>
      <w:r>
        <w:t xml:space="preserve">Chương 1. Giới thiệu</w:t>
      </w:r>
    </w:p>
    <w:bookmarkStart w:id="23" w:name="bối-cảnh-và-lý-do-chọn-đề-tài"/>
    <w:p>
      <w:pPr>
        <w:pStyle w:val="Heading2"/>
      </w:pPr>
      <w:r>
        <w:t xml:space="preserve">1.1 Bối cảnh và lý do chọn đề tài</w:t>
      </w:r>
    </w:p>
    <w:bookmarkStart w:id="20" w:name="Xa24d1d6112c4deb292dd74111bed0d1eacf094e"/>
    <w:p>
      <w:pPr>
        <w:pStyle w:val="Heading3"/>
      </w:pPr>
      <w:r>
        <w:t xml:space="preserve">1.1.1 Nhà đầu tư cá nhân và nhu cầu phân bổ tài sản</w:t>
      </w:r>
    </w:p>
    <w:p>
      <w:pPr>
        <w:pStyle w:val="FirstParagraph"/>
      </w:pPr>
      <w:r>
        <w:t xml:space="preserve">Nhà đầu tư cá nhân ngày càng chiếm vị trí trung tâm trên thị trường tài chính Việt Nam. Theo Tổng Công ty Lưu ký và Bù trừ chứng khoán Việt Nam (VSDC), đến hết quý I/2026 cả nước có 12.661.417 tài khoản chứng khoán, trong đó 12.590.736 tài khoản thuộc nhà đầu tư cá nhân trong nước (Báo Nhân Dân, 2026). Nói cách khác, hơn 99% số tài khoản là của cá nhân. Năm 2025, VN-Index tăng 40,87% lên 1.784,49 điểm và vốn hóa cổ phiếu trên HOSE đạt khoảng 72% GDP (VnEconomy, 2026). Quy mô và tốc độ tăng này cho thấy ngày càng nhiều hộ gia đình đưa một phần tiết kiệm vào tài sản rủi ro.</w:t>
      </w:r>
    </w:p>
    <w:p>
      <w:pPr>
        <w:pStyle w:val="BodyText"/>
      </w:pPr>
      <w:r>
        <w:t xml:space="preserve">Sự tham gia đông đảo không đồng nghĩa với việc phân bổ hợp lý. Nhà đầu tư cá nhân thường đặt câu hỏi</w:t>
      </w:r>
      <w:r>
        <w:t xml:space="preserve"> </w:t>
      </w:r>
      <w:r>
        <w:t xml:space="preserve">“</w:t>
      </w:r>
      <w:r>
        <w:t xml:space="preserve">nên mua mã nào</w:t>
      </w:r>
      <w:r>
        <w:t xml:space="preserve">”</w:t>
      </w:r>
      <w:r>
        <w:t xml:space="preserve"> </w:t>
      </w:r>
      <w:r>
        <w:t xml:space="preserve">nhiều hơn câu hỏi</w:t>
      </w:r>
      <w:r>
        <w:t xml:space="preserve"> </w:t>
      </w:r>
      <w:r>
        <w:t xml:space="preserve">“</w:t>
      </w:r>
      <w:r>
        <w:t xml:space="preserve">nên giữ bao nhiêu phần trăm tài sản ở cổ phiếu, bao nhiêu ở vàng, bao nhiêu ở tiền gửi</w:t>
      </w:r>
      <w:r>
        <w:t xml:space="preserve">”</w:t>
      </w:r>
      <w:r>
        <w:t xml:space="preserve">. Trong khi đó, nghiên cứu kinh điển của Brinson, Hood và Beebower (1986) trên các quỹ hưu trí Mỹ cho thấy chính sách phân bổ tài sản giải thích phần lớn biến động lợi nhuận của danh mục theo thời gian, còn lựa chọn chứng khoán và canh thời điểm chỉ đóng góp phần nhỏ. Nếu kết luận này cũng đúng với nhà đầu tư Việt Nam, thì quyết định quan trọng nhất của họ là quyết định phân bổ giữa các lớp tài sản, và đó cũng là quyết định ít được hỗ trợ bằng công cụ định lượng nhất.</w:t>
      </w:r>
    </w:p>
    <w:bookmarkEnd w:id="20"/>
    <w:bookmarkStart w:id="21" w:name="đặc-điểm-các-kênh-đầu-tư-của-người-việt"/>
    <w:p>
      <w:pPr>
        <w:pStyle w:val="Heading3"/>
      </w:pPr>
      <w:r>
        <w:t xml:space="preserve">1.1.2 Đặc điểm các kênh đầu tư của người Việt</w:t>
      </w:r>
    </w:p>
    <w:p>
      <w:pPr>
        <w:pStyle w:val="FirstParagraph"/>
      </w:pPr>
      <w:r>
        <w:t xml:space="preserve">Cổ phiếu chỉ là một trong nhiều kênh. Người Việt truyền thống nắm giữ tiền gửi tiết kiệm, vàng miếng SJC và bất động sản; gần đây có thêm chứng chỉ quỹ mở và quỹ hoán đổi danh mục (ETF). Mỗi kênh có đặc điểm rủi ro riêng, và những đặc điểm này khác đáng kể so với các thị trường phát triển nơi phần lớn lý thuyết phân bổ tài sản được xây dựng.</w:t>
      </w:r>
    </w:p>
    <w:p>
      <w:pPr>
        <w:numPr>
          <w:ilvl w:val="0"/>
          <w:numId w:val="1001"/>
        </w:numPr>
      </w:pPr>
      <w:r>
        <w:rPr>
          <w:bCs/>
          <w:b/>
        </w:rPr>
        <w:t xml:space="preserve">Tiền gửi tiết kiệm</w:t>
      </w:r>
      <w:r>
        <w:t xml:space="preserve"> </w:t>
      </w:r>
      <w:r>
        <w:t xml:space="preserve">an toàn, lãi suất biết trước khi gửi, nhưng lợi suất thực sau lạm phát thấp. Lãi suất 12 tháng của Vietcombank trong giai đoạn nghiên cứu dao động quanh 5–7%/năm và giảm xuống dưới 5% trong các năm 2024–2025.</w:t>
      </w:r>
    </w:p>
    <w:p>
      <w:pPr>
        <w:numPr>
          <w:ilvl w:val="0"/>
          <w:numId w:val="1001"/>
        </w:numPr>
      </w:pPr>
      <w:r>
        <w:rPr>
          <w:bCs/>
          <w:b/>
        </w:rPr>
        <w:t xml:space="preserve">Vàng miếng SJC</w:t>
      </w:r>
      <w:r>
        <w:t xml:space="preserve"> </w:t>
      </w:r>
      <w:r>
        <w:t xml:space="preserve">là tài sản tích trữ phổ biến nhưng có cơ chế giá riêng. Từ năm 2012, Nghị định 24/2012/NĐ-CP xác lập độc quyền nhà nước về sản xuất vàng miếng (Chính phủ, 2012), khiến nguồn cung vàng miếng trong nước tách khỏi thị trường thế giới và giá SJC có lúc cao hơn giá thế giới quy đổi nhiều triệu đồng mỗi lượng. Quy định độc quyền này chỉ được bãi bỏ bằng Nghị định 232/2025/NĐ-CP ban hành ngày 26/8/2025 (Tạp chí Ngân hàng, 2025). Chênh lệch giá kéo dài làm vàng SJC vừa có lợi nhuận khác vàng thế giới, vừa có tính dai dẳng có thể dự báo được ở một mức độ nào đó, một điểm mà Chương 4 sẽ kiểm chứng.</w:t>
      </w:r>
    </w:p>
    <w:p>
      <w:pPr>
        <w:numPr>
          <w:ilvl w:val="0"/>
          <w:numId w:val="1001"/>
        </w:numPr>
      </w:pPr>
      <w:r>
        <w:rPr>
          <w:bCs/>
          <w:b/>
        </w:rPr>
        <w:t xml:space="preserve">Cổ phiếu bất động sản</w:t>
      </w:r>
      <w:r>
        <w:t xml:space="preserve"> </w:t>
      </w:r>
      <w:r>
        <w:t xml:space="preserve">là cách duy nhất để nhà đầu tư nhỏ tiếp cận ngành bất động sản với số vốn nhỏ và thanh khoản hằng ngày. Nhóm này biến động rất mạnh: trong cuộc khủng hoảng trái phiếu doanh nghiệp và bất động sản năm 2022, rổ bốn doanh nghiệp lớn nhất ngành mất khoảng 69% giá trị chỉ trong một năm (Bảng 4.2).</w:t>
      </w:r>
    </w:p>
    <w:p>
      <w:pPr>
        <w:numPr>
          <w:ilvl w:val="0"/>
          <w:numId w:val="1001"/>
        </w:numPr>
      </w:pPr>
      <w:r>
        <w:rPr>
          <w:bCs/>
          <w:b/>
        </w:rPr>
        <w:t xml:space="preserve">Trái phiếu</w:t>
      </w:r>
      <w:r>
        <w:t xml:space="preserve"> </w:t>
      </w:r>
      <w:r>
        <w:t xml:space="preserve">khó tiếp cận trực tiếp với nhà đầu tư cá nhân; kênh khả thi là chứng chỉ quỹ trái phiếu mở, được định giá theo giá trị tài sản ròng (NAV) hằng ngày.</w:t>
      </w:r>
    </w:p>
    <w:p>
      <w:pPr>
        <w:numPr>
          <w:ilvl w:val="0"/>
          <w:numId w:val="1001"/>
        </w:numPr>
      </w:pPr>
      <w:r>
        <w:rPr>
          <w:bCs/>
          <w:b/>
        </w:rPr>
        <w:t xml:space="preserve">Cổ phiếu niêm yết</w:t>
      </w:r>
      <w:r>
        <w:t xml:space="preserve"> </w:t>
      </w:r>
      <w:r>
        <w:t xml:space="preserve">có thể đầu tư qua ETF mô phỏng chỉ số như E1VFVN30, giúp đa dạng hóa trong nhóm cổ phiếu với chi phí thấp.</w:t>
      </w:r>
    </w:p>
    <w:p>
      <w:pPr>
        <w:pStyle w:val="FirstParagraph"/>
      </w:pPr>
      <w:r>
        <w:t xml:space="preserve">Sự khác biệt về rủi ro, thanh khoản và cơ chế định giá giữa các kênh này khiến câu hỏi</w:t>
      </w:r>
      <w:r>
        <w:t xml:space="preserve"> </w:t>
      </w:r>
      <w:r>
        <w:t xml:space="preserve">“</w:t>
      </w:r>
      <w:r>
        <w:t xml:space="preserve">phân bổ vốn giữa các kênh thế nào</w:t>
      </w:r>
      <w:r>
        <w:t xml:space="preserve">”</w:t>
      </w:r>
      <w:r>
        <w:t xml:space="preserve"> </w:t>
      </w:r>
      <w:r>
        <w:t xml:space="preserve">quan trọng không kém câu hỏi</w:t>
      </w:r>
      <w:r>
        <w:t xml:space="preserve"> </w:t>
      </w:r>
      <w:r>
        <w:t xml:space="preserve">“</w:t>
      </w:r>
      <w:r>
        <w:t xml:space="preserve">mua mã cổ phiếu nào</w:t>
      </w:r>
      <w:r>
        <w:t xml:space="preserve">”</w:t>
      </w:r>
      <w:r>
        <w:t xml:space="preserve">. Đồng thời, nó cũng khiến việc áp dụng nguyên xi các mô hình phân bổ của thị trường phát triển trở nên rủi ro: một mô hình chỉ nhìn vào độ biến động lịch sử sẽ đánh giá NAV quỹ trái phiếu (được định giá trơn) là gần như không rủi ro, hoặc coi vàng SJC giống vàng thế giới.</w:t>
      </w:r>
    </w:p>
    <w:bookmarkEnd w:id="21"/>
    <w:bookmarkStart w:id="22" w:name="Xd470af86b3b68539a5db4808da3c0d804715868"/>
    <w:p>
      <w:pPr>
        <w:pStyle w:val="Heading3"/>
      </w:pPr>
      <w:r>
        <w:t xml:space="preserve">1.1.3 Lý thuyết, học máy và khoảng trống tại Việt Nam</w:t>
      </w:r>
    </w:p>
    <w:p>
      <w:pPr>
        <w:pStyle w:val="FirstParagraph"/>
      </w:pPr>
      <w:r>
        <w:t xml:space="preserve">Trên thế giới, phân bổ tài sản đã có nền tảng lý thuyết vững chắc từ mô hình trung bình–phương sai của Markowitz (1952), qua mô hình định giá tài sản vốn (Sharpe, 1964), mô hình Black–Litterman (1992), Risk Parity, đến Hierarchical Risk Parity (López de Prado, 2016). Gần đây, học máy được dùng để dự báo lợi nhuận và đưa dự báo vào quá trình phân bổ (Gu, Kelly và Xiu, 2020). Tuy nhiên, nhiều nghiên cứu cũng cho thấy các phương pháp phức tạp thường không vượt được danh mục phân bổ đều 1/N khi đánh giá ngoài mẫu (DeMiguel, Garlappi và Uppal, 2009), và phần lớn biến dự báo lợi nhuận cổ phiếu mất tác dụng khi đánh giá ngoài mẫu (Welch và Goyal, 2008). Câu hỏi</w:t>
      </w:r>
      <w:r>
        <w:t xml:space="preserve"> </w:t>
      </w:r>
      <w:r>
        <w:t xml:space="preserve">“</w:t>
      </w:r>
      <w:r>
        <w:t xml:space="preserve">phương pháp phức tạp có thực sự tốt hơn không</w:t>
      </w:r>
      <w:r>
        <w:t xml:space="preserve">”</w:t>
      </w:r>
      <w:r>
        <w:t xml:space="preserve"> </w:t>
      </w:r>
      <w:r>
        <w:t xml:space="preserve">vì vậy vẫn còn bỏ ngỏ, và câu trả lời có thể phụ thuộc vào đặc điểm của từng thị trường.</w:t>
      </w:r>
    </w:p>
    <w:p>
      <w:pPr>
        <w:pStyle w:val="BodyText"/>
      </w:pPr>
      <w:r>
        <w:t xml:space="preserve">Tại Việt Nam, các nghiên cứu về tối ưu danh mục chủ yếu giới hạn trong cổ phiếu (Nguyễn Minh Nhật và Phạm Thị Thu Hường, 2024; Lê Thị Anh Quyên và cộng sự, 2024; Le và Dao, 2021), ít nghiên cứu xét đồng thời các lớp tài sản mà nhà đầu tư cá nhân thực sự nắm giữ. Khó khăn lớn nằm ở dữ liệu: chuỗi giá vàng SJC hằng tháng và lãi suất tiền gửi theo kỳ hạn không có sẵn dưới dạng chuẩn hóa, còn thị trường trái phiếu chưa có chuỗi giá trị đầu tư được cho nhà đầu tư cá nhân. Các nghiên cứu ứng dụng học máy trong nước chủ yếu đánh giá độ chính xác dự báo của từng cổ phiếu (Thanh Nhon và cộng sự, 2025) mà chưa gắn dự báo với quyết định phân bổ danh mục, và hiếm khi kiểm định thống kê sự khác biệt giữa các chiến lược. Bên cạnh đó, kết quả nghiên cứu ít khi được chuyển thành công cụ mà người không chuyên có thể sử dụng.</w:t>
      </w:r>
    </w:p>
    <w:p>
      <w:pPr>
        <w:pStyle w:val="BodyText"/>
      </w:pPr>
      <w:r>
        <w:t xml:space="preserve">Từ những lý do trên, tác giả chọn đề tài</w:t>
      </w:r>
      <w:r>
        <w:t xml:space="preserve"> </w:t>
      </w:r>
      <w:r>
        <w:t xml:space="preserve">“</w:t>
      </w:r>
      <w:r>
        <w:t xml:space="preserve">Tối ưu hóa danh mục đa tài sản cho nhà đầu tư Việt Nam</w:t>
      </w:r>
      <w:r>
        <w:t xml:space="preserve">”</w:t>
      </w:r>
      <w:r>
        <w:t xml:space="preserve">: so sánh một cách có kiểm định các phương pháp phân bổ truyền thống và có học máy trên 5 lớp tài sản Việt Nam, sau đó đưa kết quả vào một ứng dụng tư vấn. Đề tài vừa có ý nghĩa khoa học, vì kiểm tra lại các kết luận quốc tế trên một thị trường mới nổi với cấu trúc tài sản đặc thù, vừa có ý nghĩa thực tiễn, vì cung cấp cho nhà đầu tư cá nhân một quy trình phân bổ minh bạch, có giải thích và tái lập được.</w:t>
      </w:r>
    </w:p>
    <w:bookmarkEnd w:id="22"/>
    <w:bookmarkEnd w:id="23"/>
    <w:bookmarkStart w:id="24" w:name="mục-tiêu-nghiên-cứu"/>
    <w:p>
      <w:pPr>
        <w:pStyle w:val="Heading2"/>
      </w:pPr>
      <w:r>
        <w:t xml:space="preserve">1.2 Mục tiêu nghiên cứu</w:t>
      </w:r>
    </w:p>
    <w:p>
      <w:pPr>
        <w:pStyle w:val="FirstParagraph"/>
      </w:pPr>
      <w:r>
        <w:rPr>
          <w:bCs/>
          <w:b/>
        </w:rPr>
        <w:t xml:space="preserve">Mục tiêu tổng quát.</w:t>
      </w:r>
      <w:r>
        <w:t xml:space="preserve"> </w:t>
      </w:r>
      <w:r>
        <w:t xml:space="preserve">Xác định phương pháp phân bổ phù hợp cho danh mục đa tài sản của nhà đầu tư cá nhân Việt Nam theo từng khẩu vị rủi ro và khung thời gian, và xây dựng ứng dụng tư vấn dựa trên phương pháp đó.</w:t>
      </w:r>
    </w:p>
    <w:p>
      <w:pPr>
        <w:pStyle w:val="BodyText"/>
      </w:pPr>
      <w:r>
        <w:rPr>
          <w:bCs/>
          <w:b/>
        </w:rPr>
        <w:t xml:space="preserve">Mục tiêu cụ thể:</w:t>
      </w:r>
    </w:p>
    <w:p>
      <w:pPr>
        <w:numPr>
          <w:ilvl w:val="0"/>
          <w:numId w:val="1002"/>
        </w:numPr>
      </w:pPr>
      <w:r>
        <w:t xml:space="preserve">Xây dựng bộ dữ liệu tháng 02/2016–07/2026 cho 5 lớp tài sản mà nhà đầu tư cá nhân thực hiện được, có trích nguồn từng chuỗi và không sử dụng thông tin tương lai.</w:t>
      </w:r>
    </w:p>
    <w:p>
      <w:pPr>
        <w:numPr>
          <w:ilvl w:val="0"/>
          <w:numId w:val="1002"/>
        </w:numPr>
      </w:pPr>
      <w:r>
        <w:t xml:space="preserve">Đánh giá kỹ năng dự báo lợi nhuận ngoài mẫu của Elastic Net, LightGBM và mạng nơ-ron MLP so với trung bình lịch sử, theo từng lớp tài sản.</w:t>
      </w:r>
    </w:p>
    <w:p>
      <w:pPr>
        <w:numPr>
          <w:ilvl w:val="0"/>
          <w:numId w:val="1002"/>
        </w:numPr>
      </w:pPr>
      <w:r>
        <w:t xml:space="preserve">So sánh hiệu quả điều chỉnh rủi ro của bảy phương pháp phân bổ trên 9 kịch bản khẩu vị × khung thời gian, có tính chi phí giao dịch và kiểm định thống kê có kiểm soát kiểm định bội.</w:t>
      </w:r>
    </w:p>
    <w:p>
      <w:pPr>
        <w:numPr>
          <w:ilvl w:val="0"/>
          <w:numId w:val="1002"/>
        </w:numPr>
      </w:pPr>
      <w:r>
        <w:t xml:space="preserve">Đánh giá lợi ích đa dạng hóa của danh mục 5 lớp so với danh mục cổ phiếu–trái phiếu, và xác định lớp tài sản nào tạo ra lợi ích đó.</w:t>
      </w:r>
    </w:p>
    <w:p>
      <w:pPr>
        <w:numPr>
          <w:ilvl w:val="0"/>
          <w:numId w:val="1002"/>
        </w:numPr>
      </w:pPr>
      <w:r>
        <w:t xml:space="preserve">Đánh giá độ vững của kết quả qua phân tích độ nhạy, mô phỏng bootstrap và hiệu chỉnh thiên lệch chọn lọc.</w:t>
      </w:r>
    </w:p>
    <w:p>
      <w:pPr>
        <w:numPr>
          <w:ilvl w:val="0"/>
          <w:numId w:val="1002"/>
        </w:numPr>
      </w:pPr>
      <w:r>
        <w:t xml:space="preserve">Xây dựng ứng dụng PortfolioVN chuyển kết quả nghiên cứu thành khuyến nghị phân bổ và kế hoạch thực hiện cụ thể theo số vốn.</w:t>
      </w:r>
    </w:p>
    <w:bookmarkEnd w:id="24"/>
    <w:bookmarkStart w:id="25" w:name="câu-hỏi-nghiên-cứu-và-giả-thuyết"/>
    <w:p>
      <w:pPr>
        <w:pStyle w:val="Heading2"/>
      </w:pPr>
      <w:r>
        <w:t xml:space="preserve">1.3 Câu hỏi nghiên cứu và giả thuyết</w:t>
      </w:r>
    </w:p>
    <w:p>
      <w:pPr>
        <w:pStyle w:val="FirstParagraph"/>
      </w:pPr>
      <w:r>
        <w:t xml:space="preserve">Luận văn trả lời bốn câu hỏi, tương ứng bốn giả thuyết. Mỗi giả thuyết được phát biểu dưới dạng so sánh hệ số Sharpe; giả thuyết không của mỗi cặp so sánh là hai danh mục có cùng hệ số Sharpe, và giả thuyết đối là hai hệ số khác nhau (kiểm định hai phía).</w:t>
      </w:r>
    </w:p>
    <w:p>
      <w:pPr>
        <w:pStyle w:val="TableCaption"/>
      </w:pPr>
      <w:r>
        <w:t xml:space="preserve">Bảng 1.1. Câu hỏi nghiên cứu và giả thuyết</w:t>
      </w:r>
    </w:p>
    <w:tbl>
      <w:tblPr>
        <w:tblStyle w:val="Table"/>
        <w:tblW w:type="pct" w:w="5000"/>
        <w:jc w:val="center"/>
        <w:tblLook w:firstRow="1" w:lastRow="0" w:firstColumn="0" w:lastColumn="0" w:noHBand="0" w:noVBand="0" w:val="0020"/>
        <w:tblCaption w:val="Bảng 1.1. Câu hỏi nghiên cứu và giả thuyết"/>
      </w:tblPr>
      <w:tblGrid>
        <w:gridCol w:w="637"/>
        <w:gridCol w:w="3641"/>
        <w:gridCol w:w="3641"/>
      </w:tblGrid>
      <w:tr>
        <w:trPr>
          <w:tblHeader w:val="true"/>
        </w:trPr>
        <w:tc>
          <w:tcPr/>
          <w:p>
            <w:pPr>
              <w:pStyle w:val="Compact"/>
            </w:pPr>
          </w:p>
        </w:tc>
        <w:tc>
          <w:tcPr/>
          <w:p>
            <w:pPr>
              <w:pStyle w:val="Compact"/>
              <w:jc w:val="center"/>
            </w:pPr>
            <w:r>
              <w:rPr>
                <w:b/>
              </w:rPr>
              <w:t xml:space="preserve">Câu hỏi nghiên cứu</w:t>
            </w:r>
          </w:p>
        </w:tc>
        <w:tc>
          <w:tcPr/>
          <w:p>
            <w:pPr>
              <w:pStyle w:val="Compact"/>
              <w:jc w:val="center"/>
            </w:pPr>
            <w:r>
              <w:rPr>
                <w:b/>
              </w:rPr>
              <w:t xml:space="preserve">Giả thuyết</w:t>
            </w:r>
          </w:p>
        </w:tc>
      </w:tr>
      <w:tr>
        <w:trPr>
          <w:cantSplit/>
        </w:trPr>
        <w:tc>
          <w:tcPr/>
          <w:p>
            <w:pPr>
              <w:pStyle w:val="Compact"/>
              <w:jc w:val="left"/>
            </w:pPr>
            <w:r>
              <w:t xml:space="preserve">H1</w:t>
            </w:r>
          </w:p>
        </w:tc>
        <w:tc>
          <w:tcPr/>
          <w:p>
            <w:pPr>
              <w:pStyle w:val="Compact"/>
              <w:jc w:val="left"/>
            </w:pPr>
            <w:r>
              <w:t xml:space="preserve">Các phương pháp tối ưu (Markowitz, Risk Parity, HRP) có cho hiệu quả khác danh mục phân bổ đều không?</w:t>
            </w:r>
          </w:p>
        </w:tc>
        <w:tc>
          <w:tcPr/>
          <w:p>
            <w:pPr>
              <w:pStyle w:val="Compact"/>
              <w:jc w:val="left"/>
            </w:pPr>
            <w:r>
              <w:t xml:space="preserve">Sharpe của phương pháp tối ưu khác Sharpe của phân bổ đều</w:t>
            </w:r>
          </w:p>
        </w:tc>
      </w:tr>
      <w:tr>
        <w:trPr>
          <w:cantSplit/>
        </w:trPr>
        <w:tc>
          <w:tcPr/>
          <w:p>
            <w:pPr>
              <w:pStyle w:val="Compact"/>
              <w:jc w:val="left"/>
            </w:pPr>
            <w:r>
              <w:t xml:space="preserve">H2</w:t>
            </w:r>
          </w:p>
        </w:tc>
        <w:tc>
          <w:tcPr/>
          <w:p>
            <w:pPr>
              <w:pStyle w:val="Compact"/>
              <w:jc w:val="left"/>
            </w:pPr>
            <w:r>
              <w:t xml:space="preserve">Đưa dự báo học máy vào Black–Litterman có cải thiện so với Markowitz không, và nguồn dự báo nào tốt hơn?</w:t>
            </w:r>
          </w:p>
        </w:tc>
        <w:tc>
          <w:tcPr/>
          <w:p>
            <w:pPr>
              <w:pStyle w:val="Compact"/>
              <w:jc w:val="left"/>
            </w:pPr>
            <w:r>
              <w:t xml:space="preserve">Sharpe của BL có quan điểm học máy khác Sharpe của Markowitz</w:t>
            </w:r>
          </w:p>
        </w:tc>
      </w:tr>
      <w:tr>
        <w:trPr>
          <w:cantSplit/>
        </w:trPr>
        <w:tc>
          <w:tcPr/>
          <w:p>
            <w:pPr>
              <w:pStyle w:val="Compact"/>
              <w:jc w:val="left"/>
            </w:pPr>
            <w:r>
              <w:t xml:space="preserve">H3</w:t>
            </w:r>
          </w:p>
        </w:tc>
        <w:tc>
          <w:tcPr/>
          <w:p>
            <w:pPr>
              <w:pStyle w:val="Compact"/>
              <w:jc w:val="left"/>
            </w:pPr>
            <w:r>
              <w:t xml:space="preserve">Mở rộng sang 5 lớp tài sản có cải thiện so với danh mục cổ phiếu–trái phiếu không?</w:t>
            </w:r>
          </w:p>
        </w:tc>
        <w:tc>
          <w:tcPr/>
          <w:p>
            <w:pPr>
              <w:pStyle w:val="Compact"/>
              <w:jc w:val="left"/>
            </w:pPr>
            <w:r>
              <w:t xml:space="preserve">Sharpe của danh mục 5 lớp khác Sharpe của danh mục 2 lớp, với cùng phương pháp</w:t>
            </w:r>
          </w:p>
        </w:tc>
      </w:tr>
      <w:tr>
        <w:trPr>
          <w:cantSplit/>
        </w:trPr>
        <w:tc>
          <w:tcPr/>
          <w:p>
            <w:pPr>
              <w:pStyle w:val="Compact"/>
              <w:jc w:val="left"/>
            </w:pPr>
            <w:r>
              <w:t xml:space="preserve">H4</w:t>
            </w:r>
          </w:p>
        </w:tc>
        <w:tc>
          <w:tcPr/>
          <w:p>
            <w:pPr>
              <w:pStyle w:val="Compact"/>
              <w:jc w:val="left"/>
            </w:pPr>
            <w:r>
              <w:t xml:space="preserve">Học tăng cường có cho hiệu quả khác các phương pháp còn lại không? (phụ lục)</w:t>
            </w:r>
          </w:p>
        </w:tc>
        <w:tc>
          <w:tcPr/>
          <w:p>
            <w:pPr>
              <w:pStyle w:val="Compact"/>
              <w:jc w:val="left"/>
            </w:pPr>
            <w:r>
              <w:t xml:space="preserve">Sharpe của RL khác Sharpe của từng phương pháp chính</w:t>
            </w:r>
          </w:p>
        </w:tc>
      </w:tr>
    </w:tbl>
    <w:p>
      <w:pPr>
        <w:pStyle w:val="BodyText"/>
        <w:spacing w:before="200"/>
      </w:pPr>
      <w:r>
        <w:t xml:space="preserve">Mỗi giả thuyết gắn với một khoảng trống cụ thể. H1 kiểm tra lại kết luận của DeMiguel, Garlappi và Uppal (2009) trong bối cảnh đa tài sản Việt Nam. H2 kiểm tra liệu học máy, vốn chủ yếu được đánh giá bằng độ chính xác dự báo trong các nghiên cứu trong nước, có tạo ra giá trị khi đưa vào quyết định phân bổ hay không. H3 lượng hóa lợi ích của việc mở rộng danh mục ra ngoài hai lớp truyền thống. H4 được đưa xuống phụ lục vì tác tử RL trong luận văn thực chất là bài toán contextual bandit (mục 3.5) và được kiểm định trong một họ riêng để không ảnh hưởng đến H1–H3.</w:t>
      </w:r>
    </w:p>
    <w:p>
      <w:pPr>
        <w:pStyle w:val="BodyText"/>
      </w:pPr>
      <w:r>
        <w:t xml:space="preserve">Một điểm cần nhấn mạnh ngay từ đầu: với khoảng 100 tháng dữ liệu kiểm tra, kiểm định chênh lệch Sharpe có độ mạnh thấp. Vì vậy luận văn không chỉ báo cáo giá trị p mà còn báo cáo chênh lệch tối thiểu phát hiện được, để phân biệt</w:t>
      </w:r>
      <w:r>
        <w:t xml:space="preserve"> </w:t>
      </w:r>
      <w:r>
        <w:t xml:space="preserve">“</w:t>
      </w:r>
      <w:r>
        <w:t xml:space="preserve">không có khác biệt</w:t>
      </w:r>
      <w:r>
        <w:t xml:space="preserve">”</w:t>
      </w:r>
      <w:r>
        <w:t xml:space="preserve"> </w:t>
      </w:r>
      <w:r>
        <w:t xml:space="preserve">với</w:t>
      </w:r>
      <w:r>
        <w:t xml:space="preserve"> </w:t>
      </w:r>
      <w:r>
        <w:t xml:space="preserve">“</w:t>
      </w:r>
      <w:r>
        <w:t xml:space="preserve">dữ liệu chưa đủ để phát hiện khác biệt</w:t>
      </w:r>
      <w:r>
        <w:t xml:space="preserve">”</w:t>
      </w:r>
      <w:r>
        <w:t xml:space="preserve">.</w:t>
      </w:r>
    </w:p>
    <w:bookmarkEnd w:id="25"/>
    <w:bookmarkStart w:id="26" w:name="đối-tượng-và-phạm-vi-nghiên-cứu"/>
    <w:p>
      <w:pPr>
        <w:pStyle w:val="Heading2"/>
      </w:pPr>
      <w:r>
        <w:t xml:space="preserve">1.4 Đối tượng và phạm vi nghiên cứu</w:t>
      </w:r>
    </w:p>
    <w:p>
      <w:pPr>
        <w:pStyle w:val="FirstParagraph"/>
      </w:pPr>
      <w:r>
        <w:rPr>
          <w:bCs/>
          <w:b/>
        </w:rPr>
        <w:t xml:space="preserve">Đối tượng nghiên cứu</w:t>
      </w:r>
      <w:r>
        <w:t xml:space="preserve"> </w:t>
      </w:r>
      <w:r>
        <w:t xml:space="preserve">là các phương pháp phân bổ danh mục đa tài sản và hiệu quả của chúng khi áp dụng cho nhà đầu tư cá nhân Việt Nam.</w:t>
      </w:r>
    </w:p>
    <w:p>
      <w:pPr>
        <w:pStyle w:val="BodyText"/>
      </w:pPr>
      <w:r>
        <w:rPr>
          <w:bCs/>
          <w:b/>
        </w:rPr>
        <w:t xml:space="preserve">Phạm vi tài sản.</w:t>
      </w:r>
      <w:r>
        <w:t xml:space="preserve"> </w:t>
      </w:r>
      <w:r>
        <w:t xml:space="preserve">Luận văn xét 5 lớp tài sản, mỗi lớp được đại diện bằng một công cụ mà nhà đầu tư cá nhân mua bán được thực tế:</w:t>
      </w:r>
    </w:p>
    <w:p>
      <w:pPr>
        <w:pStyle w:val="TableCaption"/>
      </w:pPr>
      <w:r>
        <w:t xml:space="preserve">Bảng 1.2. Năm lớp tài sản nghiên cứu</w:t>
      </w:r>
    </w:p>
    <w:tbl>
      <w:tblPr>
        <w:tblStyle w:val="Table"/>
        <w:tblW w:type="pct" w:w="5000"/>
        <w:jc w:val="center"/>
        <w:tblLook w:firstRow="1" w:lastRow="0" w:firstColumn="0" w:lastColumn="0" w:noHBand="0" w:noVBand="0" w:val="0020"/>
        <w:tblCaption w:val="Bảng 1.2. Năm lớp tài sản nghiên cứu"/>
      </w:tblPr>
      <w:tblGrid>
        <w:gridCol w:w="2009"/>
        <w:gridCol w:w="4728"/>
        <w:gridCol w:w="1182"/>
      </w:tblGrid>
      <w:tr>
        <w:trPr>
          <w:tblHeader w:val="true"/>
        </w:trPr>
        <w:tc>
          <w:tcPr/>
          <w:p>
            <w:pPr>
              <w:pStyle w:val="Compact"/>
              <w:jc w:val="center"/>
            </w:pPr>
            <w:r>
              <w:rPr>
                <w:b/>
              </w:rPr>
              <w:t xml:space="preserve">Lớp tài sản</w:t>
            </w:r>
          </w:p>
        </w:tc>
        <w:tc>
          <w:tcPr/>
          <w:p>
            <w:pPr>
              <w:pStyle w:val="Compact"/>
              <w:jc w:val="center"/>
            </w:pPr>
            <w:r>
              <w:rPr>
                <w:b/>
              </w:rPr>
              <w:t xml:space="preserve">Công cụ đại diện</w:t>
            </w:r>
          </w:p>
        </w:tc>
        <w:tc>
          <w:tcPr/>
          <w:p>
            <w:pPr>
              <w:pStyle w:val="Compact"/>
              <w:jc w:val="center"/>
            </w:pPr>
            <w:r>
              <w:rPr>
                <w:b/>
              </w:rPr>
              <w:t xml:space="preserve">Nhóm</w:t>
            </w:r>
          </w:p>
        </w:tc>
      </w:tr>
      <w:tr>
        <w:trPr>
          <w:cantSplit/>
        </w:trPr>
        <w:tc>
          <w:tcPr/>
          <w:p>
            <w:pPr>
              <w:pStyle w:val="Compact"/>
              <w:jc w:val="left"/>
            </w:pPr>
            <w:r>
              <w:t xml:space="preserve">Cổ phiếu</w:t>
            </w:r>
          </w:p>
        </w:tc>
        <w:tc>
          <w:tcPr/>
          <w:p>
            <w:pPr>
              <w:pStyle w:val="Compact"/>
              <w:jc w:val="left"/>
            </w:pPr>
            <w:r>
              <w:t xml:space="preserve">Chứng chỉ quỹ ETF E1VFVN30</w:t>
            </w:r>
          </w:p>
        </w:tc>
        <w:tc>
          <w:tcPr/>
          <w:p>
            <w:pPr>
              <w:pStyle w:val="Compact"/>
              <w:jc w:val="left"/>
            </w:pPr>
            <w:r>
              <w:t xml:space="preserve">Rủi ro</w:t>
            </w:r>
          </w:p>
        </w:tc>
      </w:tr>
      <w:tr>
        <w:trPr>
          <w:cantSplit/>
        </w:trPr>
        <w:tc>
          <w:tcPr/>
          <w:p>
            <w:pPr>
              <w:pStyle w:val="Compact"/>
              <w:jc w:val="left"/>
            </w:pPr>
            <w:r>
              <w:t xml:space="preserve">Cổ phiếu bất động sản</w:t>
            </w:r>
          </w:p>
        </w:tc>
        <w:tc>
          <w:tcPr/>
          <w:p>
            <w:pPr>
              <w:pStyle w:val="Compact"/>
              <w:jc w:val="left"/>
            </w:pPr>
            <w:r>
              <w:t xml:space="preserve">Rổ 4 doanh nghiệp bất động sản dân dụng vốn hóa lớn nhất HOSE, xác định lại đầu mỗi năm</w:t>
            </w:r>
          </w:p>
        </w:tc>
        <w:tc>
          <w:tcPr/>
          <w:p>
            <w:pPr>
              <w:pStyle w:val="Compact"/>
              <w:jc w:val="left"/>
            </w:pPr>
            <w:r>
              <w:t xml:space="preserve">Rủi ro</w:t>
            </w:r>
          </w:p>
        </w:tc>
      </w:tr>
      <w:tr>
        <w:trPr>
          <w:cantSplit/>
        </w:trPr>
        <w:tc>
          <w:tcPr/>
          <w:p>
            <w:pPr>
              <w:pStyle w:val="Compact"/>
              <w:jc w:val="left"/>
            </w:pPr>
            <w:r>
              <w:t xml:space="preserve">Vàng</w:t>
            </w:r>
          </w:p>
        </w:tc>
        <w:tc>
          <w:tcPr/>
          <w:p>
            <w:pPr>
              <w:pStyle w:val="Compact"/>
              <w:jc w:val="left"/>
            </w:pPr>
            <w:r>
              <w:t xml:space="preserve">Vàng miếng SJC</w:t>
            </w:r>
          </w:p>
        </w:tc>
        <w:tc>
          <w:tcPr/>
          <w:p>
            <w:pPr>
              <w:pStyle w:val="Compact"/>
              <w:jc w:val="left"/>
            </w:pPr>
            <w:r>
              <w:t xml:space="preserve">Phòng thủ</w:t>
            </w:r>
          </w:p>
        </w:tc>
      </w:tr>
      <w:tr>
        <w:trPr>
          <w:cantSplit/>
        </w:trPr>
        <w:tc>
          <w:tcPr/>
          <w:p>
            <w:pPr>
              <w:pStyle w:val="Compact"/>
              <w:jc w:val="left"/>
            </w:pPr>
            <w:r>
              <w:t xml:space="preserve">Trái phiếu</w:t>
            </w:r>
          </w:p>
        </w:tc>
        <w:tc>
          <w:tcPr/>
          <w:p>
            <w:pPr>
              <w:pStyle w:val="Compact"/>
              <w:jc w:val="left"/>
            </w:pPr>
            <w:r>
              <w:t xml:space="preserve">Quỹ trái phiếu mở DCBF</w:t>
            </w:r>
          </w:p>
        </w:tc>
        <w:tc>
          <w:tcPr/>
          <w:p>
            <w:pPr>
              <w:pStyle w:val="Compact"/>
              <w:jc w:val="left"/>
            </w:pPr>
            <w:r>
              <w:t xml:space="preserve">Phòng thủ</w:t>
            </w:r>
          </w:p>
        </w:tc>
      </w:tr>
      <w:tr>
        <w:trPr>
          <w:cantSplit/>
        </w:trPr>
        <w:tc>
          <w:tcPr/>
          <w:p>
            <w:pPr>
              <w:pStyle w:val="Compact"/>
              <w:jc w:val="left"/>
            </w:pPr>
            <w:r>
              <w:t xml:space="preserve">Tiền gửi</w:t>
            </w:r>
          </w:p>
        </w:tc>
        <w:tc>
          <w:tcPr/>
          <w:p>
            <w:pPr>
              <w:pStyle w:val="Compact"/>
              <w:jc w:val="left"/>
            </w:pPr>
            <w:r>
              <w:t xml:space="preserve">Tiền gửi tiết kiệm Vietcombank (phần tiền mặt)</w:t>
            </w:r>
          </w:p>
        </w:tc>
        <w:tc>
          <w:tcPr/>
          <w:p>
            <w:pPr>
              <w:pStyle w:val="Compact"/>
              <w:jc w:val="left"/>
            </w:pPr>
            <w:r>
              <w:t xml:space="preserve">Tiền mặt</w:t>
            </w:r>
          </w:p>
        </w:tc>
      </w:tr>
    </w:tbl>
    <w:p>
      <w:pPr>
        <w:pStyle w:val="BodyText"/>
        <w:spacing w:before="200"/>
      </w:pPr>
      <w:r>
        <w:t xml:space="preserve">Bất động sản trực tiếp (nhà, đất) không được xét vì không chia nhỏ được, không có giá tháng đáng tin cậy và chi phí giao dịch rất cao; cổ phiếu bất động sản được dùng thay thế. Tiền mã hóa, ngoại tệ và các công cụ phái sinh nằm ngoài phạm vi vì không phổ biến trong danh mục của đa số nhà đầu tư cá nhân hoặc chưa có khung pháp lý rõ ràng trong giai đoạn nghiên cứu.</w:t>
      </w:r>
    </w:p>
    <w:p>
      <w:pPr>
        <w:pStyle w:val="BodyText"/>
      </w:pPr>
      <w:r>
        <w:rPr>
          <w:bCs/>
          <w:b/>
        </w:rPr>
        <w:t xml:space="preserve">Phạm vi nhà đầu tư.</w:t>
      </w:r>
      <w:r>
        <w:t xml:space="preserve"> </w:t>
      </w:r>
      <w:r>
        <w:t xml:space="preserve">Ba khẩu vị rủi ro (Thận trọng, Cân bằng, Tăng trưởng), tương ứng tỷ trọng nhóm rủi ro (cổ phiếu và cổ phiếu bất động sản) 10–30%, 40–60% và 70–90%; và ba khung thời gian (ngắn, trung, dài hạn) với tần suất tái cân bằng 1, 3 và 12 tháng. Tổ hợp lại cho 9 kịch bản. Nhà đầu tư được giả định không dùng đòn bẩy, không bán khống và chịu chi phí giao dịch thực tế của từng lớp.</w:t>
      </w:r>
    </w:p>
    <w:p>
      <w:pPr>
        <w:pStyle w:val="BodyText"/>
      </w:pPr>
      <w:r>
        <w:rPr>
          <w:bCs/>
          <w:b/>
        </w:rPr>
        <w:t xml:space="preserve">Phạm vi thời gian.</w:t>
      </w:r>
      <w:r>
        <w:t xml:space="preserve"> </w:t>
      </w:r>
      <w:r>
        <w:t xml:space="preserve">Dữ liệu tháng từ 02/2016 đến 07/2026 (126 tháng). Giai đoạn kiểm tra ngoài mẫu từ 02/2018 đến 07/2026 (102 tháng), bao gồm nhiều trạng thái thị trường khác nhau: đợt điều chỉnh 2018, cú sốc COVID-19 năm 2020, đợt tăng mạnh 2021, khủng hoảng trái phiếu doanh nghiệp và bất động sản 2022, và đợt tăng giá vàng 2024–2025.</w:t>
      </w:r>
    </w:p>
    <w:p>
      <w:pPr>
        <w:pStyle w:val="BodyText"/>
      </w:pPr>
      <w:r>
        <w:rPr>
          <w:bCs/>
          <w:b/>
        </w:rPr>
        <w:t xml:space="preserve">Điều chỉnh so với đề cương.</w:t>
      </w:r>
      <w:r>
        <w:t xml:space="preserve"> </w:t>
      </w:r>
      <w:r>
        <w:t xml:space="preserve">Trong quá trình thực hiện, phạm vi được điều chỉnh ở bốn điểm để kết quả phản ánh đúng điều nhà đầu tư thực hiện được: (i) gộp VN-Index và ETF thành một lớp cổ phiếu thực hiện qua ETF, nên danh mục còn 5 lớp thay vì 6; (ii) thay 4 mã bất động sản cố định bằng rổ xác định lại mỗi năm để tránh thiên lệch sống sót; (iii) thay lợi suất trái phiếu chính phủ bằng NAV quỹ trái phiếu mở, là công cụ nhà đầu tư cá nhân mua được; (iv) dựng lại giá vàng SJC giai đoạn trước 08/2022 theo nguyên tắc point-in-time để mở rộng mẫu, và thêm trần 50% mỗi lớp. Bản 6 lớp gốc vẫn được chạy lại trong phân tích độ nhạy để đối chiếu. Chi tiết ở mục 3.1–3.3.</w:t>
      </w:r>
    </w:p>
    <w:bookmarkEnd w:id="26"/>
    <w:bookmarkStart w:id="27" w:name="phương-pháp-nghiên-cứu"/>
    <w:p>
      <w:pPr>
        <w:pStyle w:val="Heading2"/>
      </w:pPr>
      <w:r>
        <w:t xml:space="preserve">1.5 Phương pháp nghiên cứu</w:t>
      </w:r>
    </w:p>
    <w:p>
      <w:pPr>
        <w:pStyle w:val="FirstParagraph"/>
      </w:pPr>
      <w:r>
        <w:t xml:space="preserve">Luận văn sử dụng phương pháp định lượng, gồm năm bước nối tiếp:</w:t>
      </w:r>
    </w:p>
    <w:p>
      <w:pPr>
        <w:numPr>
          <w:ilvl w:val="0"/>
          <w:numId w:val="1003"/>
        </w:numPr>
      </w:pPr>
      <w:r>
        <w:rPr>
          <w:bCs/>
          <w:b/>
        </w:rPr>
        <w:t xml:space="preserve">Thu thập và xử lý dữ liệu.</w:t>
      </w:r>
      <w:r>
        <w:t xml:space="preserve"> </w:t>
      </w:r>
      <w:r>
        <w:t xml:space="preserve">Ghép chuỗi giá từ nhiều nguồn công khai (công ty chứng khoán, Fmarket, pricedancing, World Bank, IMF, báo chí về biểu lãi suất Vietcombank), kiểm tra độ khớp giữa các nguồn và dựng giá vàng, rổ bất động sản theo nguyên tắc point-in-time.</w:t>
      </w:r>
    </w:p>
    <w:p>
      <w:pPr>
        <w:numPr>
          <w:ilvl w:val="0"/>
          <w:numId w:val="1003"/>
        </w:numPr>
      </w:pPr>
      <w:r>
        <w:rPr>
          <w:bCs/>
          <w:b/>
        </w:rPr>
        <w:t xml:space="preserve">Ước lượng tham số.</w:t>
      </w:r>
      <w:r>
        <w:t xml:space="preserve"> </w:t>
      </w:r>
      <w:r>
        <w:t xml:space="preserve">Hiệp phương sai EWMA kết hợp co Ledoit–Wolf; lợi nhuận kỳ vọng Bayes–Stein; khử độ trơn Geltner cho trái phiếu.</w:t>
      </w:r>
    </w:p>
    <w:p>
      <w:pPr>
        <w:numPr>
          <w:ilvl w:val="0"/>
          <w:numId w:val="1003"/>
        </w:numPr>
      </w:pPr>
      <w:r>
        <w:rPr>
          <w:bCs/>
          <w:b/>
        </w:rPr>
        <w:t xml:space="preserve">Dự báo bằng học máy.</w:t>
      </w:r>
      <w:r>
        <w:t xml:space="preserve"> </w:t>
      </w:r>
      <w:r>
        <w:t xml:space="preserve">Elastic Net, LightGBM và MLP dự báo lợi nhuận tháng tiếp theo ngoài mẫu, đánh giá bằng R²</w:t>
      </w:r>
      <w:r>
        <w:rPr>
          <w:vertAlign w:val="subscript"/>
        </w:rPr>
        <w:t xml:space="preserve">OS</w:t>
      </w:r>
      <w:r>
        <w:t xml:space="preserve"> </w:t>
      </w:r>
      <w:r>
        <w:t xml:space="preserve">và kiểm định Clark–West.</w:t>
      </w:r>
    </w:p>
    <w:p>
      <w:pPr>
        <w:numPr>
          <w:ilvl w:val="0"/>
          <w:numId w:val="1003"/>
        </w:numPr>
      </w:pPr>
      <w:r>
        <w:rPr>
          <w:bCs/>
          <w:b/>
        </w:rPr>
        <w:t xml:space="preserve">Phân bổ và backtest.</w:t>
      </w:r>
      <w:r>
        <w:t xml:space="preserve"> </w:t>
      </w:r>
      <w:r>
        <w:t xml:space="preserve">Bảy phương pháp (phân bổ đều, Markowitz, Risk Parity, HRP, Black–Litterman, MLP_MVO, học tăng cường) chạy walk-forward hằng tháng trên 9 kịch bản, có chi phí giao dịch theo lớp.</w:t>
      </w:r>
    </w:p>
    <w:p>
      <w:pPr>
        <w:numPr>
          <w:ilvl w:val="0"/>
          <w:numId w:val="1003"/>
        </w:numPr>
      </w:pPr>
      <w:r>
        <w:rPr>
          <w:bCs/>
          <w:b/>
        </w:rPr>
        <w:t xml:space="preserve">Kiểm định.</w:t>
      </w:r>
      <w:r>
        <w:t xml:space="preserve"> </w:t>
      </w:r>
      <w:r>
        <w:t xml:space="preserve">So sánh Sharpe bằng kiểm định Ledoit–Wolf (2008), hiệu chỉnh Holm theo họ giả thuyết, báo cáo độ mạnh, Deflated Sharpe, mô phỏng stationary bootstrap và phân tích độ nhạy.</w:t>
      </w:r>
    </w:p>
    <w:p>
      <w:pPr>
        <w:pStyle w:val="FirstParagraph"/>
      </w:pPr>
      <w:r>
        <w:t xml:space="preserve">Toàn bộ quy trình được viết bằng Python thành một pipeline tái lập được, có kiểm thử tự động chống rò rỉ thông tin tương lai và so checksum đầu ra. Các thư viện chính gồm pandas và NumPy cho xử lý dữ liệu, scikit-learn (Pedregosa và cộng sự, 2011) và LightGBM (Ke và cộng sự, 2017) cho học máy, cvxpy (Diamond và Boyd, 2016) với bộ giải Clarabel (Goulart và Chen, 2024) cho tối ưu. Kết quả cuối cùng được đưa vào ứng dụng web PortfolioVN (FastAPI và React). Chi tiết phương pháp ở Chương 3.</w:t>
      </w:r>
    </w:p>
    <w:bookmarkEnd w:id="27"/>
    <w:bookmarkStart w:id="28" w:name="đóng-góp-của-đề-tài"/>
    <w:p>
      <w:pPr>
        <w:pStyle w:val="Heading2"/>
      </w:pPr>
      <w:r>
        <w:t xml:space="preserve">1.6 Đóng góp của đề tài</w:t>
      </w:r>
    </w:p>
    <w:p>
      <w:pPr>
        <w:pStyle w:val="FirstParagraph"/>
      </w:pPr>
      <w:r>
        <w:rPr>
          <w:bCs/>
          <w:b/>
        </w:rPr>
        <w:t xml:space="preserve">Về dữ liệu.</w:t>
      </w:r>
      <w:r>
        <w:t xml:space="preserve"> </w:t>
      </w:r>
      <w:r>
        <w:t xml:space="preserve">Luận văn xây dựng bộ dữ liệu tháng cho 5 lớp tài sản Việt Nam có trích nguồn từng chuỗi, gồm chuỗi giá vàng SJC dựng lại theo nguyên tắc point-in-time có kiểm chứng, rổ cổ phiếu bất động sản không thiên lệch sống sót và chuỗi lãi suất tiền gửi Vietcombank theo kỳ hạn 1, 3, 12 tháng dựng từ 56 mốc điều chỉnh biểu lãi suất công bố trên báo chí. Các chuỗi này có thể được tái sử dụng cho các nghiên cứu khác về thị trường Việt Nam.</w:t>
      </w:r>
    </w:p>
    <w:p>
      <w:pPr>
        <w:pStyle w:val="BodyText"/>
      </w:pPr>
      <w:r>
        <w:rPr>
          <w:bCs/>
          <w:b/>
        </w:rPr>
        <w:t xml:space="preserve">Về phương pháp.</w:t>
      </w:r>
      <w:r>
        <w:t xml:space="preserve"> </w:t>
      </w:r>
      <w:r>
        <w:t xml:space="preserve">Bảy phương pháp được so sánh trên cùng một khung: cùng ước lượng hiệp phương sai, cùng ràng buộc khẩu vị, cùng chi phí giao dịch và cùng chuỗi dự báo ngoài mẫu. Dự báo học máy chỉ được đưa vào Black–Litterman khi đã chứng tỏ kỹ năng ngoài mẫu tại thời điểm quyết định, với mức tin cậy suy ra từ kỹ năng đó. Kết quả được kiểm định thống kê có kiểm soát kiểm định bội và báo cáo rõ độ mạnh, thay vì chỉ xếp hạng theo Sharpe. Phân rã đóng góp tách được phần hiệu quả do dải khẩu vị, do cách chia trong nhóm và do từng lớp tài sản.</w:t>
      </w:r>
    </w:p>
    <w:p>
      <w:pPr>
        <w:pStyle w:val="BodyText"/>
      </w:pPr>
      <w:r>
        <w:rPr>
          <w:bCs/>
          <w:b/>
        </w:rPr>
        <w:t xml:space="preserve">Về thực tiễn.</w:t>
      </w:r>
      <w:r>
        <w:t xml:space="preserve"> </w:t>
      </w:r>
      <w:r>
        <w:t xml:space="preserve">Ứng dụng PortfolioVN chuyển kết quả thành công cụ tư vấn: đánh giá khẩu vị theo hai chiều chấp nhận và khả năng chịu rủi ro, đề xuất tỷ trọng, kế hoạch mua cụ thể theo số vốn và rủi ro thể hiện bằng tiền đồng. Pipeline và ứng dụng tái lập được, nên có thể cập nhật khi có dữ liệu mới mà không làm thay đổi các kế hoạch đã tạo.</w:t>
      </w:r>
    </w:p>
    <w:bookmarkEnd w:id="28"/>
    <w:bookmarkStart w:id="29" w:name="bố-cục-khóa-luận"/>
    <w:p>
      <w:pPr>
        <w:pStyle w:val="Heading2"/>
      </w:pPr>
      <w:r>
        <w:t xml:space="preserve">1.7 Bố cục khóa luận</w:t>
      </w:r>
    </w:p>
    <w:p>
      <w:pPr>
        <w:pStyle w:val="FirstParagraph"/>
      </w:pPr>
      <w:r>
        <w:t xml:space="preserve">Ngoài phần mở đầu, tài liệu tham khảo và phụ lục, khóa luận gồm 6 chương:</w:t>
      </w:r>
    </w:p>
    <w:p>
      <w:pPr>
        <w:numPr>
          <w:ilvl w:val="0"/>
          <w:numId w:val="1004"/>
        </w:numPr>
      </w:pPr>
      <w:r>
        <w:rPr>
          <w:bCs/>
          <w:b/>
        </w:rPr>
        <w:t xml:space="preserve">Chương 1 – Giới thiệu:</w:t>
      </w:r>
      <w:r>
        <w:t xml:space="preserve"> </w:t>
      </w:r>
      <w:r>
        <w:t xml:space="preserve">bối cảnh, mục tiêu, câu hỏi, giả thuyết và phạm vi nghiên cứu.</w:t>
      </w:r>
    </w:p>
    <w:p>
      <w:pPr>
        <w:numPr>
          <w:ilvl w:val="0"/>
          <w:numId w:val="1004"/>
        </w:numPr>
      </w:pPr>
      <w:r>
        <w:rPr>
          <w:bCs/>
          <w:b/>
        </w:rPr>
        <w:t xml:space="preserve">Chương 2 – Cơ sở lý thuyết và tổng quan nghiên cứu:</w:t>
      </w:r>
      <w:r>
        <w:t xml:space="preserve"> </w:t>
      </w:r>
      <w:r>
        <w:t xml:space="preserve">lý thuyết danh mục, các phương pháp phân bổ, học máy trong dự báo lợi nhuận, các kiểm định so sánh danh mục và khoảng trống nghiên cứu.</w:t>
      </w:r>
    </w:p>
    <w:p>
      <w:pPr>
        <w:numPr>
          <w:ilvl w:val="0"/>
          <w:numId w:val="1004"/>
        </w:numPr>
      </w:pPr>
      <w:r>
        <w:rPr>
          <w:bCs/>
          <w:b/>
        </w:rPr>
        <w:t xml:space="preserve">Chương 3 – Dữ liệu và phương pháp nghiên cứu:</w:t>
      </w:r>
      <w:r>
        <w:t xml:space="preserve"> </w:t>
      </w:r>
      <w:r>
        <w:t xml:space="preserve">nguồn và xử lý dữ liệu, thiết kế khẩu vị, ước lượng, bảy phương pháp, mô hình dự báo, backtest và kiểm định.</w:t>
      </w:r>
    </w:p>
    <w:p>
      <w:pPr>
        <w:numPr>
          <w:ilvl w:val="0"/>
          <w:numId w:val="1004"/>
        </w:numPr>
      </w:pPr>
      <w:r>
        <w:rPr>
          <w:bCs/>
          <w:b/>
        </w:rPr>
        <w:t xml:space="preserve">Chương 4 – Kết quả và thảo luận:</w:t>
      </w:r>
      <w:r>
        <w:t xml:space="preserve"> </w:t>
      </w:r>
      <w:r>
        <w:t xml:space="preserve">thống kê mô tả, kỹ năng dự báo, hiệu quả danh mục theo 9 kịch bản, kết quả kiểm định H1–H3, độ vững và phân rã đóng góp.</w:t>
      </w:r>
    </w:p>
    <w:p>
      <w:pPr>
        <w:numPr>
          <w:ilvl w:val="0"/>
          <w:numId w:val="1004"/>
        </w:numPr>
      </w:pPr>
      <w:r>
        <w:rPr>
          <w:bCs/>
          <w:b/>
        </w:rPr>
        <w:t xml:space="preserve">Chương 5 – Ứng dụng tư vấn PortfolioVN:</w:t>
      </w:r>
      <w:r>
        <w:t xml:space="preserve"> </w:t>
      </w:r>
      <w:r>
        <w:t xml:space="preserve">yêu cầu, kiến trúc, luồng tư vấn, kiểm thử và giới hạn.</w:t>
      </w:r>
    </w:p>
    <w:p>
      <w:pPr>
        <w:numPr>
          <w:ilvl w:val="0"/>
          <w:numId w:val="1004"/>
        </w:numPr>
      </w:pPr>
      <w:r>
        <w:rPr>
          <w:bCs/>
          <w:b/>
        </w:rPr>
        <w:t xml:space="preserve">Chương 6 – Kết luận và hàm ý:</w:t>
      </w:r>
      <w:r>
        <w:t xml:space="preserve"> </w:t>
      </w:r>
      <w:r>
        <w:t xml:space="preserve">kết luận, hàm ý cho nhà đầu tư và tổ chức tư vấn, hạn chế và hướng nghiên cứu tiếp theo.</w:t>
      </w:r>
    </w:p>
    <w:bookmarkEnd w:id="29"/>
    <w:bookmarkEnd w:id="30"/>
    <w:bookmarkStart w:id="53" w:name="X158c4f45029013a9a07be95941bc88d664ed89b"/>
    <w:p>
      <w:pPr>
        <w:pStyle w:val="Heading1"/>
      </w:pPr>
      <w:r>
        <w:t xml:space="preserve">Chương 2. Cơ sở lý thuyết và tổng quan nghiên cứu</w:t>
      </w:r>
    </w:p>
    <w:p>
      <w:pPr>
        <w:pStyle w:val="FirstParagraph"/>
      </w:pPr>
      <w:r>
        <w:t xml:space="preserve">Chương này trình bày nền tảng lý thuyết cho các lựa chọn phương pháp ở Chương 3. Mục 2.1 nhắc lại lý thuyết danh mục hiện đại và vấn đề sai số ước lượng. Mục 2.2 và 2.3 trình bày hai hướng khắc phục: các phương pháp không cần dự báo lợi nhuận và mô hình Black–Litterman. Mục 2.4 tổng quan về học máy trong dự báo lợi nhuận và học tăng cường. Mục 2.5 trình bày các thước đo và kiểm định dùng để so sánh danh mục. Mục 2.6 và 2.7 tổng quan nghiên cứu thực nghiệm và xác định khoảng trống.</w:t>
      </w:r>
    </w:p>
    <w:bookmarkStart w:id="33" w:name="lý-thuyết-danh-mục-hiện-đại"/>
    <w:p>
      <w:pPr>
        <w:pStyle w:val="Heading2"/>
      </w:pPr>
      <w:r>
        <w:t xml:space="preserve">2.1 Lý thuyết danh mục hiện đại</w:t>
      </w:r>
    </w:p>
    <w:bookmarkStart w:id="31" w:name="mô-hình-trung-bìnhphương-sai-markowitz"/>
    <w:p>
      <w:pPr>
        <w:pStyle w:val="Heading3"/>
      </w:pPr>
      <w:r>
        <w:t xml:space="preserve">2.1.1 Mô hình trung bình–phương sai Markowitz</w:t>
      </w:r>
    </w:p>
    <w:p>
      <w:pPr>
        <w:pStyle w:val="FirstParagraph"/>
      </w:pPr>
      <w:r>
        <w:t xml:space="preserve">Markowitz (1952) đặt nền móng cho lý thuyết danh mục hiện đại với một ý tưởng đơn giản: nhà đầu tư không nên đánh giá từng tài sản riêng lẻ mà nên xét danh mục như một tổng thể, cân nhắc giữa lợi nhuận kỳ vọng và rủi ro đo bằng phương sai. Với N tài sản có véc-tơ lợi nhuận kỳ vọng μ và ma trận hiệp phương sai Σ, danh mục tỷ trọng w có lợi nhuận kỳ vọng và phương sai:</w:t>
      </w:r>
    </w:p>
    <w:p>
      <w:pPr>
        <w:pStyle w:val="BodyText"/>
      </w:pPr>
      <m:oMathPara>
        <m:oMathParaPr>
          <m:jc m:val="center"/>
        </m:oMathParaPr>
        <m:oMath>
          <m:sSub>
            <m:e>
              <m:r>
                <m:t>μ</m:t>
              </m:r>
            </m:e>
            <m:sub>
              <m:r>
                <m:t>p</m:t>
              </m:r>
            </m:sub>
          </m:sSub>
          <m:r>
            <m:rPr>
              <m:sty m:val="p"/>
            </m:rPr>
            <m:t>=</m:t>
          </m:r>
          <m:sSup>
            <m:e>
              <m:r>
                <m:t>w</m:t>
              </m:r>
            </m:e>
            <m:sup>
              <m:r>
                <m:rPr>
                  <m:sty m:val="p"/>
                </m:rPr>
                <m:t>⊤</m:t>
              </m:r>
            </m:sup>
          </m:sSup>
          <m:r>
            <m:t>μ</m:t>
          </m:r>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μ</m:t>
              </m:r>
            </m:e>
            <m:sub>
              <m:r>
                <m:t>i</m:t>
              </m:r>
            </m:sub>
          </m:sSub>
          <m:r>
            <m:rPr>
              <m:sty m:val="p"/>
            </m:rPr>
            <m:t>,</m:t>
          </m:r>
          <m:r>
            <m:t>  </m:t>
          </m:r>
          <m:sSubSup>
            <m:e>
              <m:r>
                <m:t>σ</m:t>
              </m:r>
            </m:e>
            <m:sub>
              <m:r>
                <m:t>p</m:t>
              </m:r>
            </m:sub>
            <m:sup>
              <m:r>
                <m:t>2</m:t>
              </m:r>
            </m:sup>
          </m:sSubSup>
          <m:r>
            <m:rPr>
              <m:sty m:val="p"/>
            </m:rPr>
            <m:t>=</m:t>
          </m:r>
          <m:sSup>
            <m:e>
              <m:r>
                <m:t>w</m:t>
              </m:r>
            </m:e>
            <m:sup>
              <m:r>
                <m:rPr>
                  <m:sty m:val="p"/>
                </m:rPr>
                <m:t>⊤</m:t>
              </m:r>
            </m:sup>
          </m:sSup>
          <m:r>
            <m:t>Σ</m:t>
          </m:r>
          <m:r>
            <m:t>w</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w</m:t>
                      </m:r>
                    </m:e>
                    <m:sub>
                      <m:r>
                        <m:t>i</m:t>
                      </m:r>
                    </m:sub>
                  </m:sSub>
                </m:e>
              </m:nary>
            </m:e>
          </m:nary>
          <m:sSub>
            <m:e>
              <m:r>
                <m:t>w</m:t>
              </m:r>
            </m:e>
            <m:sub>
              <m:r>
                <m:t>j</m:t>
              </m:r>
            </m:sub>
          </m:sSub>
          <m:sSub>
            <m:e>
              <m:r>
                <m:t>σ</m:t>
              </m:r>
            </m:e>
            <m:sub>
              <m:r>
                <m:t>i</m:t>
              </m:r>
            </m:sub>
          </m:sSub>
          <m:sSub>
            <m:e>
              <m:r>
                <m:t>σ</m:t>
              </m:r>
            </m:e>
            <m:sub>
              <m:r>
                <m:t>j</m:t>
              </m:r>
            </m:sub>
          </m:sSub>
          <m:sSub>
            <m:e>
              <m:r>
                <m:t>ρ</m:t>
              </m:r>
            </m:e>
            <m:sub>
              <m:r>
                <m:t>i</m:t>
              </m:r>
              <m:r>
                <m:t>j</m:t>
              </m:r>
            </m:sub>
          </m:sSub>
        </m:oMath>
      </m:oMathPara>
    </w:p>
    <w:p>
      <w:pPr>
        <w:pStyle w:val="FirstParagraph"/>
      </w:pPr>
      <w:r>
        <w:t xml:space="preserve">Công thức phương sai cho thấy cơ chế của đa dạng hóa. Với hai tài sản có cùng độ biến động σ và tỷ trọng bằng nhau, độ biến động danh mục bằng σ√((1 + ρ)/2). Khi ρ = 1, đa dạng hóa không có tác dụng; khi ρ = 0, độ biến động giảm còn khoảng 71% của từng tài sản; khi ρ âm, mức giảm còn lớn hơn. Như vậy giá trị của một tài sản trong danh mục không chỉ phụ thuộc vào rủi ro riêng của nó mà còn vào tương quan của nó với phần còn lại. Đây là lý do một tài sản biến động như vàng vẫn có thể làm giảm rủi ro của danh mục cổ phiếu nếu tương quan giữa chúng thấp.</w:t>
      </w:r>
    </w:p>
    <w:p>
      <w:pPr>
        <w:pStyle w:val="BodyText"/>
      </w:pPr>
      <w:r>
        <w:t xml:space="preserve">Nhà đầu tư có hệ số ngại rủi ro δ chọn danh mục tối đa hóa hữu dụng trung bình–phương sai:</w:t>
      </w:r>
    </w:p>
    <w:p>
      <w:pPr>
        <w:pStyle w:val="BodyText"/>
      </w:pPr>
      <m:oMathPara>
        <m:oMathParaPr>
          <m:jc m:val="center"/>
        </m:oMathParaPr>
        <m:oMath>
          <m:limLow>
            <m:e>
              <m:r>
                <m:rPr>
                  <m:sty m:val="p"/>
                </m:rPr>
                <m:t>max</m:t>
              </m:r>
            </m:e>
            <m:lim>
              <m:r>
                <m:t>w</m:t>
              </m:r>
            </m:lim>
          </m:limLow>
          <m:r>
            <m:t> </m:t>
          </m:r>
          <m:sSup>
            <m:e>
              <m:r>
                <m:t>w</m:t>
              </m:r>
            </m:e>
            <m:sup>
              <m:r>
                <m:rPr>
                  <m:sty m:val="p"/>
                </m:rPr>
                <m:t>⊤</m:t>
              </m:r>
            </m:sup>
          </m:sSup>
          <m:r>
            <m:t>μ</m:t>
          </m:r>
          <m:r>
            <m:rPr>
              <m:sty m:val="p"/>
            </m:rPr>
            <m:t>−</m:t>
          </m:r>
          <m:f>
            <m:fPr>
              <m:type m:val="bar"/>
            </m:fPr>
            <m:num>
              <m:r>
                <m:t>δ</m:t>
              </m:r>
            </m:num>
            <m:den>
              <m:r>
                <m:t>2</m:t>
              </m:r>
            </m:den>
          </m:f>
          <m:r>
            <m:t> </m:t>
          </m:r>
          <m:sSup>
            <m:e>
              <m:r>
                <m:t>w</m:t>
              </m:r>
            </m:e>
            <m:sup>
              <m:r>
                <m:rPr>
                  <m:sty m:val="p"/>
                </m:rPr>
                <m:t>⊤</m:t>
              </m:r>
            </m:sup>
          </m:sSup>
          <m:r>
            <m:t>Σ</m:t>
          </m:r>
          <m:r>
            <m:t>w</m:t>
          </m:r>
          <m:r>
            <m:t> </m:t>
          </m:r>
          <m:r>
            <m:rPr>
              <m:nor/>
              <m:sty m:val="p"/>
            </m:rPr>
            <m:t>với</m:t>
          </m:r>
          <m:r>
            <m:t> </m:t>
          </m:r>
          <m:sSup>
            <m:e>
              <m:r>
                <m:rPr>
                  <m:sty m:val="b"/>
                </m:rPr>
                <m:t>1</m:t>
              </m:r>
            </m:e>
            <m:sup>
              <m:r>
                <m:rPr>
                  <m:sty m:val="p"/>
                </m:rPr>
                <m:t>⊤</m:t>
              </m:r>
            </m:sup>
          </m:sSup>
          <m:r>
            <m:t>w</m:t>
          </m:r>
          <m:r>
            <m:rPr>
              <m:sty m:val="p"/>
            </m:rPr>
            <m:t>=</m:t>
          </m:r>
          <m:r>
            <m:t>1</m:t>
          </m:r>
        </m:oMath>
      </m:oMathPara>
    </w:p>
    <w:p>
      <w:pPr>
        <w:pStyle w:val="FirstParagraph"/>
      </w:pPr>
      <w:r>
        <w:t xml:space="preserve">Khi không có ràng buộc ngoài tổng tỷ trọng, nghiệm có dạng đóng w* ∝ Σ⁻¹μ. Tập hợp các danh mục có phương sai nhỏ nhất ở mỗi mức lợi nhuận tạo thành đường biên hiệu quả. Hệ số δ quyết định vị trí của nhà đầu tư trên đường biên: δ lớn tương ứng nhà đầu tư thận trọng, chọn danh mục gần danh mục phương sai nhỏ nhất; δ nhỏ tương ứng nhà đầu tư chấp nhận rủi ro, chọn danh mục có lợi nhuận kỳ vọng cao hơn.</w:t>
      </w:r>
    </w:p>
    <w:p>
      <w:pPr>
        <w:pStyle w:val="BodyText"/>
      </w:pPr>
      <w:r>
        <w:t xml:space="preserve">Khi có thêm tài sản phi rủi ro với lãi suất r</w:t>
      </w:r>
      <w:r>
        <w:rPr>
          <w:vertAlign w:val="subscript"/>
        </w:rPr>
        <w:t xml:space="preserve">f</w:t>
      </w:r>
      <w:r>
        <w:t xml:space="preserve">, Sharpe (1964) chỉ ra rằng mọi nhà đầu tư đều nắm cùng một danh mục rủi ro, danh mục tiếp tuyến với đường biên hiệu quả, và chỉ khác nhau ở tỷ lệ chia giữa danh mục này và tài sản phi rủi ro. Đường nối tài sản phi rủi ro với danh mục tiếp tuyến là đường thị trường vốn, có độ dốc bằng hệ số Sharpe của danh mục tiếp tuyến. Trong trạng thái cân bằng, danh mục tiếp tuyến chính là danh mục thị trường, và hệ số ngại rủi ro bình quân của thị trường liên hệ với phần bù rủi ro theo hệ thức δ = (μ</w:t>
      </w:r>
      <w:r>
        <w:rPr>
          <w:vertAlign w:val="subscript"/>
        </w:rPr>
        <w:t xml:space="preserve">m</w:t>
      </w:r>
      <w:r>
        <w:t xml:space="preserve"> </w:t>
      </w:r>
      <w:r>
        <w:t xml:space="preserve">− r</w:t>
      </w:r>
      <w:r>
        <w:rPr>
          <w:vertAlign w:val="subscript"/>
        </w:rPr>
        <w:t xml:space="preserve">f</w:t>
      </w:r>
      <w:r>
        <w:t xml:space="preserve">)/σ</w:t>
      </w:r>
      <w:r>
        <w:rPr>
          <w:vertAlign w:val="subscript"/>
        </w:rPr>
        <w:t xml:space="preserve">m</w:t>
      </w:r>
      <w:r>
        <w:t xml:space="preserve">². Hệ thức này là cơ sở để Black và Litterman suy ngược lợi nhuận kỳ vọng cân bằng ở mục 2.3.</w:t>
      </w:r>
    </w:p>
    <w:p>
      <w:pPr>
        <w:pStyle w:val="BodyText"/>
      </w:pPr>
      <w:r>
        <w:t xml:space="preserve">Hai hệ quả quan trọng cho luận văn: (i) lợi ích đa dạng hóa phụ thuộc vào tương quan giữa các tài sản, nên thêm một lớp tài sản tương quan thấp có thể giảm rủi ro danh mục dù bản thân lớp đó biến động; (ii) khẩu vị rủi ro của từng nhà đầu tư xác định vị trí của họ trên đường biên, là cơ sở để thiết kế ba khẩu vị ở Chương 3. Trong thiết kế đó, tiền gửi đóng vai trò tài sản phi rủi ro, và khẩu vị được thể hiện qua tỷ trọng của nhóm tài sản rủi ro.</w:t>
      </w:r>
    </w:p>
    <w:bookmarkEnd w:id="31"/>
    <w:bookmarkStart w:id="32" w:name="X7f5831fa446cc412f3d8a96c4d77303db19d09b"/>
    <w:p>
      <w:pPr>
        <w:pStyle w:val="Heading3"/>
      </w:pPr>
      <w:r>
        <w:t xml:space="preserve">2.1.2 Sai số ước lượng và phương pháp ước lượng co ngót</w:t>
      </w:r>
    </w:p>
    <w:p>
      <w:pPr>
        <w:pStyle w:val="FirstParagraph"/>
      </w:pPr>
      <w:r>
        <w:t xml:space="preserve">Trong thực tế, μ và Σ không biết trước mà phải ước lượng từ dữ liệu lịch sử. Michaud (1989) gọi tối ưu Markowitz là</w:t>
      </w:r>
      <w:r>
        <w:t xml:space="preserve"> </w:t>
      </w:r>
      <w:r>
        <w:t xml:space="preserve">“</w:t>
      </w:r>
      <w:r>
        <w:t xml:space="preserve">cỗ máy khuếch đại sai số</w:t>
      </w:r>
      <w:r>
        <w:t xml:space="preserve">”</w:t>
      </w:r>
      <w:r>
        <w:t xml:space="preserve">: bài toán tối ưu dồn tỷ trọng vào các tài sản có lợi nhuận ước lượng cao nhất, vốn thường là những tài sản bị ước lượng sai nhiều nhất. Chopra và Ziemba (1993) định lượng rằng sai số trong lợi nhuận kỳ vọng gây thiệt hại lớn hơn khoảng mười lần so với sai số cùng mức trong phương sai, và lớn hơn khoảng hai mươi lần so với sai số trong hiệp phương sai. Vì vậy cải thiện ước lượng lợi nhuận kỳ vọng là vấn đề trung tâm.</w:t>
      </w:r>
    </w:p>
    <w:p>
      <w:pPr>
        <w:pStyle w:val="BodyText"/>
      </w:pPr>
      <w:r>
        <w:t xml:space="preserve">Có thể thấy mức độ nghiêm trọng của vấn đề qua một phép tính đơn giản. Sai số chuẩn của trung bình mẫu bằng σ/√T. Với một tài sản có độ biến động 20%/năm và 10 năm dữ liệu, sai số chuẩn của lợi nhuận kỳ vọng năm hóa là 20%/√10 ≈ 6,3%, lớn hơn cả phần bù rủi ro mà ta muốn ước lượng. Merton (1980) đã chỉ ra rằng tăng tần suất quan sát không cải thiện được ước lượng trung bình, vì độ chính xác của trung bình chỉ phụ thuộc vào độ dài khoảng thời gian chứ không phụ thuộc số quan sát; ngược lại, phương sai và hiệp phương sai được ước lượng chính xác hơn nhiều khi có dữ liệu tần suất cao hơn. Sự bất đối xứng này giải thích vì sao nhiều phương pháp hiện đại tìm cách bỏ hoặc giảm vai trò của μ.</w:t>
      </w:r>
    </w:p>
    <w:p>
      <w:pPr>
        <w:pStyle w:val="BodyText"/>
      </w:pPr>
      <w:r>
        <w:t xml:space="preserve">Hướng giải quyết phổ biến là</w:t>
      </w:r>
      <w:r>
        <w:t xml:space="preserve"> </w:t>
      </w:r>
      <w:r>
        <w:rPr>
          <w:bCs/>
          <w:b/>
        </w:rPr>
        <w:t xml:space="preserve">ước lượng co ngót (shrinkage)</w:t>
      </w:r>
      <w:r>
        <w:t xml:space="preserve">: kết hợp ước lượng mẫu (không chệch nhưng sai số lớn) với một điểm mục tiêu có cấu trúc (chệch nhưng ổn định), đánh đổi một chút độ chệch để giảm mạnh phương sai của ước lượng.</w:t>
      </w:r>
    </w:p>
    <w:p>
      <w:pPr>
        <w:pStyle w:val="BodyText"/>
      </w:pPr>
      <w:r>
        <w:rPr>
          <w:bCs/>
          <w:b/>
        </w:rPr>
        <w:t xml:space="preserve">Với lợi nhuận kỳ vọng</w:t>
      </w:r>
      <w:r>
        <w:t xml:space="preserve">, Jorion (1986) đề xuất ước lượng Bayes–Stein, co trung bình mẫu của từng tài sản về lợi nhuận của danh mục phương sai nhỏ nhất μ</w:t>
      </w:r>
      <w:r>
        <w:rPr>
          <w:vertAlign w:val="subscript"/>
        </w:rPr>
        <w:t xml:space="preserve">g</w:t>
      </w:r>
      <w:r>
        <w:t xml:space="preserve">:</w:t>
      </w:r>
    </w:p>
    <w:p>
      <w:pPr>
        <w:pStyle w:val="BodyText"/>
      </w:pPr>
      <m:oMathPara>
        <m:oMathParaPr>
          <m:jc m:val="center"/>
        </m:oMathParaPr>
        <m:oMath>
          <m:sSub>
            <m:e>
              <m:r>
                <m:t>μ</m:t>
              </m:r>
            </m:e>
            <m:sub>
              <m:r>
                <m:t>B</m:t>
              </m:r>
              <m:r>
                <m:t>S</m:t>
              </m:r>
            </m:sub>
          </m:sSub>
          <m:r>
            <m:rPr>
              <m:sty m:val="p"/>
            </m:rPr>
            <m:t>=</m:t>
          </m:r>
          <m:d>
            <m:dPr>
              <m:begChr m:val="("/>
              <m:endChr m:val=")"/>
              <m:sepChr m:val=""/>
              <m:grow/>
            </m:dPr>
            <m:e>
              <m:r>
                <m:t>1</m:t>
              </m:r>
              <m:r>
                <m:rPr>
                  <m:sty m:val="p"/>
                </m:rPr>
                <m:t>−</m:t>
              </m:r>
              <m:r>
                <m:t>ϕ</m:t>
              </m:r>
            </m:e>
          </m:d>
          <m:r>
            <m:t> </m:t>
          </m:r>
          <m:acc>
            <m:accPr>
              <m:chr m:val="̂"/>
            </m:accPr>
            <m:e>
              <m:r>
                <m:t>μ</m:t>
              </m:r>
            </m:e>
          </m:acc>
          <m:r>
            <m:rPr>
              <m:sty m:val="p"/>
            </m:rPr>
            <m:t>+</m:t>
          </m:r>
          <m:r>
            <m:t>ϕ</m:t>
          </m:r>
          <m:r>
            <m:t> </m:t>
          </m:r>
          <m:sSub>
            <m:e>
              <m:r>
                <m:t>μ</m:t>
              </m:r>
            </m:e>
            <m:sub>
              <m:r>
                <m:t>g</m:t>
              </m:r>
            </m:sub>
          </m:sSub>
          <m:r>
            <m:rPr>
              <m:sty m:val="b"/>
            </m:rPr>
            <m:t>1</m:t>
          </m:r>
          <m:r>
            <m:rPr>
              <m:sty m:val="p"/>
            </m:rPr>
            <m:t>,</m:t>
          </m:r>
          <m:r>
            <m:t>  </m:t>
          </m:r>
          <m:r>
            <m:t>ϕ</m:t>
          </m:r>
          <m:r>
            <m:rPr>
              <m:sty m:val="p"/>
            </m:rPr>
            <m:t>=</m:t>
          </m:r>
          <m:f>
            <m:fPr>
              <m:type m:val="bar"/>
            </m:fPr>
            <m:num>
              <m:r>
                <m:t>N</m:t>
              </m:r>
              <m:r>
                <m:rPr>
                  <m:sty m:val="p"/>
                </m:rPr>
                <m:t>+</m:t>
              </m:r>
              <m:r>
                <m:t>2</m:t>
              </m:r>
            </m:num>
            <m:den>
              <m:d>
                <m:dPr>
                  <m:begChr m:val="("/>
                  <m:endChr m:val=")"/>
                  <m:sepChr m:val=""/>
                  <m:grow/>
                </m:dPr>
                <m:e>
                  <m:r>
                    <m:t>N</m:t>
                  </m:r>
                  <m:r>
                    <m:rPr>
                      <m:sty m:val="p"/>
                    </m:rPr>
                    <m:t>+</m:t>
                  </m:r>
                  <m:r>
                    <m:t>2</m:t>
                  </m:r>
                </m:e>
              </m:d>
              <m:r>
                <m:rPr>
                  <m:sty m:val="p"/>
                </m:rPr>
                <m:t>+</m:t>
              </m:r>
              <m:r>
                <m:t>T</m:t>
              </m:r>
              <m:sSup>
                <m:e>
                  <m:d>
                    <m:dPr>
                      <m:begChr m:val="("/>
                      <m:endChr m:val=")"/>
                      <m:sepChr m:val=""/>
                      <m:grow/>
                    </m:dPr>
                    <m:e>
                      <m:acc>
                        <m:accPr>
                          <m:chr m:val="̂"/>
                        </m:accPr>
                        <m:e>
                          <m:r>
                            <m:t>μ</m:t>
                          </m:r>
                        </m:e>
                      </m:acc>
                      <m:r>
                        <m:rPr>
                          <m:sty m:val="p"/>
                        </m:rPr>
                        <m:t>−</m:t>
                      </m:r>
                      <m:sSub>
                        <m:e>
                          <m:r>
                            <m:t>μ</m:t>
                          </m:r>
                        </m:e>
                        <m:sub>
                          <m:r>
                            <m:t>g</m:t>
                          </m:r>
                        </m:sub>
                      </m:sSub>
                      <m:r>
                        <m:rPr>
                          <m:sty m:val="b"/>
                        </m:rPr>
                        <m:t>1</m:t>
                      </m:r>
                    </m:e>
                  </m:d>
                </m:e>
                <m:sup>
                  <m:r>
                    <m:rPr>
                      <m:sty m:val="p"/>
                    </m:rPr>
                    <m:t>⊤</m:t>
                  </m:r>
                </m:sup>
              </m:sSup>
              <m:sSup>
                <m:e>
                  <m:acc>
                    <m:accPr>
                      <m:chr m:val="̂"/>
                    </m:accPr>
                    <m:e>
                      <m:r>
                        <m:t>Σ</m:t>
                      </m:r>
                    </m:e>
                  </m:acc>
                </m:e>
                <m:sup>
                  <m:r>
                    <m:rPr>
                      <m:sty m:val="p"/>
                    </m:rPr>
                    <m:t>−</m:t>
                  </m:r>
                  <m:r>
                    <m:t>1</m:t>
                  </m:r>
                </m:sup>
              </m:sSup>
              <m:d>
                <m:dPr>
                  <m:begChr m:val="("/>
                  <m:endChr m:val=")"/>
                  <m:sepChr m:val=""/>
                  <m:grow/>
                </m:dPr>
                <m:e>
                  <m:acc>
                    <m:accPr>
                      <m:chr m:val="̂"/>
                    </m:accPr>
                    <m:e>
                      <m:r>
                        <m:t>μ</m:t>
                      </m:r>
                    </m:e>
                  </m:acc>
                  <m:r>
                    <m:rPr>
                      <m:sty m:val="p"/>
                    </m:rPr>
                    <m:t>−</m:t>
                  </m:r>
                  <m:sSub>
                    <m:e>
                      <m:r>
                        <m:t>μ</m:t>
                      </m:r>
                    </m:e>
                    <m:sub>
                      <m:r>
                        <m:t>g</m:t>
                      </m:r>
                    </m:sub>
                  </m:sSub>
                  <m:r>
                    <m:rPr>
                      <m:sty m:val="b"/>
                    </m:rPr>
                    <m:t>1</m:t>
                  </m:r>
                </m:e>
              </m:d>
            </m:den>
          </m:f>
        </m:oMath>
      </m:oMathPara>
    </w:p>
    <w:p>
      <w:pPr>
        <w:pStyle w:val="FirstParagraph"/>
      </w:pPr>
      <w:r>
        <w:t xml:space="preserve">Cường độ co φ tăng khi mẫu ngắn (T nhỏ) hoặc khi các trung bình mẫu gần nhau so với mức nhiễu. Khi T rất lớn, φ tiến về 0 và ước lượng trở lại trung bình mẫu. Điểm co được chọn là μ</w:t>
      </w:r>
      <w:r>
        <w:rPr>
          <w:vertAlign w:val="subscript"/>
        </w:rPr>
        <w:t xml:space="preserve">g</w:t>
      </w:r>
      <w:r>
        <w:t xml:space="preserve"> </w:t>
      </w:r>
      <w:r>
        <w:t xml:space="preserve">vì danh mục phương sai nhỏ nhất không phụ thuộc vào μ, nên ít chịu sai số ước lượng nhất.</w:t>
      </w:r>
    </w:p>
    <w:p>
      <w:pPr>
        <w:pStyle w:val="BodyText"/>
      </w:pPr>
      <w:r>
        <w:rPr>
          <w:bCs/>
          <w:b/>
        </w:rPr>
        <w:t xml:space="preserve">Với hiệp phương sai</w:t>
      </w:r>
      <w:r>
        <w:t xml:space="preserve">, Ledoit và Wolf (2004) xây dựng ước lượng tổ hợp tuyến tính giữa ma trận mẫu S và một ma trận mục tiêu F:</w:t>
      </w:r>
    </w:p>
    <w:p>
      <w:pPr>
        <w:pStyle w:val="BodyText"/>
      </w:pPr>
      <m:oMathPara>
        <m:oMathParaPr>
          <m:jc m:val="center"/>
        </m:oMathParaPr>
        <m:oMath>
          <m:sSub>
            <m:e>
              <m:acc>
                <m:accPr>
                  <m:chr m:val="̂"/>
                </m:accPr>
                <m:e>
                  <m:r>
                    <m:t>Σ</m:t>
                  </m:r>
                </m:e>
              </m:acc>
            </m:e>
            <m:sub>
              <m:r>
                <m:t>L</m:t>
              </m:r>
              <m:r>
                <m:t>W</m:t>
              </m:r>
            </m:sub>
          </m:sSub>
          <m:r>
            <m:rPr>
              <m:sty m:val="p"/>
            </m:rPr>
            <m:t>=</m:t>
          </m:r>
          <m:d>
            <m:dPr>
              <m:begChr m:val="("/>
              <m:endChr m:val=")"/>
              <m:sepChr m:val=""/>
              <m:grow/>
            </m:dPr>
            <m:e>
              <m:r>
                <m:t>1</m:t>
              </m:r>
              <m:r>
                <m:rPr>
                  <m:sty m:val="p"/>
                </m:rPr>
                <m:t>−</m:t>
              </m:r>
              <m:r>
                <m:t>α</m:t>
              </m:r>
            </m:e>
          </m:d>
          <m:r>
            <m:t> </m:t>
          </m:r>
          <m:r>
            <m:t>S</m:t>
          </m:r>
          <m:r>
            <m:rPr>
              <m:sty m:val="p"/>
            </m:rPr>
            <m:t>+</m:t>
          </m:r>
          <m:r>
            <m:t>α</m:t>
          </m:r>
          <m:r>
            <m:t>F</m:t>
          </m:r>
          <m:r>
            <m:rPr>
              <m:sty m:val="p"/>
            </m:rPr>
            <m:t>,</m:t>
          </m:r>
          <m:r>
            <m:t>  </m:t>
          </m:r>
          <m:sSup>
            <m:e>
              <m:r>
                <m:t>α</m:t>
              </m:r>
            </m:e>
            <m:sup>
              <m:r>
                <m:rPr>
                  <m:sty m:val="p"/>
                </m:rPr>
                <m:t>*</m:t>
              </m:r>
            </m:sup>
          </m:sSup>
          <m:r>
            <m:rPr>
              <m:sty m:val="p"/>
            </m:rPr>
            <m:t>=</m:t>
          </m:r>
          <m:r>
            <m:rPr>
              <m:sty m:val="p"/>
            </m:rPr>
            <m:t>arg</m:t>
          </m:r>
          <m:limLow>
            <m:e>
              <m:r>
                <m:rPr>
                  <m:sty m:val="p"/>
                </m:rPr>
                <m:t>min</m:t>
              </m:r>
            </m:e>
            <m:lim>
              <m:r>
                <m:t>α</m:t>
              </m:r>
            </m:lim>
          </m:limLow>
          <m:r>
            <m:t> </m:t>
          </m:r>
          <m:r>
            <m:rPr>
              <m:sty m:val="p"/>
              <m:scr m:val="double-struck"/>
            </m:rPr>
            <m:t>E</m:t>
          </m:r>
          <m:sSubSup>
            <m:e>
              <m:d>
                <m:dPr>
                  <m:begChr m:val="∥"/>
                  <m:endChr m:val="∥"/>
                  <m:sepChr m:val=""/>
                  <m:grow/>
                </m:dPr>
                <m:e>
                  <m:d>
                    <m:dPr>
                      <m:begChr m:val="("/>
                      <m:endChr m:val=")"/>
                      <m:sepChr m:val=""/>
                      <m:grow/>
                    </m:dPr>
                    <m:e>
                      <m:r>
                        <m:t>1</m:t>
                      </m:r>
                      <m:r>
                        <m:rPr>
                          <m:sty m:val="p"/>
                        </m:rPr>
                        <m:t>−</m:t>
                      </m:r>
                      <m:r>
                        <m:t>α</m:t>
                      </m:r>
                    </m:e>
                  </m:d>
                  <m:r>
                    <m:t>S</m:t>
                  </m:r>
                  <m:r>
                    <m:rPr>
                      <m:sty m:val="p"/>
                    </m:rPr>
                    <m:t>+</m:t>
                  </m:r>
                  <m:r>
                    <m:t>α</m:t>
                  </m:r>
                  <m:r>
                    <m:t>F</m:t>
                  </m:r>
                  <m:r>
                    <m:rPr>
                      <m:sty m:val="p"/>
                    </m:rPr>
                    <m:t>−</m:t>
                  </m:r>
                  <m:r>
                    <m:t>Σ</m:t>
                  </m:r>
                </m:e>
              </m:d>
            </m:e>
            <m:sub>
              <m:r>
                <m:t>F</m:t>
              </m:r>
            </m:sub>
            <m:sup>
              <m:r>
                <m:t>2</m:t>
              </m:r>
            </m:sup>
          </m:sSubSup>
        </m:oMath>
      </m:oMathPara>
    </w:p>
    <w:p>
      <w:pPr>
        <w:pStyle w:val="FirstParagraph"/>
      </w:pPr>
      <w:r>
        <w:t xml:space="preserve">Cường độ co tối ưu α* có công thức ước lượng được từ dữ liệu: tỷ lệ giữa phương sai của các phần tử ma trận mẫu và khoảng cách bình phương giữa ma trận mẫu và mục tiêu. Khi dữ liệu nhiễu (phương sai lớn) hoặc ma trận mẫu đã gần mục tiêu, α* lớn. Schäfer và Strimmer (2005) hệ thống hóa sáu ma trận mục tiêu; mục tiêu</w:t>
      </w:r>
      <w:r>
        <w:t xml:space="preserve"> </w:t>
      </w:r>
      <w:r>
        <w:t xml:space="preserve">“</w:t>
      </w:r>
      <w:r>
        <w:t xml:space="preserve">D</w:t>
      </w:r>
      <w:r>
        <w:t xml:space="preserve">”</w:t>
      </w:r>
      <w:r>
        <w:t xml:space="preserve"> </w:t>
      </w:r>
      <w:r>
        <w:t xml:space="preserve">(giữ nguyên phương sai từng tài sản, co tương quan về 0) là lựa chọn của luận văn, vì phương sai của từng lớp được ước lượng khá chính xác còn các hệ số tương quan giữa những lớp tài sản rất khác nhau thì nhiễu.</w:t>
      </w:r>
    </w:p>
    <w:p>
      <w:pPr>
        <w:pStyle w:val="BodyText"/>
      </w:pPr>
      <w:r>
        <w:rPr>
          <w:bCs/>
          <w:b/>
        </w:rPr>
        <w:t xml:space="preserve">Độ trơn của lợi nhuận.</w:t>
      </w:r>
      <w:r>
        <w:t xml:space="preserve"> </w:t>
      </w:r>
      <w:r>
        <w:t xml:space="preserve">Một nguồn sai số khác đặc biệt quan trọng với dữ liệu Việt Nam là độ trơn của lợi nhuận. Tài sản được định giá theo mô hình hoặc ít giao dịch (bất động sản, NAV quỹ trái phiếu) có chuỗi lợi nhuận tự tương quan dương, vì giá trị ghi nhận chỉ điều chỉnh dần theo giá trị thực. Hệ quả là độ biến động và tương quan với tài sản khác bị đánh giá thấp. Geltner (1993) mô hình hóa giá trị ghi nhận như trung bình có trọng số giữa giá trị thực hiện tại và giá trị ghi nhận kỳ trước, rồi đề xuất khử độ trơn bằng cách đảo ngược mô hình tự hồi quy bậc một:</w:t>
      </w:r>
    </w:p>
    <w:p>
      <w:pPr>
        <w:pStyle w:val="BodyText"/>
      </w:pPr>
      <m:oMathPara>
        <m:oMathParaPr>
          <m:jc m:val="center"/>
        </m:oMathParaPr>
        <m:oMath>
          <m:sSubSup>
            <m:e>
              <m:r>
                <m:t>r</m:t>
              </m:r>
            </m:e>
            <m:sub>
              <m:r>
                <m:t>t</m:t>
              </m:r>
            </m:sub>
            <m:sup>
              <m:r>
                <m:rPr>
                  <m:sty m:val="p"/>
                </m:rPr>
                <m:t>*</m:t>
              </m:r>
            </m:sup>
          </m:sSubSup>
          <m:r>
            <m:rPr>
              <m:sty m:val="p"/>
            </m:rPr>
            <m:t>=</m:t>
          </m:r>
          <m:f>
            <m:fPr>
              <m:type m:val="bar"/>
            </m:fPr>
            <m:num>
              <m:sSub>
                <m:e>
                  <m:r>
                    <m:t>r</m:t>
                  </m:r>
                </m:e>
                <m:sub>
                  <m:r>
                    <m:t>t</m:t>
                  </m:r>
                </m:sub>
              </m:sSub>
              <m:r>
                <m:rPr>
                  <m:sty m:val="p"/>
                </m:rPr>
                <m:t>−</m:t>
              </m:r>
              <m:r>
                <m:t>ρ</m:t>
              </m:r>
              <m:r>
                <m:t> </m:t>
              </m:r>
              <m:sSub>
                <m:e>
                  <m:r>
                    <m:t>r</m:t>
                  </m:r>
                </m:e>
                <m:sub>
                  <m:r>
                    <m:t>t</m:t>
                  </m:r>
                  <m:r>
                    <m:rPr>
                      <m:sty m:val="p"/>
                    </m:rPr>
                    <m:t>−</m:t>
                  </m:r>
                  <m:r>
                    <m:t>1</m:t>
                  </m:r>
                </m:sub>
              </m:sSub>
            </m:num>
            <m:den>
              <m:r>
                <m:t>1</m:t>
              </m:r>
              <m:r>
                <m:rPr>
                  <m:sty m:val="p"/>
                </m:rPr>
                <m:t>−</m:t>
              </m:r>
              <m:r>
                <m:t>ρ</m:t>
              </m:r>
            </m:den>
          </m:f>
        </m:oMath>
      </m:oMathPara>
    </w:p>
    <w:p>
      <w:pPr>
        <w:pStyle w:val="FirstParagraph"/>
      </w:pPr>
      <w:r>
        <w:t xml:space="preserve">trong đó ρ là hệ số tự tương quan bậc một của chuỗi quan sát và r* là lợi nhuận</w:t>
      </w:r>
      <w:r>
        <w:t xml:space="preserve"> </w:t>
      </w:r>
      <w:r>
        <w:t xml:space="preserve">“</w:t>
      </w:r>
      <w:r>
        <w:t xml:space="preserve">thực</w:t>
      </w:r>
      <w:r>
        <w:t xml:space="preserve">”</w:t>
      </w:r>
      <w:r>
        <w:t xml:space="preserve"> </w:t>
      </w:r>
      <w:r>
        <w:t xml:space="preserve">ước lượng. Phép biến đổi này giữ nguyên trung bình dài hạn nhưng làm tăng độ biến động theo hệ số xấp xỉ √((1 + ρ)/(1 − ρ)). Nếu bỏ qua bước này, các phương pháp dựa trên rủi ro sẽ dồn vốn quá mức vào tài sản trơn.</w:t>
      </w:r>
    </w:p>
    <w:bookmarkEnd w:id="32"/>
    <w:bookmarkEnd w:id="33"/>
    <w:bookmarkStart w:id="37" w:name="X8a69b0d78ffb1f05a7e3eeaa010d6b952c8d717"/>
    <w:p>
      <w:pPr>
        <w:pStyle w:val="Heading2"/>
      </w:pPr>
      <w:r>
        <w:t xml:space="preserve">2.2 Các phương pháp không cần dự báo lợi nhuận</w:t>
      </w:r>
    </w:p>
    <w:p>
      <w:pPr>
        <w:pStyle w:val="FirstParagraph"/>
      </w:pPr>
      <w:r>
        <w:t xml:space="preserve">Vì lợi nhuận kỳ vọng là đầu vào khó ước lượng nhất, một nhánh phương pháp bỏ hẳn đầu vào này và chỉ dựa vào rủi ro. Ba phương pháp tiêu biểu là phân bổ đều, Risk Parity và Hierarchical Risk Parity.</w:t>
      </w:r>
    </w:p>
    <w:bookmarkStart w:id="34" w:name="phân-bổ-đều-1n"/>
    <w:p>
      <w:pPr>
        <w:pStyle w:val="Heading3"/>
      </w:pPr>
      <w:r>
        <w:t xml:space="preserve">2.2.1 Phân bổ đều 1/N</w:t>
      </w:r>
    </w:p>
    <w:p>
      <w:pPr>
        <w:pStyle w:val="FirstParagraph"/>
      </w:pPr>
      <w:r>
        <w:t xml:space="preserve">Danh mục 1/N chia đều vốn cho N tài sản, không cần ước lượng tham số nào. DeMiguel, Garlappi và Uppal (2009) so sánh 14 mô hình tối ưu với 1/N trên bảy bộ dữ liệu và thấy không mô hình nào vượt 1/N một cách nhất quán về Sharpe ngoài mẫu. Họ ước tính với 25 tài sản, mô hình trung bình–phương sai cần khoảng 3.000 tháng dữ liệu để vượt 1/N. Nguyên nhân là lợi ích lý thuyết của tối ưu bị triệt tiêu bởi sai số ước lượng: phân bổ đều có độ chệch so với danh mục tối ưu thật, nhưng phương sai ước lượng bằng 0.</w:t>
      </w:r>
    </w:p>
    <w:p>
      <w:pPr>
        <w:pStyle w:val="BodyText"/>
      </w:pPr>
      <w:r>
        <w:t xml:space="preserve">Phân bổ đều còn có một cách hiểu khác: nó là danh mục tối ưu khi mọi tài sản có cùng lợi nhuận kỳ vọng, cùng độ biến động và cùng tương quan với nhau. Trong bối cảnh đa tài sản, giả định này rõ ràng không đúng (tiền gửi và cổ phiếu bất động sản có rủi ro rất khác nhau), nên 1/N trên các lớp tài sản không cân bằng rủi ro. Dù vậy, 1/N là mốc so sánh tối thiểu mà mọi phương pháp phức tạp hơn phải vượt qua, và là cơ sở của giả thuyết H1.</w:t>
      </w:r>
    </w:p>
    <w:bookmarkEnd w:id="34"/>
    <w:bookmarkStart w:id="35" w:name="risk-parity"/>
    <w:p>
      <w:pPr>
        <w:pStyle w:val="Heading3"/>
      </w:pPr>
      <w:r>
        <w:t xml:space="preserve">2.2.2 Risk Parity</w:t>
      </w:r>
    </w:p>
    <w:p>
      <w:pPr>
        <w:pStyle w:val="FirstParagraph"/>
      </w:pPr>
      <w:r>
        <w:t xml:space="preserve">Risk Parity phân bổ sao cho mỗi tài sản đóng góp rủi ro bằng nhau vào danh mục. Đóng góp rủi ro của tài sản i được định nghĩa theo độ biến động danh mục σ</w:t>
      </w:r>
      <w:r>
        <w:rPr>
          <w:vertAlign w:val="subscript"/>
        </w:rPr>
        <w:t xml:space="preserve">p</w:t>
      </w:r>
      <w:r>
        <w:t xml:space="preserve"> </w:t>
      </w:r>
      <w:r>
        <w:t xml:space="preserve">= √(wᵀΣw), dựa trên tính chất thuần nhất bậc một của σ</w:t>
      </w:r>
      <w:r>
        <w:rPr>
          <w:vertAlign w:val="subscript"/>
        </w:rPr>
        <w:t xml:space="preserve">p</w:t>
      </w:r>
      <w:r>
        <w:t xml:space="preserve"> </w:t>
      </w:r>
      <w:r>
        <w:t xml:space="preserve">theo w (định lý Euler):</w:t>
      </w:r>
    </w:p>
    <w:p>
      <w:pPr>
        <w:pStyle w:val="BodyText"/>
      </w:pPr>
      <m:oMathPara>
        <m:oMathParaPr>
          <m:jc m:val="center"/>
        </m:oMathParaPr>
        <m:oMath>
          <m:r>
            <m:t>R</m:t>
          </m:r>
          <m:sSub>
            <m:e>
              <m:r>
                <m:t>C</m:t>
              </m:r>
            </m:e>
            <m:sub>
              <m:r>
                <m:t>i</m:t>
              </m:r>
            </m:sub>
          </m:sSub>
          <m:r>
            <m:rPr>
              <m:sty m:val="p"/>
            </m:rPr>
            <m:t>=</m:t>
          </m:r>
          <m:sSub>
            <m:e>
              <m:r>
                <m:t>w</m:t>
              </m:r>
            </m:e>
            <m:sub>
              <m:r>
                <m:t>i</m:t>
              </m:r>
            </m:sub>
          </m:sSub>
          <m:r>
            <m:t> </m:t>
          </m:r>
          <m:f>
            <m:fPr>
              <m:type m:val="bar"/>
            </m:fPr>
            <m:num>
              <m:r>
                <m:rPr>
                  <m:sty m:val="p"/>
                </m:rPr>
                <m:t>∂</m:t>
              </m:r>
              <m:sSub>
                <m:e>
                  <m:r>
                    <m:t>σ</m:t>
                  </m:r>
                </m:e>
                <m:sub>
                  <m:r>
                    <m:t>p</m:t>
                  </m:r>
                </m:sub>
              </m:sSub>
            </m:num>
            <m:den>
              <m:r>
                <m:rPr>
                  <m:sty m:val="p"/>
                </m:rPr>
                <m:t>∂</m:t>
              </m:r>
              <m:sSub>
                <m:e>
                  <m:r>
                    <m:t>w</m:t>
                  </m:r>
                </m:e>
                <m:sub>
                  <m:r>
                    <m:t>i</m:t>
                  </m:r>
                </m:sub>
              </m:sSub>
            </m:den>
          </m:f>
          <m:r>
            <m:rPr>
              <m:sty m:val="p"/>
            </m:rPr>
            <m:t>=</m:t>
          </m:r>
          <m:f>
            <m:fPr>
              <m:type m:val="bar"/>
            </m:fPr>
            <m:num>
              <m:sSub>
                <m:e>
                  <m:r>
                    <m:t>w</m:t>
                  </m:r>
                </m:e>
                <m:sub>
                  <m:r>
                    <m:t>i</m:t>
                  </m:r>
                </m:sub>
              </m:sSub>
              <m:sSub>
                <m:e>
                  <m:d>
                    <m:dPr>
                      <m:begChr m:val="("/>
                      <m:endChr m:val=")"/>
                      <m:sepChr m:val=""/>
                      <m:grow/>
                    </m:dPr>
                    <m:e>
                      <m:r>
                        <m:t>Σ</m:t>
                      </m:r>
                      <m:r>
                        <m:t>w</m:t>
                      </m:r>
                    </m:e>
                  </m:d>
                </m:e>
                <m:sub>
                  <m:r>
                    <m:t>i</m:t>
                  </m:r>
                </m:sub>
              </m:sSub>
            </m:num>
            <m:den>
              <m:sSub>
                <m:e>
                  <m:r>
                    <m:t>σ</m:t>
                  </m:r>
                </m:e>
                <m:sub>
                  <m:r>
                    <m:t>p</m:t>
                  </m:r>
                </m:sub>
              </m:sSub>
            </m:den>
          </m:f>
          <m:r>
            <m:rPr>
              <m:sty m:val="p"/>
            </m:rPr>
            <m:t>,</m:t>
          </m:r>
          <m:r>
            <m:t>  </m:t>
          </m:r>
          <m:nary>
            <m:naryPr>
              <m:chr m:val="∑"/>
              <m:limLoc m:val="undOvr"/>
              <m:subHide m:val="off"/>
              <m:supHide m:val="off"/>
            </m:naryPr>
            <m:sub>
              <m:r>
                <m:t>i</m:t>
              </m:r>
              <m:r>
                <m:rPr>
                  <m:sty m:val="p"/>
                </m:rPr>
                <m:t>=</m:t>
              </m:r>
              <m:r>
                <m:t>1</m:t>
              </m:r>
            </m:sub>
            <m:sup>
              <m:r>
                <m:t>N</m:t>
              </m:r>
            </m:sup>
            <m:e>
              <m:r>
                <m:t>R</m:t>
              </m:r>
            </m:e>
          </m:nary>
          <m:sSub>
            <m:e>
              <m:r>
                <m:t>C</m:t>
              </m:r>
            </m:e>
            <m:sub>
              <m:r>
                <m:t>i</m:t>
              </m:r>
            </m:sub>
          </m:sSub>
          <m:r>
            <m:rPr>
              <m:sty m:val="p"/>
            </m:rPr>
            <m:t>=</m:t>
          </m:r>
          <m:sSub>
            <m:e>
              <m:r>
                <m:t>σ</m:t>
              </m:r>
            </m:e>
            <m:sub>
              <m:r>
                <m:t>p</m:t>
              </m:r>
            </m:sub>
          </m:sSub>
        </m:oMath>
      </m:oMathPara>
    </w:p>
    <w:p>
      <w:pPr>
        <w:pStyle w:val="FirstParagraph"/>
      </w:pPr>
      <w:r>
        <w:t xml:space="preserve">Danh mục đóng góp rủi ro đều (ERC) thỏa mãn RC</w:t>
      </w:r>
      <w:r>
        <w:rPr>
          <w:vertAlign w:val="subscript"/>
        </w:rPr>
        <w:t xml:space="preserve">i</w:t>
      </w:r>
      <w:r>
        <w:t xml:space="preserve"> </w:t>
      </w:r>
      <w:r>
        <w:t xml:space="preserve">= σ</w:t>
      </w:r>
      <w:r>
        <w:rPr>
          <w:vertAlign w:val="subscript"/>
        </w:rPr>
        <w:t xml:space="preserve">p</w:t>
      </w:r>
      <w:r>
        <w:t xml:space="preserve">/N với mọi i. Trường hợp đặc biệt khi mọi cặp tài sản có cùng tương quan, nghiệm ERC có dạng đơn giản w</w:t>
      </w:r>
      <w:r>
        <w:rPr>
          <w:vertAlign w:val="subscript"/>
        </w:rPr>
        <w:t xml:space="preserve">i</w:t>
      </w:r>
      <w:r>
        <w:t xml:space="preserve"> </w:t>
      </w:r>
      <w:r>
        <w:t xml:space="preserve">∝ 1/σ</w:t>
      </w:r>
      <w:r>
        <w:rPr>
          <w:vertAlign w:val="subscript"/>
        </w:rPr>
        <w:t xml:space="preserve">i</w:t>
      </w:r>
      <w:r>
        <w:t xml:space="preserve">: tỷ trọng tỷ lệ nghịch với độ biến động. Trong trường hợp tổng quát, nghiệm không có dạng đóng nhưng có thể tìm qua một bài toán lồi tương đương:</w:t>
      </w:r>
    </w:p>
    <w:p>
      <w:pPr>
        <w:pStyle w:val="BodyText"/>
      </w:pPr>
      <m:oMathPara>
        <m:oMathParaPr>
          <m:jc m:val="center"/>
        </m:oMathParaPr>
        <m:oMath>
          <m:limLow>
            <m:e>
              <m:r>
                <m:rPr>
                  <m:sty m:val="p"/>
                </m:rPr>
                <m:t>min</m:t>
              </m:r>
            </m:e>
            <m:lim>
              <m:r>
                <m:t>y</m:t>
              </m:r>
              <m:r>
                <m:rPr>
                  <m:sty m:val="p"/>
                </m:rPr>
                <m:t>&gt;</m:t>
              </m:r>
              <m:r>
                <m:t>0</m:t>
              </m:r>
            </m:lim>
          </m:limLow>
          <m:r>
            <m:t> </m:t>
          </m:r>
          <m:f>
            <m:fPr>
              <m:type m:val="bar"/>
            </m:fPr>
            <m:num>
              <m:r>
                <m:t>1</m:t>
              </m:r>
            </m:num>
            <m:den>
              <m:r>
                <m:t>2</m:t>
              </m:r>
            </m:den>
          </m:f>
          <m:sSup>
            <m:e>
              <m:r>
                <m:t>y</m:t>
              </m:r>
            </m:e>
            <m:sup>
              <m:r>
                <m:rPr>
                  <m:sty m:val="p"/>
                </m:rPr>
                <m:t>⊤</m:t>
              </m:r>
            </m:sup>
          </m:sSup>
          <m:r>
            <m:t>Σ</m:t>
          </m:r>
          <m:r>
            <m:t>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ln</m:t>
              </m:r>
            </m:e>
          </m:nary>
          <m:sSub>
            <m:e>
              <m:r>
                <m:t>y</m:t>
              </m:r>
            </m:e>
            <m:sub>
              <m:r>
                <m:t>i</m:t>
              </m:r>
            </m:sub>
          </m:sSub>
          <m:r>
            <m:rPr>
              <m:sty m:val="p"/>
            </m:rPr>
            <m:t>,</m:t>
          </m:r>
          <m:r>
            <m:t>  </m:t>
          </m:r>
          <m:r>
            <m:t>w</m:t>
          </m:r>
          <m:r>
            <m:rPr>
              <m:sty m:val="p"/>
            </m:rPr>
            <m:t>=</m:t>
          </m:r>
          <m:f>
            <m:fPr>
              <m:type m:val="bar"/>
            </m:fPr>
            <m:num>
              <m:r>
                <m:t>y</m:t>
              </m:r>
            </m:num>
            <m:den>
              <m:sSup>
                <m:e>
                  <m:r>
                    <m:rPr>
                      <m:sty m:val="b"/>
                    </m:rPr>
                    <m:t>1</m:t>
                  </m:r>
                </m:e>
                <m:sup>
                  <m:r>
                    <m:rPr>
                      <m:sty m:val="p"/>
                    </m:rPr>
                    <m:t>⊤</m:t>
                  </m:r>
                </m:sup>
              </m:sSup>
              <m:r>
                <m:t>y</m:t>
              </m:r>
            </m:den>
          </m:f>
        </m:oMath>
      </m:oMathPara>
    </w:p>
    <w:p>
      <w:pPr>
        <w:pStyle w:val="FirstParagraph"/>
      </w:pPr>
      <w:r>
        <w:t xml:space="preserve">Điều kiện bậc nhất của bài toán này là y</w:t>
      </w:r>
      <w:r>
        <w:rPr>
          <w:vertAlign w:val="subscript"/>
        </w:rPr>
        <w:t xml:space="preserve">i</w:t>
      </w:r>
      <w:r>
        <w:t xml:space="preserve">(Σy)_i = 1/N với mọi i, đúng là điều kiện đóng góp rủi ro đều. Maillard, Roncalli và Teïletche (2010) chứng minh danh mục ERC tồn tại duy nhất và nằm giữa danh mục phương sai nhỏ nhất và danh mục 1/N về mức biến động. ERC trùng danh mục Markowitz tối ưu khi các tài sản có cùng Sharpe và cùng tương quan, nên có thể xem là lựa chọn hợp lý khi không có thông tin đáng tin cậy về lợi nhuận (Roncalli, 2013).</w:t>
      </w:r>
    </w:p>
    <w:p>
      <w:pPr>
        <w:pStyle w:val="BodyText"/>
      </w:pPr>
      <w:r>
        <w:t xml:space="preserve">Điểm yếu đã biết là Risk Parity dồn tỷ trọng lớn vào tài sản biến động thấp. Các quỹ Risk Parity trên thế giới thường dùng đòn bẩy để đưa danh mục về mức rủi ro mong muốn; Asness, Frazzini và Pedersen (2012) lập luận rằng lợi thế của Risk Parity một phần đến từ việc nhà đầu tư nói chung ngại dùng đòn bẩy, khiến tài sản ít rủi ro bị định giá thấp. Nhà đầu tư cá nhân Việt Nam không dùng đòn bẩy cho danh mục đa tài sản, nên luận văn kết hợp Risk Parity với tiền mặt và dải khẩu vị thay vì đòn bẩy (mục 3.3). Với tài sản định giá trơn, điểm yếu dồn tỷ trọng vào tài sản biến động thấp bị khuếch đại, vì độ biến động quan sát được thấp hơn thực tế.</w:t>
      </w:r>
    </w:p>
    <w:bookmarkEnd w:id="35"/>
    <w:bookmarkStart w:id="36" w:name="hierarchical-risk-parity"/>
    <w:p>
      <w:pPr>
        <w:pStyle w:val="Heading3"/>
      </w:pPr>
      <w:r>
        <w:t xml:space="preserve">2.2.3 Hierarchical Risk Parity</w:t>
      </w:r>
    </w:p>
    <w:p>
      <w:pPr>
        <w:pStyle w:val="FirstParagraph"/>
      </w:pPr>
      <w:r>
        <w:t xml:space="preserve">López de Prado (2016) chỉ ra rằng các phương pháp cần nghịch đảo Σ bất ổn khi các tài sản tương quan cao, vì ma trận gần suy biến và số điều kiện lớn: một thay đổi nhỏ trong ước lượng tương quan có thể làm tỷ trọng thay đổi mạnh. HRP thay việc nghịch đảo bằng ba bước:</w:t>
      </w:r>
    </w:p>
    <w:p>
      <w:pPr>
        <w:numPr>
          <w:ilvl w:val="0"/>
          <w:numId w:val="1005"/>
        </w:numPr>
      </w:pPr>
      <w:r>
        <w:rPr>
          <w:bCs/>
          <w:b/>
        </w:rPr>
        <w:t xml:space="preserve">Gom cụm phân cấp.</w:t>
      </w:r>
      <w:r>
        <w:t xml:space="preserve"> </w:t>
      </w:r>
      <w:r>
        <w:t xml:space="preserve">Tính khoảng cách giữa hai tài sản từ hệ số tương quan, d</w:t>
      </w:r>
      <w:r>
        <w:rPr>
          <w:vertAlign w:val="subscript"/>
        </w:rPr>
        <w:t xml:space="preserve">ij</w:t>
      </w:r>
      <w:r>
        <w:t xml:space="preserve"> </w:t>
      </w:r>
      <w:r>
        <w:t xml:space="preserve">= √((1 − ρ</w:t>
      </w:r>
      <w:r>
        <w:rPr>
          <w:vertAlign w:val="subscript"/>
        </w:rPr>
        <w:t xml:space="preserve">ij</w:t>
      </w:r>
      <w:r>
        <w:t xml:space="preserve">)/2), rồi gom cụm theo liên kết đơn (single linkage) để được cây phân cấp. Hai tài sản tương quan càng cao thì càng sớm được nhập vào cùng một cụm.</w:t>
      </w:r>
    </w:p>
    <w:p>
      <w:pPr>
        <w:numPr>
          <w:ilvl w:val="0"/>
          <w:numId w:val="1005"/>
        </w:numPr>
      </w:pPr>
      <w:r>
        <w:rPr>
          <w:bCs/>
          <w:b/>
        </w:rPr>
        <w:t xml:space="preserve">Sắp xếp gần chéo.</w:t>
      </w:r>
      <w:r>
        <w:t xml:space="preserve"> </w:t>
      </w:r>
      <w:r>
        <w:t xml:space="preserve">Sắp lại thứ tự hàng và cột của ma trận hiệp phương sai theo thứ tự lá của cây, để các tài sản tương tự nằm cạnh nhau và các phần tử lớn tập trung quanh đường chéo.</w:t>
      </w:r>
    </w:p>
    <w:p>
      <w:pPr>
        <w:numPr>
          <w:ilvl w:val="0"/>
          <w:numId w:val="1005"/>
        </w:numPr>
      </w:pPr>
      <w:r>
        <w:rPr>
          <w:bCs/>
          <w:b/>
        </w:rPr>
        <w:t xml:space="preserve">Chia đôi đệ quy.</w:t>
      </w:r>
      <w:r>
        <w:t xml:space="preserve"> </w:t>
      </w:r>
      <w:r>
        <w:t xml:space="preserve">Bắt đầu với toàn bộ danh sách tài sản đã sắp xếp, chia thành hai nửa; phân bổ giữa hai nửa theo tỷ lệ nghịch với phương sai của mỗi nửa, trong đó phương sai của một nửa được tính với tỷ trọng nghịch đảo phương sai bên trong nửa đó. Lặp lại với từng nửa cho đến khi mỗi nhóm chỉ còn một tài sản.</w:t>
      </w:r>
    </w:p>
    <w:p>
      <w:pPr>
        <w:pStyle w:val="FirstParagraph"/>
      </w:pPr>
      <w:r>
        <w:t xml:space="preserve">Trong mô phỏng của tác giả, HRP có phương sai ngoài mẫu thấp hơn danh mục phương sai nhỏ nhất dù danh mục này được thiết kế để có phương sai nhỏ nhất trong mẫu. Với luận văn, HRP có ý nghĩa vì hai lớp cổ phiếu tương quan cao với nhau, tạo cấu trúc cụm tự nhiên: HRP sẽ coi hai lớp này như một khối khi phân bổ với các lớp phòng thủ.</w:t>
      </w:r>
    </w:p>
    <w:bookmarkEnd w:id="36"/>
    <w:bookmarkEnd w:id="37"/>
    <w:bookmarkStart w:id="38" w:name="mô-hình-blacklitterman"/>
    <w:p>
      <w:pPr>
        <w:pStyle w:val="Heading2"/>
      </w:pPr>
      <w:r>
        <w:t xml:space="preserve">2.3 Mô hình Black–Litterman</w:t>
      </w:r>
    </w:p>
    <w:p>
      <w:pPr>
        <w:pStyle w:val="FirstParagraph"/>
      </w:pPr>
      <w:r>
        <w:t xml:space="preserve">Black và Litterman (1992) giải quyết vấn đề của Markowitz theo hướng khác: thay vì bỏ lợi nhuận kỳ vọng, họ xây dựng nó từ hai nguồn thông tin và kết hợp chúng theo cách Bayes. He và Litterman (1999) sau đó trình bày lại trực giác của mô hình: danh mục tối ưu là danh mục cân bằng cộng với các vị thế lệch có trọng số theo quan điểm và độ tin cậy.</w:t>
      </w:r>
    </w:p>
    <w:p>
      <w:pPr>
        <w:pStyle w:val="BodyText"/>
      </w:pPr>
      <w:r>
        <w:rPr>
          <w:bCs/>
          <w:b/>
        </w:rPr>
        <w:t xml:space="preserve">Tiên nghiệm: lợi nhuận cân bằng.</w:t>
      </w:r>
      <w:r>
        <w:t xml:space="preserve"> </w:t>
      </w:r>
      <w:r>
        <w:t xml:space="preserve">Nếu thị trường cân bằng và mọi nhà đầu tư nắm danh mục thị trường w</w:t>
      </w:r>
      <w:r>
        <w:rPr>
          <w:vertAlign w:val="subscript"/>
        </w:rPr>
        <w:t xml:space="preserve">mkt</w:t>
      </w:r>
      <w:r>
        <w:t xml:space="preserve">, điều kiện bậc nhất của bài toán Markowitz cho lợi nhuận kỳ vọng vượt trội ngụ ý (suy ngược) là π = δΣw</w:t>
      </w:r>
      <w:r>
        <w:rPr>
          <w:vertAlign w:val="subscript"/>
        </w:rPr>
        <w:t xml:space="preserve">mkt</w:t>
      </w:r>
      <w:r>
        <w:t xml:space="preserve">. Đặt π vào bài toán Markowitz sẽ cho lại đúng w</w:t>
      </w:r>
      <w:r>
        <w:rPr>
          <w:vertAlign w:val="subscript"/>
        </w:rPr>
        <w:t xml:space="preserve">mkt</w:t>
      </w:r>
      <w:r>
        <w:t xml:space="preserve">, nên danh mục xuất phát luôn hợp lý và đa dạng, tránh được các vị thế cực đoan do sai số ước lượng. Với danh mục đa tài sản tại Việt Nam, không có</w:t>
      </w:r>
      <w:r>
        <w:t xml:space="preserve"> </w:t>
      </w:r>
      <w:r>
        <w:t xml:space="preserve">“</w:t>
      </w:r>
      <w:r>
        <w:t xml:space="preserve">danh mục thị trường</w:t>
      </w:r>
      <w:r>
        <w:t xml:space="preserve">”</w:t>
      </w:r>
      <w:r>
        <w:t xml:space="preserve"> </w:t>
      </w:r>
      <w:r>
        <w:t xml:space="preserve">chung cho vàng, tiền gửi và cổ phiếu, nên luận văn dùng danh mục phân bổ đều làm điểm cân bằng; đây cũng là danh mục mà một nhà đầu tư không có thông tin gì sẽ chọn.</w:t>
      </w:r>
    </w:p>
    <w:p>
      <w:pPr>
        <w:pStyle w:val="BodyText"/>
      </w:pPr>
      <w:r>
        <w:rPr>
          <w:bCs/>
          <w:b/>
        </w:rPr>
        <w:t xml:space="preserve">Quan điểm.</w:t>
      </w:r>
      <w:r>
        <w:t xml:space="preserve"> </w:t>
      </w:r>
      <w:r>
        <w:t xml:space="preserve">Nhà đầu tư diễn đạt K quan điểm dưới dạng Pμ = Q + ε, ε ~ N(0, Ω), trong đó mỗi dòng của P chọn tài sản (hoặc tổ hợp tài sản) mà quan điểm nói tới, Q là mức lợi nhuận kỳ vọng và Ω đo độ không chắc chắn. Quan điểm có thể là tuyệt đối (</w:t>
      </w:r>
      <w:r>
        <w:t xml:space="preserve">“</w:t>
      </w:r>
      <w:r>
        <w:t xml:space="preserve">vàng sẽ có lợi nhuận 1%/tháng</w:t>
      </w:r>
      <w:r>
        <w:t xml:space="preserve">”</w:t>
      </w:r>
      <w:r>
        <w:t xml:space="preserve">) hoặc tương đối (</w:t>
      </w:r>
      <w:r>
        <w:t xml:space="preserve">“</w:t>
      </w:r>
      <w:r>
        <w:t xml:space="preserve">cổ phiếu sẽ tốt hơn trái phiếu 0,5%/tháng</w:t>
      </w:r>
      <w:r>
        <w:t xml:space="preserve">”</w:t>
      </w:r>
      <w:r>
        <w:t xml:space="preserve">). Kết hợp với tiên nghiệm μ ~ N(π, τΣ), lợi nhuận hậu nghiệm là trung bình có trọng số theo độ chính xác của hai nguồn:</w:t>
      </w:r>
    </w:p>
    <w:p>
      <w:pPr>
        <w:pStyle w:val="BodyText"/>
      </w:pPr>
      <m:oMathPara>
        <m:oMathParaPr>
          <m:jc m:val="center"/>
        </m:oMathParaPr>
        <m:oMath>
          <m:sSub>
            <m:e>
              <m:r>
                <m:t>μ</m:t>
              </m:r>
            </m:e>
            <m:sub>
              <m:r>
                <m:t>B</m:t>
              </m:r>
              <m:r>
                <m:t>L</m:t>
              </m:r>
            </m:sub>
          </m:sSub>
          <m:r>
            <m:rPr>
              <m:sty m:val="p"/>
            </m:rPr>
            <m:t>=</m:t>
          </m:r>
          <m:sSup>
            <m:e>
              <m:d>
                <m:dPr>
                  <m:begChr m:val="["/>
                  <m:endChr m:val="]"/>
                  <m:sepChr m:val=""/>
                  <m:grow/>
                </m:dPr>
                <m:e>
                  <m:sSup>
                    <m:e>
                      <m:d>
                        <m:dPr>
                          <m:begChr m:val="("/>
                          <m:endChr m:val=")"/>
                          <m:sepChr m:val=""/>
                          <m:grow/>
                        </m:dPr>
                        <m:e>
                          <m:r>
                            <m:t>τ</m:t>
                          </m:r>
                          <m:r>
                            <m:t>Σ</m:t>
                          </m:r>
                        </m:e>
                      </m:d>
                    </m:e>
                    <m:sup>
                      <m:r>
                        <m:rPr>
                          <m:sty m:val="p"/>
                        </m:rPr>
                        <m:t>−</m:t>
                      </m:r>
                      <m:r>
                        <m:t>1</m:t>
                      </m:r>
                    </m:sup>
                  </m:sSup>
                  <m:r>
                    <m:rPr>
                      <m:sty m:val="p"/>
                    </m:rPr>
                    <m:t>+</m:t>
                  </m:r>
                  <m:sSup>
                    <m:e>
                      <m:r>
                        <m:t>P</m:t>
                      </m:r>
                    </m:e>
                    <m:sup>
                      <m:r>
                        <m:rPr>
                          <m:sty m:val="p"/>
                        </m:rPr>
                        <m:t>⊤</m:t>
                      </m:r>
                    </m:sup>
                  </m:sSup>
                  <m:sSup>
                    <m:e>
                      <m:r>
                        <m:t>Ω</m:t>
                      </m:r>
                    </m:e>
                    <m:sup>
                      <m:r>
                        <m:rPr>
                          <m:sty m:val="p"/>
                        </m:rPr>
                        <m:t>−</m:t>
                      </m:r>
                      <m:r>
                        <m:t>1</m:t>
                      </m:r>
                    </m:sup>
                  </m:sSup>
                  <m:r>
                    <m:t>P</m:t>
                  </m:r>
                </m:e>
              </m:d>
            </m:e>
            <m:sup>
              <m:r>
                <m:rPr>
                  <m:sty m:val="p"/>
                </m:rPr>
                <m:t>−</m:t>
              </m:r>
              <m:r>
                <m:t>1</m:t>
              </m:r>
            </m:sup>
          </m:sSup>
          <m:d>
            <m:dPr>
              <m:begChr m:val="["/>
              <m:endChr m:val="]"/>
              <m:sepChr m:val=""/>
              <m:grow/>
            </m:dPr>
            <m:e>
              <m:sSup>
                <m:e>
                  <m:d>
                    <m:dPr>
                      <m:begChr m:val="("/>
                      <m:endChr m:val=")"/>
                      <m:sepChr m:val=""/>
                      <m:grow/>
                    </m:dPr>
                    <m:e>
                      <m:r>
                        <m:t>τ</m:t>
                      </m:r>
                      <m:r>
                        <m:t>Σ</m:t>
                      </m:r>
                    </m:e>
                  </m:d>
                </m:e>
                <m:sup>
                  <m:r>
                    <m:rPr>
                      <m:sty m:val="p"/>
                    </m:rPr>
                    <m:t>−</m:t>
                  </m:r>
                  <m:r>
                    <m:t>1</m:t>
                  </m:r>
                </m:sup>
              </m:sSup>
              <m:r>
                <m:t>π</m:t>
              </m:r>
              <m:r>
                <m:rPr>
                  <m:sty m:val="p"/>
                </m:rPr>
                <m:t>+</m:t>
              </m:r>
              <m:sSup>
                <m:e>
                  <m:r>
                    <m:t>P</m:t>
                  </m:r>
                </m:e>
                <m:sup>
                  <m:r>
                    <m:rPr>
                      <m:sty m:val="p"/>
                    </m:rPr>
                    <m:t>⊤</m:t>
                  </m:r>
                </m:sup>
              </m:sSup>
              <m:sSup>
                <m:e>
                  <m:r>
                    <m:t>Ω</m:t>
                  </m:r>
                </m:e>
                <m:sup>
                  <m:r>
                    <m:rPr>
                      <m:sty m:val="p"/>
                    </m:rPr>
                    <m:t>−</m:t>
                  </m:r>
                  <m:r>
                    <m:t>1</m:t>
                  </m:r>
                </m:sup>
              </m:sSup>
              <m:r>
                <m:t>Q</m:t>
              </m:r>
            </m:e>
          </m:d>
        </m:oMath>
      </m:oMathPara>
    </w:p>
    <w:p>
      <w:pPr>
        <w:pStyle w:val="FirstParagraph"/>
      </w:pPr>
      <w:r>
        <w:t xml:space="preserve">Khi quan điểm rất không chắc chắn (Ω → ∞), μ</w:t>
      </w:r>
      <w:r>
        <w:rPr>
          <w:vertAlign w:val="subscript"/>
        </w:rPr>
        <w:t xml:space="preserve">BL</w:t>
      </w:r>
      <w:r>
        <w:t xml:space="preserve"> </w:t>
      </w:r>
      <w:r>
        <w:t xml:space="preserve">→ π; khi quan điểm chắc chắn tuyệt đối (Ω → 0), quan điểm được thỏa mãn chính xác. Nhờ vậy danh mục chỉ lệch khỏi điểm cân bằng ở những tài sản có quan điểm, và mức lệch tỷ lệ với độ tin cậy. Hệ số τ phản ánh độ không chắc chắn của chính tiên nghiệm; trong thực hành τ thường được chọn nhỏ (khoảng 0,025–0,05) vì sai số của lợi nhuận cân bằng nhỏ hơn nhiều so với độ biến động của lợi nhuận.</w:t>
      </w:r>
    </w:p>
    <w:p>
      <w:pPr>
        <w:pStyle w:val="BodyText"/>
      </w:pPr>
      <w:r>
        <w:rPr>
          <w:bCs/>
          <w:b/>
        </w:rPr>
        <w:t xml:space="preserve">Xác định Ω.</w:t>
      </w:r>
      <w:r>
        <w:t xml:space="preserve"> </w:t>
      </w:r>
      <w:r>
        <w:t xml:space="preserve">Đây là bước khó nhất trong thực hành. Idzorek (2007) đề xuất cho người dùng khai báo mức tin cậy c</w:t>
      </w:r>
      <w:r>
        <w:rPr>
          <w:vertAlign w:val="subscript"/>
        </w:rPr>
        <w:t xml:space="preserve">k</w:t>
      </w:r>
      <w:r>
        <w:t xml:space="preserve"> </w:t>
      </w:r>
      <w:r>
        <w:t xml:space="preserve">từ 0% đến 100% cho từng quan điểm, rồi suy ra Ω sao cho tỷ trọng thay đổi đúng tỷ lệ c</w:t>
      </w:r>
      <w:r>
        <w:rPr>
          <w:vertAlign w:val="subscript"/>
        </w:rPr>
        <w:t xml:space="preserve">k</w:t>
      </w:r>
      <w:r>
        <w:t xml:space="preserve"> </w:t>
      </w:r>
      <w:r>
        <w:t xml:space="preserve">so với trường hợp tin cậy tuyệt đối. Luận văn dùng dạng xấp xỉ:</w:t>
      </w:r>
    </w:p>
    <w:p>
      <w:pPr>
        <w:pStyle w:val="BodyText"/>
      </w:pPr>
      <m:oMathPara>
        <m:oMathParaPr>
          <m:jc m:val="center"/>
        </m:oMathParaPr>
        <m:oMath>
          <m:sSub>
            <m:e>
              <m:r>
                <m:t>Ω</m:t>
              </m:r>
            </m:e>
            <m:sub>
              <m:r>
                <m:t>k</m:t>
              </m:r>
              <m:r>
                <m:t>k</m:t>
              </m:r>
            </m:sub>
          </m:sSub>
          <m:r>
            <m:rPr>
              <m:sty m:val="p"/>
            </m:rPr>
            <m:t>=</m:t>
          </m:r>
          <m:f>
            <m:fPr>
              <m:type m:val="bar"/>
            </m:fPr>
            <m:num>
              <m:r>
                <m:t>1</m:t>
              </m:r>
              <m:r>
                <m:rPr>
                  <m:sty m:val="p"/>
                </m:rPr>
                <m:t>−</m:t>
              </m:r>
              <m:sSub>
                <m:e>
                  <m:r>
                    <m:t>c</m:t>
                  </m:r>
                </m:e>
                <m:sub>
                  <m:r>
                    <m:t>k</m:t>
                  </m:r>
                </m:sub>
              </m:sSub>
            </m:num>
            <m:den>
              <m:sSub>
                <m:e>
                  <m:r>
                    <m:t>c</m:t>
                  </m:r>
                </m:e>
                <m:sub>
                  <m:r>
                    <m:t>k</m:t>
                  </m:r>
                </m:sub>
              </m:sSub>
            </m:den>
          </m:f>
          <m:r>
            <m:t> </m:t>
          </m:r>
          <m:r>
            <m:t>τ</m:t>
          </m:r>
          <m:r>
            <m:t> </m:t>
          </m:r>
          <m:sSub>
            <m:e>
              <m:r>
                <m:t>Σ</m:t>
              </m:r>
            </m:e>
            <m:sub>
              <m:r>
                <m:t>k</m:t>
              </m:r>
              <m:r>
                <m:t>k</m:t>
              </m:r>
            </m:sub>
          </m:sSub>
        </m:oMath>
      </m:oMathPara>
    </w:p>
    <w:p>
      <w:pPr>
        <w:pStyle w:val="FirstParagraph"/>
      </w:pPr>
      <w:r>
        <w:t xml:space="preserve">Ý nghĩa của công thức này thấy rõ trong trường hợp một quan điểm tuyệt đối cho một tài sản không tương quan với tài sản khác. Khi đó công thức hậu nghiệm rút gọn thành μ</w:t>
      </w:r>
      <w:r>
        <w:rPr>
          <w:vertAlign w:val="subscript"/>
        </w:rPr>
        <w:t xml:space="preserve">BL</w:t>
      </w:r>
      <w:r>
        <w:t xml:space="preserve"> </w:t>
      </w:r>
      <w:r>
        <w:t xml:space="preserve">= (1 − c)π + cQ: lợi nhuận hậu nghiệm dịch chuyển từ điểm cân bằng về phía quan điểm đúng một tỷ lệ bằng mức tin cậy. Với c = 0, quan điểm bị bỏ qua; với c = 0,5, lợi nhuận kỳ vọng nằm giữa π và Q; với c gần 1, quan điểm gần như được chấp nhận hoàn toàn.</w:t>
      </w:r>
    </w:p>
    <w:p>
      <w:pPr>
        <w:pStyle w:val="BodyText"/>
      </w:pPr>
      <w:r>
        <w:rPr>
          <w:bCs/>
          <w:b/>
        </w:rPr>
        <w:t xml:space="preserve">Black–Litterman như một cầu nối cho dự báo.</w:t>
      </w:r>
      <w:r>
        <w:t xml:space="preserve"> </w:t>
      </w:r>
      <w:r>
        <w:t xml:space="preserve">Khung này vốn thiết kế cho quan điểm chủ quan của chuyên gia, nhưng cũng là cách tự nhiên để đưa dự báo định lượng vào danh mục: dự báo trở thành Q, còn mức tin cậy có thể lấy từ kỹ năng dự báo đã được kiểm chứng. So với việc đưa dự báo thẳng vào Markowitz, cách này bảo vệ danh mục khi dự báo kém: mô hình không có kỹ năng thì mức tin cậy bằng 0 và danh mục quay về điểm cân bằng. Đây là cơ sở của giả thuyết H2 và của việc so sánh BL với MLP_MVO, phương pháp dùng dự báo trực tiếp.</w:t>
      </w:r>
    </w:p>
    <w:bookmarkEnd w:id="38"/>
    <w:bookmarkStart w:id="43" w:name="học-máy-trong-dự-báo-lợi-nhuận-tài-sản"/>
    <w:p>
      <w:pPr>
        <w:pStyle w:val="Heading2"/>
      </w:pPr>
      <w:r>
        <w:t xml:space="preserve">2.4 Học máy trong dự báo lợi nhuận tài sản</w:t>
      </w:r>
    </w:p>
    <w:p>
      <w:pPr>
        <w:pStyle w:val="FirstParagraph"/>
      </w:pPr>
      <w:r>
        <w:t xml:space="preserve">Dự báo lợi nhuận là bài toán có tỷ lệ tín hiệu/nhiễu rất thấp. Welch và Goyal (2008) kiểm tra lại hàng chục biến dự báo phần bù cổ phiếu Mỹ từng được công bố và thấy hầu hết không vượt trung bình lịch sử khi đánh giá ngoài mẫu. Học máy hứa hẹn cải thiện nhờ khả năng xử lý nhiều biến, quan hệ phi tuyến và cơ chế chống quá khớp. Gu, Kelly và Xiu (2020) so sánh các phương pháp trên khoảng 30.000 cổ phiếu Mỹ và thấy cây quyết định và mạng nơ-ron nông cho kết quả tốt nhất, với R² ngoài mẫu hằng tháng chỉ khoảng 0,4% nhưng đủ tạo ra lợi ích kinh tế đáng kể. Điều này cho thấy trong tài chính, R² nhỏ vẫn có thể có giá trị.</w:t>
      </w:r>
    </w:p>
    <w:bookmarkStart w:id="39" w:name="Xce01a8bc1f386326414f6030ce33d87b7478f53"/>
    <w:p>
      <w:pPr>
        <w:pStyle w:val="Heading3"/>
      </w:pPr>
      <w:r>
        <w:t xml:space="preserve">2.4.1 Đánh đổi độ chệch–phương sai và chính quy hóa</w:t>
      </w:r>
    </w:p>
    <w:p>
      <w:pPr>
        <w:pStyle w:val="FirstParagraph"/>
      </w:pPr>
      <w:r>
        <w:t xml:space="preserve">Sai số dự báo kỳ vọng của một mô hình có thể tách thành ba phần: độ chệch bình phương (mô hình quá đơn giản so với quan hệ thật), phương sai (mô hình quá nhạy với mẫu huấn luyện cụ thể) và nhiễu không thể giảm (Hastie, Tibshirani và Friedman, 2009). Trong dự báo lợi nhuận, phần nhiễu chiếm gần như toàn bộ, nên một mô hình linh hoạt dễ</w:t>
      </w:r>
      <w:r>
        <w:t xml:space="preserve"> </w:t>
      </w:r>
      <w:r>
        <w:t xml:space="preserve">“</w:t>
      </w:r>
      <w:r>
        <w:t xml:space="preserve">học</w:t>
      </w:r>
      <w:r>
        <w:t xml:space="preserve">”</w:t>
      </w:r>
      <w:r>
        <w:t xml:space="preserve"> </w:t>
      </w:r>
      <w:r>
        <w:t xml:space="preserve">nhiễu và có phương sai lớn. Các kỹ thuật chính quy hóa (phạt độ lớn hệ số, giới hạn độ sâu cây, dừng sớm) chấp nhận tăng độ chệch để giảm phương sai, và là thành phần bắt buộc khi áp dụng học máy cho chuỗi tài chính ngắn.</w:t>
      </w:r>
    </w:p>
    <w:p>
      <w:pPr>
        <w:pStyle w:val="BodyText"/>
      </w:pPr>
      <w:r>
        <w:t xml:space="preserve">Việc chọn mức chính quy hóa cần dựa trên kiểm định chéo. Với dữ liệu chuỗi thời gian, kiểm định chéo phải tôn trọng thứ tự thời gian: tập kiểm tra luôn nằm sau tập huấn luyện, và nếu nhãn kéo dài nhiều kỳ thì cần bỏ (purge) các quan sát huấn luyện có nhãn chồng lấn với tập kiểm tra để tránh rò rỉ thông tin tương lai. Sau khi có sai số kiểm định chéo cho từng cấu hình, quy tắc một sai số chuẩn (1-SE) của Hastie, Tibshirani và Friedman (2009) chọn cấu hình đơn giản nhất trong số các cấu hình có sai số không quá một sai số chuẩn so với cấu hình tốt nhất. Quy tắc này thừa nhận rằng chênh lệch nhỏ về sai số kiểm định chéo thường chỉ là nhiễu, và ưu tiên mô hình đơn giản hơn.</w:t>
      </w:r>
    </w:p>
    <w:bookmarkEnd w:id="39"/>
    <w:bookmarkStart w:id="40" w:name="ba-mô-hình-được-sử-dụng"/>
    <w:p>
      <w:pPr>
        <w:pStyle w:val="Heading3"/>
      </w:pPr>
      <w:r>
        <w:t xml:space="preserve">2.4.2 Ba mô hình được sử dụng</w:t>
      </w:r>
    </w:p>
    <w:p>
      <w:pPr>
        <w:pStyle w:val="FirstParagraph"/>
      </w:pPr>
      <w:r>
        <w:rPr>
          <w:bCs/>
          <w:b/>
        </w:rPr>
        <w:t xml:space="preserve">Elastic Net</w:t>
      </w:r>
      <w:r>
        <w:t xml:space="preserve"> </w:t>
      </w:r>
      <w:r>
        <w:t xml:space="preserve">(Zou và Hastie, 2005) là hồi quy tuyến tính với hàm phạt kết hợp L1 của Lasso (Tibshirani, 1996) và L2 của Ridge (Hoerl và Kennard, 1970):</w:t>
      </w:r>
    </w:p>
    <w:p>
      <w:pPr>
        <w:pStyle w:val="BodyText"/>
      </w:pPr>
      <m:oMathPara>
        <m:oMathParaPr>
          <m:jc m:val="center"/>
        </m:oMathParaPr>
        <m:oMath>
          <m:acc>
            <m:accPr>
              <m:chr m:val="̂"/>
            </m:accPr>
            <m:e>
              <m:r>
                <m:t>β</m:t>
              </m:r>
            </m:e>
          </m:acc>
          <m:r>
            <m:rPr>
              <m:sty m:val="p"/>
            </m:rPr>
            <m:t>=</m:t>
          </m:r>
          <m:r>
            <m:rPr>
              <m:sty m:val="p"/>
            </m:rPr>
            <m:t>arg</m:t>
          </m:r>
          <m:limLow>
            <m:e>
              <m:r>
                <m:rPr>
                  <m:sty m:val="p"/>
                </m:rPr>
                <m:t>min</m:t>
              </m:r>
            </m:e>
            <m:lim>
              <m:r>
                <m:t>β</m:t>
              </m:r>
            </m:lim>
          </m:limLow>
          <m:r>
            <m:t> </m:t>
          </m:r>
          <m:f>
            <m:fPr>
              <m:type m:val="bar"/>
            </m:fPr>
            <m:num>
              <m:r>
                <m:t>1</m:t>
              </m:r>
            </m:num>
            <m:den>
              <m:r>
                <m:t>2</m:t>
              </m:r>
              <m:r>
                <m:t>n</m:t>
              </m:r>
            </m:den>
          </m:f>
          <m:r>
            <m:rPr>
              <m:sty m:val="p"/>
            </m:rPr>
            <m:t>∥</m:t>
          </m:r>
          <m:r>
            <m:t>y</m:t>
          </m:r>
          <m:r>
            <m:rPr>
              <m:sty m:val="p"/>
            </m:rPr>
            <m:t>−</m:t>
          </m:r>
          <m:r>
            <m:t>X</m:t>
          </m:r>
          <m:r>
            <m:t>β</m:t>
          </m:r>
          <m:sSubSup>
            <m:e>
              <m:r>
                <m:rPr>
                  <m:sty m:val="p"/>
                </m:rPr>
                <m:t>∥</m:t>
              </m:r>
            </m:e>
            <m:sub>
              <m:r>
                <m:t>2</m:t>
              </m:r>
            </m:sub>
            <m:sup>
              <m:r>
                <m:t>2</m:t>
              </m:r>
            </m:sup>
          </m:sSubSup>
          <m:r>
            <m:rPr>
              <m:sty m:val="p"/>
            </m:rPr>
            <m:t>+</m:t>
          </m:r>
          <m:r>
            <m:t>α</m:t>
          </m:r>
          <m:d>
            <m:dPr>
              <m:begChr m:val="("/>
              <m:endChr m:val=")"/>
              <m:sepChr m:val=""/>
              <m:grow/>
            </m:dPr>
            <m:e>
              <m:r>
                <m:t>ρ</m:t>
              </m:r>
              <m:r>
                <m:rPr>
                  <m:sty m:val="p"/>
                </m:rPr>
                <m:t>∥</m:t>
              </m:r>
              <m:r>
                <m:t>β</m:t>
              </m:r>
              <m:sSub>
                <m:e>
                  <m:r>
                    <m:rPr>
                      <m:sty m:val="p"/>
                    </m:rPr>
                    <m:t>∥</m:t>
                  </m:r>
                </m:e>
                <m:sub>
                  <m:r>
                    <m:t>1</m:t>
                  </m:r>
                </m:sub>
              </m:sSub>
              <m:r>
                <m:rPr>
                  <m:sty m:val="p"/>
                </m:rPr>
                <m:t>+</m:t>
              </m:r>
              <m:f>
                <m:fPr>
                  <m:type m:val="bar"/>
                </m:fPr>
                <m:num>
                  <m:r>
                    <m:t>1</m:t>
                  </m:r>
                  <m:r>
                    <m:rPr>
                      <m:sty m:val="p"/>
                    </m:rPr>
                    <m:t>−</m:t>
                  </m:r>
                  <m:r>
                    <m:t>ρ</m:t>
                  </m:r>
                </m:num>
                <m:den>
                  <m:r>
                    <m:t>2</m:t>
                  </m:r>
                </m:den>
              </m:f>
              <m:r>
                <m:rPr>
                  <m:sty m:val="p"/>
                </m:rPr>
                <m:t>∥</m:t>
              </m:r>
              <m:r>
                <m:t>β</m:t>
              </m:r>
              <m:sSubSup>
                <m:e>
                  <m:r>
                    <m:rPr>
                      <m:sty m:val="p"/>
                    </m:rPr>
                    <m:t>∥</m:t>
                  </m:r>
                </m:e>
                <m:sub>
                  <m:r>
                    <m:t>2</m:t>
                  </m:r>
                </m:sub>
                <m:sup>
                  <m:r>
                    <m:t>2</m:t>
                  </m:r>
                </m:sup>
              </m:sSubSup>
            </m:e>
          </m:d>
        </m:oMath>
      </m:oMathPara>
    </w:p>
    <w:p>
      <w:pPr>
        <w:pStyle w:val="FirstParagraph"/>
      </w:pPr>
      <w:r>
        <w:t xml:space="preserve">Phần L1 đưa hệ số của biến không hữu ích về đúng 0 (chọn biến), phần L2 ổn định hệ số khi các biến tương quan, ví dụ các biến động lượng 1, 3 và 6 tháng. Tham số α điều chỉnh mức phạt chung, ρ (l1_ratio) điều chỉnh tỷ lệ giữa hai loại phạt. Với α đủ lớn, mọi hệ số bằng 0 và mô hình trở về dự báo hằng, một tính chất phù hợp khi tín hiệu yếu: khi không tìm được quan hệ đáng tin cậy, mô hình tự động trở về dự báo chuẩn thay vì đưa ra dự báo nhiễu.</w:t>
      </w:r>
    </w:p>
    <w:p>
      <w:pPr>
        <w:pStyle w:val="BodyText"/>
      </w:pPr>
      <w:r>
        <w:rPr>
          <w:bCs/>
          <w:b/>
        </w:rPr>
        <w:t xml:space="preserve">LightGBM</w:t>
      </w:r>
      <w:r>
        <w:t xml:space="preserve"> </w:t>
      </w:r>
      <w:r>
        <w:t xml:space="preserve">(Ke và cộng sự, 2017) là một triển khai của thuật toán tăng cường gradient trên cây quyết định (Friedman, 2001). Mô hình được xây dựng tuần tự: tại bước m, một cây h_m được khớp với gradient âm của hàm mất mát tại dự báo hiện thời (với sai số bình phương, đó chính là phần dư), rồi được cộng vào mô hình với hệ số học ν:</w:t>
      </w:r>
    </w:p>
    <w:p>
      <w:pPr>
        <w:pStyle w:val="BodyText"/>
      </w:pPr>
      <m:oMathPara>
        <m:oMathParaPr>
          <m:jc m:val="center"/>
        </m:oMathParaP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t> </m:t>
          </m:r>
          <m:sSub>
            <m:e>
              <m:r>
                <m:t>h</m:t>
              </m:r>
            </m:e>
            <m:sub>
              <m:r>
                <m:t>m</m:t>
              </m:r>
            </m:sub>
          </m:sSub>
          <m:d>
            <m:dPr>
              <m:begChr m:val="("/>
              <m:endChr m:val=")"/>
              <m:sepChr m:val=""/>
              <m:grow/>
            </m:dPr>
            <m:e>
              <m:r>
                <m:t>x</m:t>
              </m:r>
            </m:e>
          </m:d>
          <m:r>
            <m:rPr>
              <m:sty m:val="p"/>
            </m:rPr>
            <m:t>,</m:t>
          </m:r>
          <m:r>
            <m:t>  </m:t>
          </m:r>
          <m:r>
            <m:t>m</m:t>
          </m:r>
          <m:r>
            <m:rPr>
              <m:sty m:val="p"/>
            </m:rPr>
            <m:t>=</m:t>
          </m:r>
          <m:r>
            <m:t>1</m:t>
          </m:r>
          <m:r>
            <m:rPr>
              <m:sty m:val="p"/>
            </m:rPr>
            <m:t>,</m:t>
          </m:r>
          <m:r>
            <m:rPr>
              <m:sty m:val="p"/>
            </m:rPr>
            <m:t>…</m:t>
          </m:r>
          <m:r>
            <m:rPr>
              <m:sty m:val="p"/>
            </m:rPr>
            <m:t>,</m:t>
          </m:r>
          <m:r>
            <m:t>M</m:t>
          </m:r>
        </m:oMath>
      </m:oMathPara>
    </w:p>
    <w:p>
      <w:pPr>
        <w:pStyle w:val="FirstParagraph"/>
      </w:pPr>
      <w:r>
        <w:t xml:space="preserve">So với các triển khai trước, LightGBM tăng tốc nhờ chia biến liên tục thành các khoảng (histogram), phát triển cây theo lá có mức giảm mất mát lớn nhất, lấy mẫu một phía theo gradient và gộp các biến loại trừ nhau. Mô hình nắm bắt được quan hệ phi tuyến và tương tác giữa các biến, nhưng dễ quá khớp trên mẫu nhỏ nếu cây quá sâu hoặc số cây quá lớn; vì vậy độ sâu cây, số lá, số quan sát tối thiểu mỗi lá, hệ số học và số cây là các siêu tham số chính cần kiểm soát.</w:t>
      </w:r>
    </w:p>
    <w:p>
      <w:pPr>
        <w:pStyle w:val="BodyText"/>
      </w:pPr>
      <w:r>
        <w:rPr>
          <w:bCs/>
          <w:b/>
        </w:rPr>
        <w:t xml:space="preserve">Mạng nơ-ron MLP</w:t>
      </w:r>
      <w:r>
        <w:t xml:space="preserve"> </w:t>
      </w:r>
      <w:r>
        <w:t xml:space="preserve">gồm các lớp nơ-ron kết nối đầy đủ. Với một lớp ẩn H nơ-ron và hàm kích hoạt ReLU, dự báo có dạng ŷ = b₂ + Σ</w:t>
      </w:r>
      <w:r>
        <w:rPr>
          <w:vertAlign w:val="subscript"/>
        </w:rPr>
        <w:t xml:space="preserve">h</w:t>
      </w:r>
      <w:r>
        <w:t xml:space="preserve"> </w:t>
      </w:r>
      <w:r>
        <w:t xml:space="preserve">v</w:t>
      </w:r>
      <w:r>
        <w:rPr>
          <w:vertAlign w:val="subscript"/>
        </w:rPr>
        <w:t xml:space="preserve">h</w:t>
      </w:r>
      <w:r>
        <w:t xml:space="preserve"> </w:t>
      </w:r>
      <w:r>
        <w:t xml:space="preserve">max(0, a_hᵀx + b_h). Hornik, Stinchcombe và White (1989) chứng minh mạng một lớp ẩn có thể xấp xỉ mọi hàm liên tục với độ chính xác tùy ý nếu đủ nơ-ron, nhưng khả năng xấp xỉ này cũng là nguồn gốc của quá khớp. Trọng số được huấn luyện bằng lan truyền ngược với thuật toán tối ưu Adam (Kingma và Ba, 2015), có phạt L2 và dừng sớm khi sai số trên tập kiểm tra ngừng giảm. Trên dữ liệu tài chính, mạng nông với phạt L2 và dừng sớm thường tốt hơn mạng sâu (Gu, Kelly và Xiu, 2020).</w:t>
      </w:r>
    </w:p>
    <w:bookmarkEnd w:id="40"/>
    <w:bookmarkStart w:id="41" w:name="đánh-giá-dự-báo-ngoài-mẫu"/>
    <w:p>
      <w:pPr>
        <w:pStyle w:val="Heading3"/>
      </w:pPr>
      <w:r>
        <w:t xml:space="preserve">2.4.3 Đánh giá dự báo ngoài mẫu</w:t>
      </w:r>
    </w:p>
    <w:p>
      <w:pPr>
        <w:pStyle w:val="FirstParagraph"/>
      </w:pPr>
      <w:r>
        <w:t xml:space="preserve">Campbell và Thompson (2008) đề xuất R² ngoài mẫu, so sánh sai số của mô hình với dự báo chuẩn là trung bình lịch sử:</w:t>
      </w:r>
    </w:p>
    <w:p>
      <w:pPr>
        <w:pStyle w:val="BodyText"/>
      </w:pPr>
      <m:oMathPara>
        <m:oMathParaPr>
          <m:jc m:val="center"/>
        </m:oMathParaPr>
        <m:oMath>
          <m:sSubSup>
            <m:e>
              <m:r>
                <m:t>R</m:t>
              </m:r>
            </m:e>
            <m:sub>
              <m:r>
                <m:t>O</m:t>
              </m:r>
              <m:r>
                <m:t>S</m:t>
              </m:r>
            </m:sub>
            <m:sup>
              <m:r>
                <m:t>2</m:t>
              </m:r>
            </m:sup>
          </m:sSubSup>
          <m:r>
            <m:rPr>
              <m:sty m:val="p"/>
            </m:rPr>
            <m:t>=</m:t>
          </m:r>
          <m:r>
            <m:t>1</m:t>
          </m:r>
          <m:r>
            <m:rPr>
              <m:sty m:val="p"/>
            </m:rPr>
            <m:t>−</m:t>
          </m:r>
          <m:f>
            <m:fPr>
              <m:type m:val="bar"/>
            </m:fPr>
            <m:num>
              <m:nary>
                <m:naryPr>
                  <m:chr m:val="∑"/>
                  <m:limLoc m:val="undOvr"/>
                  <m:subHide m:val="off"/>
                  <m:supHide m:val="on"/>
                </m:naryPr>
                <m:sub>
                  <m:r>
                    <m:t>t</m:t>
                  </m:r>
                </m:sub>
                <m:sup>
                  <m:r>
                    <m:t>​</m:t>
                  </m:r>
                </m:sup>
                <m:e>
                  <m:sSup>
                    <m:e>
                      <m:d>
                        <m:dPr>
                          <m:begChr m:val="("/>
                          <m:endChr m:val=")"/>
                          <m:sepChr m:val=""/>
                          <m:grow/>
                        </m:dPr>
                        <m:e>
                          <m:sSub>
                            <m:e>
                              <m:r>
                                <m:t>r</m:t>
                              </m:r>
                            </m:e>
                            <m:sub>
                              <m:r>
                                <m:t>t</m:t>
                              </m:r>
                              <m:r>
                                <m:rPr>
                                  <m:sty m:val="p"/>
                                </m:rPr>
                                <m:t>+</m:t>
                              </m:r>
                              <m:r>
                                <m:t>1</m:t>
                              </m:r>
                            </m:sub>
                          </m:sSub>
                          <m:r>
                            <m:rPr>
                              <m:sty m:val="p"/>
                            </m:rPr>
                            <m:t>−</m:t>
                          </m:r>
                          <m:sSub>
                            <m:e>
                              <m:acc>
                                <m:accPr>
                                  <m:chr m:val="̂"/>
                                </m:accPr>
                                <m:e>
                                  <m:r>
                                    <m:t>r</m:t>
                                  </m:r>
                                </m:e>
                              </m:acc>
                            </m:e>
                            <m:sub>
                              <m:r>
                                <m:t>t</m:t>
                              </m:r>
                              <m:r>
                                <m:rPr>
                                  <m:sty m:val="p"/>
                                </m:rPr>
                                <m:t>+</m:t>
                              </m:r>
                              <m:r>
                                <m:t>1</m:t>
                              </m:r>
                            </m:sub>
                          </m:sSub>
                        </m:e>
                      </m:d>
                    </m:e>
                    <m:sup>
                      <m:r>
                        <m:t>2</m:t>
                      </m:r>
                    </m:sup>
                  </m:sSup>
                </m:e>
              </m:nary>
            </m:num>
            <m:den>
              <m:nary>
                <m:naryPr>
                  <m:chr m:val="∑"/>
                  <m:limLoc m:val="undOvr"/>
                  <m:subHide m:val="off"/>
                  <m:supHide m:val="on"/>
                </m:naryPr>
                <m:sub>
                  <m:r>
                    <m:t>t</m:t>
                  </m:r>
                </m:sub>
                <m:sup>
                  <m:r>
                    <m:t>​</m:t>
                  </m:r>
                </m:sup>
                <m:e>
                  <m:sSup>
                    <m:e>
                      <m:d>
                        <m:dPr>
                          <m:begChr m:val="("/>
                          <m:endChr m:val=")"/>
                          <m:sepChr m:val=""/>
                          <m:grow/>
                        </m:dPr>
                        <m:e>
                          <m:sSub>
                            <m:e>
                              <m:r>
                                <m:t>r</m:t>
                              </m:r>
                            </m:e>
                            <m:sub>
                              <m:r>
                                <m:t>t</m:t>
                              </m:r>
                              <m:r>
                                <m:rPr>
                                  <m:sty m:val="p"/>
                                </m:rPr>
                                <m:t>+</m:t>
                              </m:r>
                              <m:r>
                                <m:t>1</m:t>
                              </m:r>
                            </m:sub>
                          </m:sSub>
                          <m:r>
                            <m:rPr>
                              <m:sty m:val="p"/>
                            </m:rPr>
                            <m:t>−</m:t>
                          </m:r>
                          <m:sSub>
                            <m:e>
                              <m:acc>
                                <m:accPr>
                                  <m:chr m:val="‾"/>
                                </m:accPr>
                                <m:e>
                                  <m:r>
                                    <m:t>r</m:t>
                                  </m:r>
                                </m:e>
                              </m:acc>
                            </m:e>
                            <m:sub>
                              <m:r>
                                <m:t>t</m:t>
                              </m:r>
                            </m:sub>
                          </m:sSub>
                        </m:e>
                      </m:d>
                    </m:e>
                    <m:sup>
                      <m:r>
                        <m:t>2</m:t>
                      </m:r>
                    </m:sup>
                  </m:sSup>
                </m:e>
              </m:nary>
            </m:den>
          </m:f>
        </m:oMath>
      </m:oMathPara>
    </w:p>
    <w:p>
      <w:pPr>
        <w:pStyle w:val="FirstParagraph"/>
      </w:pPr>
      <w:r>
        <w:t xml:space="preserve">R²</w:t>
      </w:r>
      <w:r>
        <w:rPr>
          <w:vertAlign w:val="subscript"/>
        </w:rPr>
        <w:t xml:space="preserve">OS</w:t>
      </w:r>
      <w:r>
        <w:t xml:space="preserve"> </w:t>
      </w:r>
      <w:r>
        <w:t xml:space="preserve">dương nghĩa là mô hình có giá trị gia tăng so với trung bình lịch sử. Họ cũng chỉ ra rằng R²</w:t>
      </w:r>
      <w:r>
        <w:rPr>
          <w:vertAlign w:val="subscript"/>
        </w:rPr>
        <w:t xml:space="preserve">OS</w:t>
      </w:r>
      <w:r>
        <w:t xml:space="preserve"> </w:t>
      </w:r>
      <w:r>
        <w:t xml:space="preserve">hằng tháng chỉ 0,5% đã đủ tăng đáng kể lợi nhuận của nhà đầu tư trung bình–phương sai, vì lợi ích kinh tế xấp xỉ tỷ lệ với R²</w:t>
      </w:r>
      <w:r>
        <w:rPr>
          <w:vertAlign w:val="subscript"/>
        </w:rPr>
        <w:t xml:space="preserve">OS</w:t>
      </w:r>
      <w:r>
        <w:t xml:space="preserve"> </w:t>
      </w:r>
      <w:r>
        <w:t xml:space="preserve">chia cho bình phương hệ số Sharpe của tài sản.</w:t>
      </w:r>
    </w:p>
    <w:p>
      <w:pPr>
        <w:pStyle w:val="BodyText"/>
      </w:pPr>
      <w:r>
        <w:t xml:space="preserve">Để kiểm định R²</w:t>
      </w:r>
      <w:r>
        <w:rPr>
          <w:vertAlign w:val="subscript"/>
        </w:rPr>
        <w:t xml:space="preserve">OS</w:t>
      </w:r>
      <w:r>
        <w:t xml:space="preserve"> </w:t>
      </w:r>
      <w:r>
        <w:t xml:space="preserve">&gt; 0 có ý nghĩa thống kê hay không, các kiểm định so sánh sai số dự báo thông thường bị chệch khi so sánh hai mô hình lồng nhau (trung bình lịch sử là trường hợp đặc biệt của mô hình có biến dự báo khi mọi hệ số bằng 0). Clark và West (2007) điều chỉnh thống kê bằng cách cộng lại phần nhiễu do ước lượng tham số thừa, cho phân phối xấp xỉ chuẩn:</w:t>
      </w:r>
    </w:p>
    <w:p>
      <w:pPr>
        <w:pStyle w:val="BodyText"/>
      </w:pPr>
      <m:oMathPara>
        <m:oMathParaPr>
          <m:jc m:val="center"/>
        </m:oMathParaPr>
        <m:oMath>
          <m:sSub>
            <m:e>
              <m:r>
                <m:t>f</m:t>
              </m:r>
            </m:e>
            <m:sub>
              <m:r>
                <m:t>t</m:t>
              </m:r>
              <m:r>
                <m:rPr>
                  <m:sty m:val="p"/>
                </m:rPr>
                <m:t>+</m:t>
              </m:r>
              <m:r>
                <m:t>1</m:t>
              </m:r>
            </m:sub>
          </m:sSub>
          <m:r>
            <m:rPr>
              <m:sty m:val="p"/>
            </m:rPr>
            <m:t>=</m:t>
          </m:r>
          <m:sSup>
            <m:e>
              <m:d>
                <m:dPr>
                  <m:begChr m:val="("/>
                  <m:endChr m:val=")"/>
                  <m:sepChr m:val=""/>
                  <m:grow/>
                </m:dPr>
                <m:e>
                  <m:sSub>
                    <m:e>
                      <m:r>
                        <m:t>r</m:t>
                      </m:r>
                    </m:e>
                    <m:sub>
                      <m:r>
                        <m:t>t</m:t>
                      </m:r>
                      <m:r>
                        <m:rPr>
                          <m:sty m:val="p"/>
                        </m:rPr>
                        <m:t>+</m:t>
                      </m:r>
                      <m:r>
                        <m:t>1</m:t>
                      </m:r>
                    </m:sub>
                  </m:sSub>
                  <m:r>
                    <m:rPr>
                      <m:sty m:val="p"/>
                    </m:rPr>
                    <m:t>−</m:t>
                  </m:r>
                  <m:sSub>
                    <m:e>
                      <m:acc>
                        <m:accPr>
                          <m:chr m:val="‾"/>
                        </m:accPr>
                        <m:e>
                          <m:r>
                            <m:t>r</m:t>
                          </m:r>
                        </m:e>
                      </m:acc>
                    </m:e>
                    <m:sub>
                      <m:r>
                        <m:t>t</m:t>
                      </m:r>
                    </m:sub>
                  </m:sSub>
                </m:e>
              </m:d>
            </m:e>
            <m:sup>
              <m:r>
                <m:t>2</m:t>
              </m:r>
            </m:sup>
          </m:sSup>
          <m:r>
            <m:rPr>
              <m:sty m:val="p"/>
            </m:rPr>
            <m:t>−</m:t>
          </m:r>
          <m:d>
            <m:dPr>
              <m:begChr m:val="["/>
              <m:endChr m:val="]"/>
              <m:sepChr m:val=""/>
              <m:grow/>
            </m:dPr>
            <m:e>
              <m:sSup>
                <m:e>
                  <m:d>
                    <m:dPr>
                      <m:begChr m:val="("/>
                      <m:endChr m:val=")"/>
                      <m:sepChr m:val=""/>
                      <m:grow/>
                    </m:dPr>
                    <m:e>
                      <m:sSub>
                        <m:e>
                          <m:r>
                            <m:t>r</m:t>
                          </m:r>
                        </m:e>
                        <m:sub>
                          <m:r>
                            <m:t>t</m:t>
                          </m:r>
                          <m:r>
                            <m:rPr>
                              <m:sty m:val="p"/>
                            </m:rPr>
                            <m:t>+</m:t>
                          </m:r>
                          <m:r>
                            <m:t>1</m:t>
                          </m:r>
                        </m:sub>
                      </m:sSub>
                      <m:r>
                        <m:rPr>
                          <m:sty m:val="p"/>
                        </m:rPr>
                        <m:t>−</m:t>
                      </m:r>
                      <m:sSub>
                        <m:e>
                          <m:acc>
                            <m:accPr>
                              <m:chr m:val="̂"/>
                            </m:accPr>
                            <m:e>
                              <m:r>
                                <m:t>r</m:t>
                              </m:r>
                            </m:e>
                          </m:acc>
                        </m:e>
                        <m:sub>
                          <m:r>
                            <m:t>t</m:t>
                          </m:r>
                          <m:r>
                            <m:rPr>
                              <m:sty m:val="p"/>
                            </m:rPr>
                            <m:t>+</m:t>
                          </m:r>
                          <m:r>
                            <m:t>1</m:t>
                          </m:r>
                        </m:sub>
                      </m:sSub>
                    </m:e>
                  </m:d>
                </m:e>
                <m:sup>
                  <m:r>
                    <m:t>2</m:t>
                  </m:r>
                </m:sup>
              </m:sSup>
              <m:r>
                <m:rPr>
                  <m:sty m:val="p"/>
                </m:rPr>
                <m:t>−</m:t>
              </m:r>
              <m:sSup>
                <m:e>
                  <m:d>
                    <m:dPr>
                      <m:begChr m:val="("/>
                      <m:endChr m:val=")"/>
                      <m:sepChr m:val=""/>
                      <m:grow/>
                    </m:dPr>
                    <m:e>
                      <m:sSub>
                        <m:e>
                          <m:acc>
                            <m:accPr>
                              <m:chr m:val="‾"/>
                            </m:accPr>
                            <m:e>
                              <m:r>
                                <m:t>r</m:t>
                              </m:r>
                            </m:e>
                          </m:acc>
                        </m:e>
                        <m:sub>
                          <m:r>
                            <m:t>t</m:t>
                          </m:r>
                        </m:sub>
                      </m:sSub>
                      <m:r>
                        <m:rPr>
                          <m:sty m:val="p"/>
                        </m:rPr>
                        <m:t>−</m:t>
                      </m:r>
                      <m:sSub>
                        <m:e>
                          <m:acc>
                            <m:accPr>
                              <m:chr m:val="̂"/>
                            </m:accPr>
                            <m:e>
                              <m:r>
                                <m:t>r</m:t>
                              </m:r>
                            </m:e>
                          </m:acc>
                        </m:e>
                        <m:sub>
                          <m:r>
                            <m:t>t</m:t>
                          </m:r>
                          <m:r>
                            <m:rPr>
                              <m:sty m:val="p"/>
                            </m:rPr>
                            <m:t>+</m:t>
                          </m:r>
                          <m:r>
                            <m:t>1</m:t>
                          </m:r>
                        </m:sub>
                      </m:sSub>
                    </m:e>
                  </m:d>
                </m:e>
                <m:sup>
                  <m:r>
                    <m:t>2</m:t>
                  </m:r>
                </m:sup>
              </m:sSup>
            </m:e>
          </m:d>
        </m:oMath>
      </m:oMathPara>
    </w:p>
    <w:p>
      <w:pPr>
        <w:pStyle w:val="FirstParagraph"/>
      </w:pPr>
      <w:r>
        <w:t xml:space="preserve">và kiểm định một phía trung bình của f bằng 0, với sai số chuẩn vững với tự tương quan.</w:t>
      </w:r>
    </w:p>
    <w:p>
      <w:pPr>
        <w:pStyle w:val="BodyText"/>
      </w:pPr>
      <w:r>
        <w:t xml:space="preserve">Khi mục đích là phân bổ giữa các tài sản, điều quan trọng là xếp đúng thứ tự tài sản hơn là dự báo đúng mức lợi nhuận, nên rank IC (tương quan hạng Spearman giữa dự báo và lợi nhuận thực trong cùng kỳ) là thước đo bổ sung phù hợp. Grinold và Kahn (2000) tóm tắt quan hệ giữa kỹ năng dự báo và giá trị kinh tế bằng</w:t>
      </w:r>
      <w:r>
        <w:t xml:space="preserve"> </w:t>
      </w:r>
      <w:r>
        <w:t xml:space="preserve">“</w:t>
      </w:r>
      <w:r>
        <w:t xml:space="preserve">định luật cơ bản của quản lý chủ động</w:t>
      </w:r>
      <w:r>
        <w:t xml:space="preserve">”</w:t>
      </w:r>
      <w:r>
        <w:t xml:space="preserve">: tỷ số thông tin xấp xỉ bằng IC nhân căn bậc hai của số quyết định độc lập. Với chỉ 4 lớp tài sản rủi ro và quyết định hằng tháng, số quyết định độc lập rất ít, nên ngay cả một IC dương nhỏ cũng khó chuyển thành lợi thế lớn về Sharpe. Đây là một lý do để kỳ vọng thận trọng về giá trị của học máy trong bài toán phân bổ giữa vài lớp tài sản.</w:t>
      </w:r>
    </w:p>
    <w:bookmarkEnd w:id="41"/>
    <w:bookmarkStart w:id="42" w:name="học-tăng-cường-và-bài-toán-bandit"/>
    <w:p>
      <w:pPr>
        <w:pStyle w:val="Heading3"/>
      </w:pPr>
      <w:r>
        <w:t xml:space="preserve">2.4.4 Học tăng cường và bài toán bandit</w:t>
      </w:r>
    </w:p>
    <w:p>
      <w:pPr>
        <w:pStyle w:val="FirstParagraph"/>
      </w:pPr>
      <w:r>
        <w:t xml:space="preserve">Học tăng cường (Sutton và Barto, 2018) mô hình hóa việc ra quyết định tuần tự: tại mỗi bước, tác tử quan sát trạng thái, chọn hành động, nhận phần thưởng và chuyển sang trạng thái mới. Mục tiêu là học chính sách tối đa hóa tổng phần thưởng chiết khấu, có tính đến việc hành động hôm nay ảnh hưởng đến trạng thái ngày mai. Thuật toán Q-learning ước lượng giá trị Q(s, a) của từng cặp trạng thái–hành động và cập nhật theo phương trình Bellman.</w:t>
      </w:r>
    </w:p>
    <w:p>
      <w:pPr>
        <w:pStyle w:val="BodyText"/>
      </w:pPr>
      <w:r>
        <w:t xml:space="preserve">Trong bài toán phân bổ của một nhà đầu tư cá nhân, hành động (tỷ trọng danh mục) không làm thay đổi trạng thái thị trường kỳ sau. Khi đó thành phần</w:t>
      </w:r>
      <w:r>
        <w:t xml:space="preserve"> </w:t>
      </w:r>
      <w:r>
        <w:t xml:space="preserve">“</w:t>
      </w:r>
      <w:r>
        <w:t xml:space="preserve">tương lai</w:t>
      </w:r>
      <w:r>
        <w:t xml:space="preserve">”</w:t>
      </w:r>
      <w:r>
        <w:t xml:space="preserve"> </w:t>
      </w:r>
      <w:r>
        <w:t xml:space="preserve">của phương trình Bellman không còn vai trò, và bài toán thu gọn thành contextual bandit: tại mỗi bước, chọn hành động tốt nhất cho trạng thái hiện tại dựa trên phần thưởng tức thời đã quan sát (Lattimore và Szepesvári, 2020). Việc nhận diện đúng cấu trúc này giúp tránh hai sai lầm phổ biến khi áp dụng học tăng cường cho danh mục: dùng hệ số chiết khấu không có ý nghĩa, và huấn luyện lặp nhiều vòng trên cùng một chuỗi lịch sử ngắn, dễ dẫn đến quá khớp.</w:t>
      </w:r>
    </w:p>
    <w:bookmarkEnd w:id="42"/>
    <w:bookmarkEnd w:id="43"/>
    <w:bookmarkStart w:id="47" w:name="X4abf9ff92b3cc1349acce2f21b72cbf0df4ceeb"/>
    <w:p>
      <w:pPr>
        <w:pStyle w:val="Heading2"/>
      </w:pPr>
      <w:r>
        <w:t xml:space="preserve">2.5 Đo lường hiệu quả và kiểm định so sánh danh mục</w:t>
      </w:r>
    </w:p>
    <w:bookmarkStart w:id="44" w:name="các-thước-đo-hiệu-quả"/>
    <w:p>
      <w:pPr>
        <w:pStyle w:val="Heading3"/>
      </w:pPr>
      <w:r>
        <w:t xml:space="preserve">2.5.1 Các thước đo hiệu quả</w:t>
      </w:r>
    </w:p>
    <w:p>
      <w:pPr>
        <w:pStyle w:val="FirstParagraph"/>
      </w:pPr>
      <w:r>
        <w:t xml:space="preserve">Hệ số Sharpe (Sharpe, 1966) đo lợi nhuận vượt trội trên mỗi đơn vị rủi ro, SR = (r̄_p − r</w:t>
      </w:r>
      <w:r>
        <w:rPr>
          <w:vertAlign w:val="subscript"/>
        </w:rPr>
        <w:t xml:space="preserve">f</w:t>
      </w:r>
      <w:r>
        <w:t xml:space="preserve">)/σ</w:t>
      </w:r>
      <w:r>
        <w:rPr>
          <w:vertAlign w:val="subscript"/>
        </w:rPr>
        <w:t xml:space="preserve">p</w:t>
      </w:r>
      <w:r>
        <w:t xml:space="preserve">, và là thước đo chính để so sánh danh mục có mức rủi ro khác nhau. Với dữ liệu tháng, Sharpe năm hóa bằng Sharpe tháng nhân √12, với giả định lợi nhuận không tự tương quan; Lo (2002) chỉ ra rằng khi lợi nhuận có tự tương quan, hệ số năm hóa này có thể sai lệch đáng kể, và sai số chuẩn của Sharpe ước lượng xấp xỉ √((1 + SR²/2)/T) với T là số quan sát khi lợi nhuận độc lập cùng phân phối.</w:t>
      </w:r>
    </w:p>
    <w:p>
      <w:pPr>
        <w:pStyle w:val="BodyText"/>
      </w:pPr>
      <w:r>
        <w:t xml:space="preserve">Sharpe có hai hạn chế: coi biến động tăng và giảm như nhau, và không phản ánh rủi ro đuôi. Vì vậy luận văn bổ sung các thước đo sau:</w:t>
      </w:r>
    </w:p>
    <w:p>
      <w:pPr>
        <w:numPr>
          <w:ilvl w:val="0"/>
          <w:numId w:val="1006"/>
        </w:numPr>
      </w:pPr>
      <w:r>
        <w:rPr>
          <w:bCs/>
          <w:b/>
        </w:rPr>
        <w:t xml:space="preserve">Mức sụt giảm tối đa (MDD):</w:t>
      </w:r>
      <w:r>
        <w:t xml:space="preserve"> </w:t>
      </w:r>
      <w:r>
        <w:t xml:space="preserve">khoản lỗ lớn nhất từ đỉnh đến đáy của giá trị danh mục, MDD = min_t (W_t/max_{s≤t} W_s − 1), với W là giá trị tích lũy. Đây là con số nhà đầu tư thực sự</w:t>
      </w:r>
      <w:r>
        <w:t xml:space="preserve"> </w:t>
      </w:r>
      <w:r>
        <w:t xml:space="preserve">“</w:t>
      </w:r>
      <w:r>
        <w:t xml:space="preserve">cảm nhận</w:t>
      </w:r>
      <w:r>
        <w:t xml:space="preserve">”</w:t>
      </w:r>
      <w:r>
        <w:t xml:space="preserve"> </w:t>
      </w:r>
      <w:r>
        <w:t xml:space="preserve">trong khủng hoảng.</w:t>
      </w:r>
    </w:p>
    <w:p>
      <w:pPr>
        <w:numPr>
          <w:ilvl w:val="0"/>
          <w:numId w:val="1006"/>
        </w:numPr>
      </w:pPr>
      <w:r>
        <w:rPr>
          <w:bCs/>
          <w:b/>
        </w:rPr>
        <w:t xml:space="preserve">Tỷ số Sortino:</w:t>
      </w:r>
      <w:r>
        <w:t xml:space="preserve"> </w:t>
      </w:r>
      <w:r>
        <w:t xml:space="preserve">như Sharpe nhưng mẫu số chỉ tính độ lệch của các tháng có lợi nhuận vượt trội âm, phản ánh việc nhà đầu tư chủ yếu quan tâm đến biến động giảm.</w:t>
      </w:r>
    </w:p>
    <w:p>
      <w:pPr>
        <w:numPr>
          <w:ilvl w:val="0"/>
          <w:numId w:val="1006"/>
        </w:numPr>
      </w:pPr>
      <w:r>
        <w:rPr>
          <w:bCs/>
          <w:b/>
        </w:rPr>
        <w:t xml:space="preserve">Tỷ số Calmar:</w:t>
      </w:r>
      <w:r>
        <w:t xml:space="preserve"> </w:t>
      </w:r>
      <w:r>
        <w:t xml:space="preserve">lợi nhuận năm hóa chia trị tuyệt đối của MDD, đo lợi nhuận nhận được trên mỗi đơn vị sụt giảm tối đa.</w:t>
      </w:r>
    </w:p>
    <w:p>
      <w:pPr>
        <w:numPr>
          <w:ilvl w:val="0"/>
          <w:numId w:val="1006"/>
        </w:numPr>
      </w:pPr>
      <w:r>
        <w:rPr>
          <w:bCs/>
          <w:b/>
        </w:rPr>
        <w:t xml:space="preserve">VaR và CVaR:</w:t>
      </w:r>
      <w:r>
        <w:t xml:space="preserve"> </w:t>
      </w:r>
      <w:r>
        <w:t xml:space="preserve">VaR 95% là mức lợi nhuận tháng mà chỉ 5% số tháng thấp hơn; CVaR 95% là lợi nhuận trung bình của 5% số tháng xấu nhất, nhạy hơn với đuôi phân phối.</w:t>
      </w:r>
    </w:p>
    <w:p>
      <w:pPr>
        <w:numPr>
          <w:ilvl w:val="0"/>
          <w:numId w:val="1006"/>
        </w:numPr>
      </w:pPr>
      <w:r>
        <w:rPr>
          <w:bCs/>
          <w:b/>
        </w:rPr>
        <w:t xml:space="preserve">Vòng quay danh mục (turnover):</w:t>
      </w:r>
      <w:r>
        <w:t xml:space="preserve"> </w:t>
      </w:r>
      <w:r>
        <w:t xml:space="preserve">tổng giá trị tuyệt đối các thay đổi tỷ trọng mỗi lần tái cân bằng, đo chi phí và công sức thực hiện.</w:t>
      </w:r>
    </w:p>
    <w:p>
      <w:pPr>
        <w:pStyle w:val="FirstParagraph"/>
      </w:pPr>
      <w:r>
        <w:t xml:space="preserve">Với nhà đầu tư cá nhân, MDD và turnover thường quan trọng không kém Sharpe vì quyết định bán tháo thường xảy ra sau một đợt sụt giảm sâu, và chi phí giao dịch, đặc biệt với vàng miếng, ăn mòn đáng kể lợi nhuận của chiến lược xoay vòng nhiều.</w:t>
      </w:r>
    </w:p>
    <w:bookmarkEnd w:id="44"/>
    <w:bookmarkStart w:id="45" w:name="kiểm-định-chênh-lệch-sharpe"/>
    <w:p>
      <w:pPr>
        <w:pStyle w:val="Heading3"/>
      </w:pPr>
      <w:r>
        <w:t xml:space="preserve">2.5.2 Kiểm định chênh lệch Sharpe</w:t>
      </w:r>
    </w:p>
    <w:p>
      <w:pPr>
        <w:pStyle w:val="FirstParagraph"/>
      </w:pPr>
      <w:r>
        <w:t xml:space="preserve">Jobson và Korkie (1981) xây dựng kiểm định đầu tiên cho giả thuyết hai danh mục có cùng Sharpe; Memmel (2003) sửa một sai sót trong công thức phương sai. Thống kê kiểm định dựa trên chênh lệch σ</w:t>
      </w:r>
      <w:r>
        <w:rPr>
          <w:vertAlign w:val="subscript"/>
        </w:rPr>
        <w:t xml:space="preserve">B</w:t>
      </w:r>
      <w:r>
        <w:t xml:space="preserve"> </w:t>
      </w:r>
      <w:r>
        <w:t xml:space="preserve">μ</w:t>
      </w:r>
      <w:r>
        <w:rPr>
          <w:vertAlign w:val="subscript"/>
        </w:rPr>
        <w:t xml:space="preserve">A</w:t>
      </w:r>
      <w:r>
        <w:t xml:space="preserve"> </w:t>
      </w:r>
      <w:r>
        <w:t xml:space="preserve">− σ</w:t>
      </w:r>
      <w:r>
        <w:rPr>
          <w:vertAlign w:val="subscript"/>
        </w:rPr>
        <w:t xml:space="preserve">A</w:t>
      </w:r>
      <w:r>
        <w:t xml:space="preserve"> </w:t>
      </w:r>
      <w:r>
        <w:t xml:space="preserve">μ</w:t>
      </w:r>
      <w:r>
        <w:rPr>
          <w:vertAlign w:val="subscript"/>
        </w:rPr>
        <w:t xml:space="preserve">B</w:t>
      </w:r>
      <w:r>
        <w:t xml:space="preserve"> </w:t>
      </w:r>
      <w:r>
        <w:t xml:space="preserve">chuẩn hóa bằng sai số chuẩn tính theo công thức tiệm cận. Kiểm định này giả định lợi nhuận độc lập và phân phối chuẩn.</w:t>
      </w:r>
    </w:p>
    <w:p>
      <w:pPr>
        <w:pStyle w:val="BodyText"/>
      </w:pPr>
      <w:r>
        <w:t xml:space="preserve">Ledoit và Wolf (2008) cho thấy khi lợi nhuận có đuôi dày hoặc tự tương quan, kiểm định Jobson–Korkie–Memmel có sai số loại I lớn hơn mức danh nghĩa, tức là bác bỏ giả thuyết không quá thường xuyên. Họ đề xuất hai cách thay thế: (i) sai số chuẩn HAC (vững với phương sai thay đổi và tự tương quan) theo phương pháp delta, áp dụng lên véc-tơ bốn mô-men (trung bình và mô-men bậc hai của hai chuỗi lợi nhuận); và (ii) bootstrap khối studentized, trong đó chuỗi lợi nhuận được lấy mẫu lại theo khối để giữ tự tương quan, và thống kê được chuẩn hóa bằng sai số chuẩn tính trên từng mẫu bootstrap. Cách thứ hai cho sai số loại I gần mức danh nghĩa hơn với mẫu nhỏ, nên được dùng làm kiểm định chính của luận văn.</w:t>
      </w:r>
    </w:p>
    <w:bookmarkEnd w:id="45"/>
    <w:bookmarkStart w:id="46" w:name="X607247257de0627aaea5908c8bd4d98f4fb09f1"/>
    <w:p>
      <w:pPr>
        <w:pStyle w:val="Heading3"/>
      </w:pPr>
      <w:r>
        <w:t xml:space="preserve">2.5.3 Kiểm định bội, độ mạnh và thiên lệch chọn lọc</w:t>
      </w:r>
    </w:p>
    <w:p>
      <w:pPr>
        <w:pStyle w:val="FirstParagraph"/>
      </w:pPr>
      <w:r>
        <w:t xml:space="preserve">Khi so sánh nhiều cặp cùng lúc, xác suất có ít nhất một kết quả</w:t>
      </w:r>
      <w:r>
        <w:t xml:space="preserve"> </w:t>
      </w:r>
      <w:r>
        <w:t xml:space="preserve">“</w:t>
      </w:r>
      <w:r>
        <w:t xml:space="preserve">có ý nghĩa</w:t>
      </w:r>
      <w:r>
        <w:t xml:space="preserve">”</w:t>
      </w:r>
      <w:r>
        <w:t xml:space="preserve"> </w:t>
      </w:r>
      <w:r>
        <w:t xml:space="preserve">do ngẫu nhiên tăng nhanh theo số cặp: với 10 cặp độc lập ở mức 10%, xác suất này là 1 − 0,9¹⁰ ≈ 65%. Harvey, Liu và Zhu (2016) cho rằng vấn đề kiểm định bội khiến nhiều phát hiện trong tài chính thực nghiệm là dương tính giả, và đề nghị nâng ngưỡng ý nghĩa. Thủ tục Holm (1979) kiểm soát xác suất sai lầm tổng thể (FWER) nhưng ít bảo thủ hơn Bonferroni: sắp giá trị p tăng dần và so p thứ j với α/(m − j + 1), dừng lại ở cặp đầu tiên không bác bỏ được.</w:t>
      </w:r>
    </w:p>
    <w:p>
      <w:pPr>
        <w:pStyle w:val="BodyText"/>
      </w:pPr>
      <w:r>
        <w:t xml:space="preserve">Một vấn đề ít được chú ý là</w:t>
      </w:r>
      <w:r>
        <w:t xml:space="preserve"> </w:t>
      </w:r>
      <w:r>
        <w:rPr>
          <w:bCs/>
          <w:b/>
        </w:rPr>
        <w:t xml:space="preserve">độ mạnh</w:t>
      </w:r>
      <w:r>
        <w:t xml:space="preserve">. Theo công thức của Lo (2002), sai số chuẩn của Sharpe năm hóa xấp xỉ √(12/T) ≈ 0,34 với T = 102 tháng, nên chênh lệch Sharpe giữa hai chiến lược phải rất lớn mới phát hiện được. Khi hai chiến lược tương quan cao, sai số chuẩn của chênh lệch nhỏ hơn đáng kể, nhưng vẫn ở mức vài phần mười. Không bác bỏ giả thuyết không trong trường hợp này không đồng nghĩa với hai chiến lược như nhau; cần báo cáo kèm chênh lệch tối thiểu phát hiện được, tức chênh lệch mà kiểm định có xác suất 80% phát hiện ở mức ý nghĩa đã chọn.</w:t>
      </w:r>
    </w:p>
    <w:p>
      <w:pPr>
        <w:pStyle w:val="BodyText"/>
      </w:pPr>
      <w:r>
        <w:t xml:space="preserve">Cuối cùng, khi nhà nghiên cứu thử nhiều cấu hình và chỉ báo cáo cấu hình tốt nhất, Sharpe quan sát được bị thổi phồng. Bailey và López de Prado (2014) đề xuất Deflated Sharpe Ratio: xác suất Sharpe thực lớn hơn mức Sharpe kỳ vọng cao nhất trong N thử nghiệm ngẫu nhiên, có điều chỉnh cho độ lệch γ₃ và độ nhọn γ₄ của lợi nhuận:</w:t>
      </w:r>
    </w:p>
    <w:p>
      <w:pPr>
        <w:pStyle w:val="BodyText"/>
      </w:pPr>
      <m:oMathPara>
        <m:oMathParaPr>
          <m:jc m:val="center"/>
        </m:oMathParaPr>
        <m:oMath>
          <m:r>
            <m:t>D</m:t>
          </m:r>
          <m:r>
            <m:t>S</m:t>
          </m:r>
          <m:r>
            <m:t>R</m:t>
          </m:r>
          <m:r>
            <m:rPr>
              <m:sty m:val="p"/>
            </m:rPr>
            <m:t>=</m:t>
          </m:r>
          <m:r>
            <m:t>Φ</m:t>
          </m:r>
          <m:r>
            <m:t>​</m:t>
          </m:r>
          <m:d>
            <m:dPr>
              <m:begChr m:val="("/>
              <m:endChr m:val=")"/>
              <m:sepChr m:val=""/>
              <m:grow/>
            </m:dPr>
            <m:e>
              <m:f>
                <m:fPr>
                  <m:type m:val="bar"/>
                </m:fPr>
                <m:num>
                  <m:d>
                    <m:dPr>
                      <m:begChr m:val="("/>
                      <m:endChr m:val=")"/>
                      <m:sepChr m:val=""/>
                      <m:grow/>
                    </m:dPr>
                    <m:e>
                      <m:acc>
                        <m:accPr>
                          <m:chr m:val="̂"/>
                        </m:accPr>
                        <m:e>
                          <m:r>
                            <m:t>S</m:t>
                          </m:r>
                          <m:r>
                            <m:t>R</m:t>
                          </m:r>
                        </m:e>
                      </m:acc>
                      <m:r>
                        <m:rPr>
                          <m:sty m:val="p"/>
                        </m:rPr>
                        <m:t>−</m:t>
                      </m:r>
                      <m:r>
                        <m:t>S</m:t>
                      </m:r>
                      <m:sSub>
                        <m:e>
                          <m:r>
                            <m:t>R</m:t>
                          </m:r>
                        </m:e>
                        <m:sub>
                          <m:r>
                            <m:t>0</m:t>
                          </m:r>
                        </m:sub>
                      </m:sSub>
                    </m:e>
                  </m:d>
                  <m:rad>
                    <m:radPr>
                      <m:degHide m:val="on"/>
                    </m:radPr>
                    <m:deg/>
                    <m:e>
                      <m:r>
                        <m:t>T</m:t>
                      </m:r>
                      <m:r>
                        <m:rPr>
                          <m:sty m:val="p"/>
                        </m:rPr>
                        <m:t>−</m:t>
                      </m:r>
                      <m:r>
                        <m:t>1</m:t>
                      </m:r>
                    </m:e>
                  </m:rad>
                </m:num>
                <m:den>
                  <m:rad>
                    <m:radPr>
                      <m:degHide m:val="on"/>
                    </m:radPr>
                    <m:deg/>
                    <m:e>
                      <m:r>
                        <m:t>1</m:t>
                      </m:r>
                      <m:r>
                        <m:rPr>
                          <m:sty m:val="p"/>
                        </m:rPr>
                        <m:t>−</m:t>
                      </m:r>
                      <m:sSub>
                        <m:e>
                          <m:r>
                            <m:t>γ</m:t>
                          </m:r>
                        </m:e>
                        <m:sub>
                          <m:r>
                            <m:t>3</m:t>
                          </m:r>
                        </m:sub>
                      </m:sSub>
                      <m:acc>
                        <m:accPr>
                          <m:chr m:val="̂"/>
                        </m:accPr>
                        <m:e>
                          <m:r>
                            <m:t>S</m:t>
                          </m:r>
                          <m:r>
                            <m:t>R</m:t>
                          </m:r>
                        </m:e>
                      </m:acc>
                      <m:r>
                        <m:rPr>
                          <m:sty m:val="p"/>
                        </m:rPr>
                        <m:t>+</m:t>
                      </m:r>
                      <m:f>
                        <m:fPr>
                          <m:type m:val="bar"/>
                        </m:fPr>
                        <m:num>
                          <m:sSub>
                            <m:e>
                              <m:r>
                                <m:t>γ</m:t>
                              </m:r>
                            </m:e>
                            <m:sub>
                              <m:r>
                                <m:t>4</m:t>
                              </m:r>
                            </m:sub>
                          </m:sSub>
                          <m:r>
                            <m:rPr>
                              <m:sty m:val="p"/>
                            </m:rPr>
                            <m:t>−</m:t>
                          </m:r>
                          <m:r>
                            <m:t>1</m:t>
                          </m:r>
                        </m:num>
                        <m:den>
                          <m:r>
                            <m:t>4</m:t>
                          </m:r>
                        </m:den>
                      </m:f>
                      <m:sSup>
                        <m:e>
                          <m:acc>
                            <m:accPr>
                              <m:chr m:val="̂"/>
                            </m:accPr>
                            <m:e>
                              <m:r>
                                <m:t>S</m:t>
                              </m:r>
                              <m:r>
                                <m:t>R</m:t>
                              </m:r>
                            </m:e>
                          </m:acc>
                        </m:e>
                        <m:sup>
                          <m:r>
                            <m:t>2</m:t>
                          </m:r>
                        </m:sup>
                      </m:sSup>
                    </m:e>
                  </m:rad>
                </m:den>
              </m:f>
            </m:e>
          </m:d>
        </m:oMath>
      </m:oMathPara>
    </w:p>
    <w:p>
      <w:pPr>
        <w:pStyle w:val="FirstParagraph"/>
      </w:pPr>
      <w:r>
        <w:t xml:space="preserve">trong đó SR₀ là Sharpe kỳ vọng cao nhất trong N thử nghiệm khi không phương pháp nào có kỹ năng, tăng theo √(2 ln N). DSR gần 1 nghĩa là Sharpe quan sát được khó có thể chỉ do chọn lọc; DSR quanh 0,5 hoặc thấp hơn nghĩa là không thể loại trừ yếu tố may mắn.</w:t>
      </w:r>
    </w:p>
    <w:p>
      <w:pPr>
        <w:pStyle w:val="BodyText"/>
      </w:pPr>
      <w:r>
        <w:t xml:space="preserve">Để đánh giá tính ổn định của thứ hạng ngoài một lịch sử duy nhất, stationary bootstrap (Politis và Romano, 1994) tạo các chuỗi mô phỏng bằng cách ghép các khối có độ dài ngẫu nhiên theo phân phối hình học, giữ được tự tương quan ngắn hạn và tính dừng của chuỗi. Chạy lại các phương pháp trên nhiều lịch sử mô phỏng cho biết một phương pháp thắng trên lịch sử thực có thường xuyên thắng hay không.</w:t>
      </w:r>
    </w:p>
    <w:bookmarkEnd w:id="46"/>
    <w:bookmarkEnd w:id="47"/>
    <w:bookmarkStart w:id="50" w:name="tổng-quan-nghiên-cứu-thực-nghiệm"/>
    <w:p>
      <w:pPr>
        <w:pStyle w:val="Heading2"/>
      </w:pPr>
      <w:r>
        <w:t xml:space="preserve">2.6 Tổng quan nghiên cứu thực nghiệm</w:t>
      </w:r>
    </w:p>
    <w:bookmarkStart w:id="48" w:name="nghiên-cứu-trên-thế-giới"/>
    <w:p>
      <w:pPr>
        <w:pStyle w:val="Heading3"/>
      </w:pPr>
      <w:r>
        <w:t xml:space="preserve">2.6.1 Nghiên cứu trên thế giới</w:t>
      </w:r>
    </w:p>
    <w:p>
      <w:pPr>
        <w:pStyle w:val="FirstParagraph"/>
      </w:pPr>
      <w:r>
        <w:t xml:space="preserve">Các nghiên cứu quốc tế hội tụ về ba kết luận. Thứ nhất, sai số ước lượng làm tối ưu Markowitz kém ngoài mẫu (Michaud, 1989; Chopra và Ziemba, 1993), và phân bổ đều là mốc so sánh khó vượt (DeMiguel, Garlappi và Uppal, 2009). Thứ hai, các cải tiến hiệu quả nhất đều làm giảm sự phụ thuộc vào ước lượng lợi nhuận: co ngót (Jorion, 1986; Ledoit và Wolf, 2004), phân bổ theo rủi ro (Maillard, Roncalli và Teïletche, 2010; López de Prado, 2016) hoặc neo vào điểm cân bằng (Black và Litterman, 1992). Thứ ba, dự báo lợi nhuận ngoài mẫu rất khó (Welch và Goyal, 2008), nhưng học máy có thể tạo ra R²</w:t>
      </w:r>
      <w:r>
        <w:rPr>
          <w:vertAlign w:val="subscript"/>
        </w:rPr>
        <w:t xml:space="preserve">OS</w:t>
      </w:r>
      <w:r>
        <w:t xml:space="preserve"> </w:t>
      </w:r>
      <w:r>
        <w:t xml:space="preserve">nhỏ mà vẫn có giá trị kinh tế khi có mẫu lớn (Campbell và Thompson, 2008; Gu, Kelly và Xiu, 2020).</w:t>
      </w:r>
    </w:p>
    <w:p>
      <w:pPr>
        <w:pStyle w:val="BodyText"/>
      </w:pPr>
      <w:r>
        <w:t xml:space="preserve">Về vai trò của phân bổ tài sản, Brinson, Hood và Beebower (1986) cho thấy chính sách phân bổ giải thích phần lớn biến động lợi nhuận theo thời gian của các quỹ hưu trí. Về vai trò của vàng, Baur và Lucey (2010) phân biệt tài sản phòng ngừa (tương quan trung bình âm hoặc bằng 0 với cổ phiếu) và tài sản trú ẩn (tương quan âm hoặc bằng 0 trong giai đoạn thị trường cổ phiếu sụt giảm mạnh), và thấy vàng là tài sản trú ẩn ngắn hạn cho cổ phiếu ở Mỹ, Anh và Đức. Về Risk Parity, Asness, Frazzini và Pedersen (2012) giải thích lợi thế lịch sử của phương pháp bằng hiện tượng ngại đòn bẩy.</w:t>
      </w:r>
    </w:p>
    <w:p>
      <w:pPr>
        <w:pStyle w:val="BodyText"/>
      </w:pPr>
      <w:r>
        <w:t xml:space="preserve">Bên cạnh đó, các tín hiệu động lượng chuỗi thời gian (Moskowitz, Ooi và Pedersen, 2012), điều chỉnh theo biến động (Moreira và Muir, 2017) và biến chu kỳ kinh tế như chênh lệch kỳ hạn (Fama và French, 1989) là cơ sở lý thuyết cho các biến đầu vào của mô hình dự báo. Moskowitz, Ooi và Pedersen (2012) ghi nhận lợi nhuận quá khứ 1–12 tháng của một tài sản dự báo dương lợi nhuận tháng tới của chính nó trên 58 hợp đồng tương lai thuộc nhiều lớp tài sản. Moreira và Muir (2017) cho thấy giảm tỷ trọng khi biến động cao làm tăng Sharpe, ngụ ý biến động cao đi kèm lợi nhuận điều chỉnh rủi ro thấp. Fama và French (1989) thấy chênh lệch kỳ hạn cao đi kèm phần bù rủi ro kỳ vọng cao của cả cổ phiếu và trái phiếu.</w:t>
      </w:r>
    </w:p>
    <w:bookmarkEnd w:id="48"/>
    <w:bookmarkStart w:id="49" w:name="nghiên-cứu-tại-việt-nam"/>
    <w:p>
      <w:pPr>
        <w:pStyle w:val="Heading3"/>
      </w:pPr>
      <w:r>
        <w:t xml:space="preserve">2.6.2 Nghiên cứu tại Việt Nam</w:t>
      </w:r>
    </w:p>
    <w:p>
      <w:pPr>
        <w:pStyle w:val="TableCaption"/>
      </w:pPr>
      <w:r>
        <w:t xml:space="preserve">Bảng 2.1. Một số nghiên cứu thực nghiệm liên quan tại Việt Nam</w:t>
      </w:r>
    </w:p>
    <w:tbl>
      <w:tblPr>
        <w:tblStyle w:val="Table"/>
        <w:tblW w:type="pct" w:w="5000"/>
        <w:jc w:val="center"/>
        <w:tblLook w:firstRow="1" w:lastRow="0" w:firstColumn="0" w:lastColumn="0" w:noHBand="0" w:noVBand="0" w:val="0020"/>
        <w:tblCaption w:val="Bảng 2.1. Một số nghiên cứu thực nghiệm liên quan tại Việt Nam"/>
      </w:tblPr>
      <w:tblGrid>
        <w:gridCol w:w="1980"/>
        <w:gridCol w:w="1658"/>
        <w:gridCol w:w="2140"/>
        <w:gridCol w:w="2140"/>
      </w:tblGrid>
      <w:tr>
        <w:trPr>
          <w:tblHeader w:val="true"/>
        </w:trPr>
        <w:tc>
          <w:tcPr/>
          <w:p>
            <w:pPr>
              <w:pStyle w:val="Compact"/>
              <w:jc w:val="center"/>
            </w:pPr>
            <w:r>
              <w:rPr>
                <w:b/>
              </w:rPr>
              <w:t xml:space="preserve">Nghiên cứu</w:t>
            </w:r>
          </w:p>
        </w:tc>
        <w:tc>
          <w:tcPr/>
          <w:p>
            <w:pPr>
              <w:pStyle w:val="Compact"/>
              <w:jc w:val="center"/>
            </w:pPr>
            <w:r>
              <w:rPr>
                <w:b/>
              </w:rPr>
              <w:t xml:space="preserve">Dữ liệu</w:t>
            </w:r>
          </w:p>
        </w:tc>
        <w:tc>
          <w:tcPr/>
          <w:p>
            <w:pPr>
              <w:pStyle w:val="Compact"/>
              <w:jc w:val="center"/>
            </w:pPr>
            <w:r>
              <w:rPr>
                <w:b/>
              </w:rPr>
              <w:t xml:space="preserve">Phương pháp</w:t>
            </w:r>
          </w:p>
        </w:tc>
        <w:tc>
          <w:tcPr/>
          <w:p>
            <w:pPr>
              <w:pStyle w:val="Compact"/>
              <w:jc w:val="center"/>
            </w:pPr>
            <w:r>
              <w:rPr>
                <w:b/>
              </w:rPr>
              <w:t xml:space="preserve">Kết quả chính</w:t>
            </w:r>
          </w:p>
        </w:tc>
      </w:tr>
      <w:tr>
        <w:trPr>
          <w:cantSplit/>
        </w:trPr>
        <w:tc>
          <w:tcPr/>
          <w:p>
            <w:pPr>
              <w:pStyle w:val="Compact"/>
              <w:jc w:val="left"/>
            </w:pPr>
            <w:r>
              <w:t xml:space="preserve">Le và Nguyen (2017)</w:t>
            </w:r>
          </w:p>
        </w:tc>
        <w:tc>
          <w:tcPr/>
          <w:p>
            <w:pPr>
              <w:pStyle w:val="Compact"/>
              <w:jc w:val="left"/>
            </w:pPr>
            <w:r>
              <w:t xml:space="preserve">Vàng, cổ phiếu, tỷ giá VND/USD</w:t>
            </w:r>
          </w:p>
        </w:tc>
        <w:tc>
          <w:tcPr/>
          <w:p>
            <w:pPr>
              <w:pStyle w:val="Compact"/>
              <w:jc w:val="left"/>
            </w:pPr>
            <w:r>
              <w:t xml:space="preserve">Kiểm định vai trò trú ẩn</w:t>
            </w:r>
          </w:p>
        </w:tc>
        <w:tc>
          <w:tcPr/>
          <w:p>
            <w:pPr>
              <w:pStyle w:val="Compact"/>
              <w:jc w:val="left"/>
            </w:pPr>
            <w:r>
              <w:t xml:space="preserve">Vàng là tài sản trú ẩn mạnh với cổ phiếu và tỷ giá khi biến động ở mức trung bình, có thể dùng phòng ngừa rủi ro danh mục</w:t>
            </w:r>
          </w:p>
        </w:tc>
      </w:tr>
      <w:tr>
        <w:trPr>
          <w:cantSplit/>
        </w:trPr>
        <w:tc>
          <w:tcPr/>
          <w:p>
            <w:pPr>
              <w:pStyle w:val="Compact"/>
              <w:jc w:val="left"/>
            </w:pPr>
            <w:r>
              <w:t xml:space="preserve">Le và Dao (2021)</w:t>
            </w:r>
          </w:p>
        </w:tc>
        <w:tc>
          <w:tcPr/>
          <w:p>
            <w:pPr>
              <w:pStyle w:val="Compact"/>
              <w:jc w:val="left"/>
            </w:pPr>
            <w:r>
              <w:t xml:space="preserve">Cổ phiếu HOSE</w:t>
            </w:r>
          </w:p>
        </w:tc>
        <w:tc>
          <w:tcPr/>
          <w:p>
            <w:pPr>
              <w:pStyle w:val="Compact"/>
              <w:jc w:val="left"/>
            </w:pPr>
            <w:r>
              <w:t xml:space="preserve">Trung bình–CVaR mô phỏng copula so với trung bình–phương sai</w:t>
            </w:r>
          </w:p>
        </w:tc>
        <w:tc>
          <w:tcPr/>
          <w:p>
            <w:pPr>
              <w:pStyle w:val="Compact"/>
              <w:jc w:val="left"/>
            </w:pPr>
            <w:r>
              <w:t xml:space="preserve">Danh mục trung bình–CVaR copula tốt hơn ở cả mười mức rủi ro</w:t>
            </w:r>
          </w:p>
        </w:tc>
      </w:tr>
      <w:tr>
        <w:trPr>
          <w:cantSplit/>
        </w:trPr>
        <w:tc>
          <w:tcPr/>
          <w:p>
            <w:pPr>
              <w:pStyle w:val="Compact"/>
              <w:jc w:val="left"/>
            </w:pPr>
            <w:r>
              <w:t xml:space="preserve">Nguyễn Minh Nhật và Phạm Thị Thu Hường (2024)</w:t>
            </w:r>
          </w:p>
        </w:tc>
        <w:tc>
          <w:tcPr/>
          <w:p>
            <w:pPr>
              <w:pStyle w:val="Compact"/>
              <w:jc w:val="left"/>
            </w:pPr>
            <w:r>
              <w:t xml:space="preserve">Cổ phiếu Việt Nam</w:t>
            </w:r>
          </w:p>
        </w:tc>
        <w:tc>
          <w:tcPr/>
          <w:p>
            <w:pPr>
              <w:pStyle w:val="Compact"/>
              <w:jc w:val="left"/>
            </w:pPr>
            <w:r>
              <w:t xml:space="preserve">Các ước lượng hiệp phương sai co ngót</w:t>
            </w:r>
          </w:p>
        </w:tc>
        <w:tc>
          <w:tcPr/>
          <w:p>
            <w:pPr>
              <w:pStyle w:val="Compact"/>
              <w:jc w:val="left"/>
            </w:pPr>
            <w:r>
              <w:t xml:space="preserve">Kết hợp ½ ma trận mẫu với ½ ma trận chéo cho Sharpe cao nhất</w:t>
            </w:r>
          </w:p>
        </w:tc>
      </w:tr>
      <w:tr>
        <w:trPr>
          <w:cantSplit/>
        </w:trPr>
        <w:tc>
          <w:tcPr/>
          <w:p>
            <w:pPr>
              <w:pStyle w:val="Compact"/>
              <w:jc w:val="left"/>
            </w:pPr>
            <w:r>
              <w:t xml:space="preserve">Lê Thị Anh Quyên và cộng sự (2024)</w:t>
            </w:r>
          </w:p>
        </w:tc>
        <w:tc>
          <w:tcPr/>
          <w:p>
            <w:pPr>
              <w:pStyle w:val="Compact"/>
              <w:jc w:val="left"/>
            </w:pPr>
            <w:r>
              <w:t xml:space="preserve">Cổ phiếu Việt Nam, 2019–2023</w:t>
            </w:r>
          </w:p>
        </w:tc>
        <w:tc>
          <w:tcPr/>
          <w:p>
            <w:pPr>
              <w:pStyle w:val="Compact"/>
              <w:jc w:val="left"/>
            </w:pPr>
            <w:r>
              <w:t xml:space="preserve">Co ngót phi tuyến so với tuyến tính</w:t>
            </w:r>
          </w:p>
        </w:tc>
        <w:tc>
          <w:tcPr/>
          <w:p>
            <w:pPr>
              <w:pStyle w:val="Compact"/>
              <w:jc w:val="left"/>
            </w:pPr>
            <w:r>
              <w:t xml:space="preserve">Co ngót phi tuyến tốt hơn về biến động, Sharpe, Omega, Sortino</w:t>
            </w:r>
          </w:p>
        </w:tc>
      </w:tr>
      <w:tr>
        <w:trPr>
          <w:cantSplit/>
        </w:trPr>
        <w:tc>
          <w:tcPr/>
          <w:p>
            <w:pPr>
              <w:pStyle w:val="Compact"/>
              <w:jc w:val="left"/>
            </w:pPr>
            <w:r>
              <w:t xml:space="preserve">Thanh Nhon và cộng sự (2025)</w:t>
            </w:r>
          </w:p>
        </w:tc>
        <w:tc>
          <w:tcPr/>
          <w:p>
            <w:pPr>
              <w:pStyle w:val="Compact"/>
              <w:jc w:val="left"/>
            </w:pPr>
            <w:r>
              <w:t xml:space="preserve">26 doanh nghiệp bất động sản niêm yết</w:t>
            </w:r>
          </w:p>
        </w:tc>
        <w:tc>
          <w:tcPr/>
          <w:p>
            <w:pPr>
              <w:pStyle w:val="Compact"/>
              <w:jc w:val="left"/>
            </w:pPr>
            <w:r>
              <w:t xml:space="preserve">Học máy kết hợp DEA</w:t>
            </w:r>
          </w:p>
        </w:tc>
        <w:tc>
          <w:tcPr/>
          <w:p>
            <w:pPr>
              <w:pStyle w:val="Compact"/>
              <w:jc w:val="left"/>
            </w:pPr>
            <w:r>
              <w:t xml:space="preserve">Thêm điểm hiệu quả DEA cải thiện dự báo; cây tăng cường gradient tốt nhất</w:t>
            </w:r>
          </w:p>
        </w:tc>
      </w:tr>
    </w:tbl>
    <w:p>
      <w:pPr>
        <w:pStyle w:val="BodyText"/>
        <w:spacing w:before="200"/>
      </w:pPr>
      <w:r>
        <w:t xml:space="preserve">Các nghiên cứu trong nước cho thấy ba điểm. Thứ nhất, co ngót hiệp phương sai cải thiện danh mục cổ phiếu Việt Nam, phù hợp với bằng chứng quốc tế; điều này ủng hộ việc dùng ước lượng co ngót trong luận văn. Thứ hai, vàng có vai trò phòng ngừa với cổ phiếu trong nước, gợi ý lợi ích của việc đưa vàng vào danh mục; tuy vậy các nghiên cứu này dừng ở kiểm định quan hệ giữa các chuỗi giá, chưa đánh giá danh mục đa tài sản cụ thể sau chi phí giao dịch. Thứ ba, học máy đã được dùng để dự báo lợi nhuận cổ phiếu riêng lẻ, nhưng chủ yếu đánh giá bằng độ chính xác dự báo chứ chưa gắn với quyết định phân bổ danh mục và chưa so với dự báo chuẩn là trung bình lịch sử theo cách của Campbell và Thompson (2008).</w:t>
      </w:r>
    </w:p>
    <w:bookmarkEnd w:id="49"/>
    <w:bookmarkEnd w:id="50"/>
    <w:bookmarkStart w:id="51" w:name="X25af5fea7983331855a5ee0b7f4d58501486ddf"/>
    <w:p>
      <w:pPr>
        <w:pStyle w:val="Heading2"/>
      </w:pPr>
      <w:r>
        <w:t xml:space="preserve">2.7 Khoảng trống nghiên cứu và khung phân tích</w:t>
      </w:r>
    </w:p>
    <w:p>
      <w:pPr>
        <w:pStyle w:val="FirstParagraph"/>
      </w:pPr>
      <w:r>
        <w:t xml:space="preserve">Từ tổng quan trên, luận văn xác định bốn khoảng trống và cách tiếp cận tương ứng:</w:t>
      </w:r>
    </w:p>
    <w:p>
      <w:pPr>
        <w:pStyle w:val="TableCaption"/>
      </w:pPr>
      <w:r>
        <w:t xml:space="preserve">Bảng 2.2. Khoảng trống nghiên cứu và cách luận văn tiếp cận</w:t>
      </w:r>
    </w:p>
    <w:tbl>
      <w:tblPr>
        <w:tblStyle w:val="Table"/>
        <w:tblW w:type="pct" w:w="5000"/>
        <w:jc w:val="center"/>
        <w:tblLook w:firstRow="1" w:lastRow="0" w:firstColumn="0" w:lastColumn="0" w:noHBand="0" w:noVBand="0" w:val="0020"/>
        <w:tblCaption w:val="Bảng 2.2. Khoảng trống nghiên cứu và cách luận văn tiếp cận"/>
      </w:tblPr>
      <w:tblGrid>
        <w:gridCol w:w="3481"/>
        <w:gridCol w:w="3481"/>
        <w:gridCol w:w="957"/>
      </w:tblGrid>
      <w:tr>
        <w:trPr>
          <w:tblHeader w:val="true"/>
        </w:trPr>
        <w:tc>
          <w:tcPr/>
          <w:p>
            <w:pPr>
              <w:pStyle w:val="Compact"/>
              <w:jc w:val="center"/>
            </w:pPr>
            <w:r>
              <w:rPr>
                <w:b/>
              </w:rPr>
              <w:t xml:space="preserve">Khoảng trống</w:t>
            </w:r>
          </w:p>
        </w:tc>
        <w:tc>
          <w:tcPr/>
          <w:p>
            <w:pPr>
              <w:pStyle w:val="Compact"/>
              <w:jc w:val="center"/>
            </w:pPr>
            <w:r>
              <w:rPr>
                <w:b/>
              </w:rPr>
              <w:t xml:space="preserve">Cách tiếp cận của luận văn</w:t>
            </w:r>
          </w:p>
        </w:tc>
        <w:tc>
          <w:tcPr/>
          <w:p>
            <w:pPr>
              <w:pStyle w:val="Compact"/>
              <w:jc w:val="center"/>
            </w:pPr>
            <w:r>
              <w:rPr>
                <w:b/>
              </w:rPr>
              <w:t xml:space="preserve">Giả thuyết</w:t>
            </w:r>
          </w:p>
        </w:tc>
      </w:tr>
      <w:tr>
        <w:trPr>
          <w:cantSplit/>
        </w:trPr>
        <w:tc>
          <w:tcPr/>
          <w:p>
            <w:pPr>
              <w:pStyle w:val="Compact"/>
              <w:jc w:val="left"/>
            </w:pPr>
            <w:r>
              <w:t xml:space="preserve">Nghiên cứu trong nước chủ yếu tối ưu danh mục cổ phiếu, chưa xét đồng thời các lớp tài sản nhà đầu tư cá nhân nắm giữ</w:t>
            </w:r>
          </w:p>
        </w:tc>
        <w:tc>
          <w:tcPr/>
          <w:p>
            <w:pPr>
              <w:pStyle w:val="Compact"/>
              <w:jc w:val="left"/>
            </w:pPr>
            <w:r>
              <w:t xml:space="preserve">Danh mục 5 lớp: cổ phiếu, cổ phiếu BĐS, vàng SJC, trái phiếu, tiền gửi; so với danh mục cổ phiếu–trái phiếu</w:t>
            </w:r>
          </w:p>
        </w:tc>
        <w:tc>
          <w:tcPr/>
          <w:p>
            <w:pPr>
              <w:pStyle w:val="Compact"/>
              <w:jc w:val="left"/>
            </w:pPr>
            <w:r>
              <w:t xml:space="preserve">H3</w:t>
            </w:r>
          </w:p>
        </w:tc>
      </w:tr>
      <w:tr>
        <w:trPr>
          <w:cantSplit/>
        </w:trPr>
        <w:tc>
          <w:tcPr/>
          <w:p>
            <w:pPr>
              <w:pStyle w:val="Compact"/>
              <w:jc w:val="left"/>
            </w:pPr>
            <w:r>
              <w:t xml:space="preserve">Chưa có so sánh có kiểm định giữa phân bổ đều, phương pháp tối ưu và phương pháp theo rủi ro trong bối cảnh đa tài sản Việt Nam</w:t>
            </w:r>
          </w:p>
        </w:tc>
        <w:tc>
          <w:tcPr/>
          <w:p>
            <w:pPr>
              <w:pStyle w:val="Compact"/>
              <w:jc w:val="left"/>
            </w:pPr>
            <w:r>
              <w:t xml:space="preserve">Bảy phương pháp trên cùng khung ước lượng, ràng buộc và chi phí; kiểm định Ledoit–Wolf, Holm, báo cáo độ mạnh</w:t>
            </w:r>
          </w:p>
        </w:tc>
        <w:tc>
          <w:tcPr/>
          <w:p>
            <w:pPr>
              <w:pStyle w:val="Compact"/>
              <w:jc w:val="left"/>
            </w:pPr>
            <w:r>
              <w:t xml:space="preserve">H1</w:t>
            </w:r>
          </w:p>
        </w:tc>
      </w:tr>
      <w:tr>
        <w:trPr>
          <w:cantSplit/>
        </w:trPr>
        <w:tc>
          <w:tcPr/>
          <w:p>
            <w:pPr>
              <w:pStyle w:val="Compact"/>
              <w:jc w:val="left"/>
            </w:pPr>
            <w:r>
              <w:t xml:space="preserve">Học máy được đánh giá bằng độ chính xác dự báo, chưa gắn với quyết định phân bổ và chưa kiểm tra kỹ năng ngoài mẫu trước khi dùng</w:t>
            </w:r>
          </w:p>
        </w:tc>
        <w:tc>
          <w:tcPr/>
          <w:p>
            <w:pPr>
              <w:pStyle w:val="Compact"/>
              <w:jc w:val="left"/>
            </w:pPr>
            <w:r>
              <w:t xml:space="preserve">Dự báo ngoài mẫu đưa vào Black–Litterman chỉ khi có kỹ năng, mức tin cậy theo kỹ năng; so với dùng trực tiếp (MLP_MVO)</w:t>
            </w:r>
          </w:p>
        </w:tc>
        <w:tc>
          <w:tcPr/>
          <w:p>
            <w:pPr>
              <w:pStyle w:val="Compact"/>
              <w:jc w:val="left"/>
            </w:pPr>
            <w:r>
              <w:t xml:space="preserve">H2</w:t>
            </w:r>
          </w:p>
        </w:tc>
      </w:tr>
      <w:tr>
        <w:trPr>
          <w:cantSplit/>
        </w:trPr>
        <w:tc>
          <w:tcPr/>
          <w:p>
            <w:pPr>
              <w:pStyle w:val="Compact"/>
              <w:jc w:val="left"/>
            </w:pPr>
            <w:r>
              <w:t xml:space="preserve">Thiếu dữ liệu chuẩn hóa cho vàng SJC, lãi suất theo kỳ hạn và trái phiếu có thể đầu tư; kết quả ít được chuyển thành công cụ</w:t>
            </w:r>
          </w:p>
        </w:tc>
        <w:tc>
          <w:tcPr/>
          <w:p>
            <w:pPr>
              <w:pStyle w:val="Compact"/>
              <w:jc w:val="left"/>
            </w:pPr>
            <w:r>
              <w:t xml:space="preserve">Dựng dữ liệu point-in-time có kiểm chứng; xây dựng ứng dụng tư vấn PortfolioVN</w:t>
            </w:r>
          </w:p>
        </w:tc>
        <w:tc>
          <w:tcPr/>
          <w:p>
            <w:pPr>
              <w:pStyle w:val="Compact"/>
              <w:jc w:val="left"/>
            </w:pPr>
            <w:r>
              <w:t xml:space="preserve">–</w:t>
            </w:r>
          </w:p>
        </w:tc>
      </w:tr>
    </w:tbl>
    <w:p>
      <w:pPr>
        <w:pStyle w:val="BodyText"/>
        <w:spacing w:before="200"/>
      </w:pPr>
      <w:r>
        <w:rPr>
          <w:bCs/>
          <w:b/>
        </w:rPr>
        <w:t xml:space="preserve">Khung phân tích.</w:t>
      </w:r>
      <w:r>
        <w:t xml:space="preserve"> </w:t>
      </w:r>
      <w:r>
        <w:t xml:space="preserve">Nghiên cứu đi theo bốn tầng nối tiếp (Hình 3.1). Tầng dữ liệu cung cấp lợi nhuận tháng của 5 lớp và các biến kinh tế, chỉ dùng thông tin có sẵn tại thời điểm quyết định. Tầng ước lượng và dự báo tạo ra hiệp phương sai (EWMA, Ledoit–Wolf, Geltner) và lợi nhuận kỳ vọng (Bayes–Stein hoặc học máy). Tầng phân bổ chuyển các đầu vào này thành tỷ trọng theo bảy phương pháp, trong ràng buộc của khẩu vị rủi ro và khung thời gian. Tầng đánh giá đo hiệu quả qua backtest walk-forward, kiểm định H1–H3 và phân tích độ vững; kết quả cuối cùng được đưa vào ứng dụng tư vấn. Chi tiết từng tầng ở Chương 3.</w:t>
      </w:r>
    </w:p>
    <w:bookmarkEnd w:id="51"/>
    <w:bookmarkStart w:id="52" w:name="tóm-tắt-chương"/>
    <w:p>
      <w:pPr>
        <w:pStyle w:val="Heading2"/>
      </w:pPr>
      <w:r>
        <w:t xml:space="preserve">2.8 Tóm tắt chương</w:t>
      </w:r>
    </w:p>
    <w:p>
      <w:pPr>
        <w:pStyle w:val="FirstParagraph"/>
      </w:pPr>
      <w:r>
        <w:t xml:space="preserve">Lý thuyết danh mục hiện đại cho biết cách phân bổ tối ưu khi biết lợi nhuận và rủi ro, nhưng trong thực tế sai số ước lượng, đặc biệt của lợi nhuận kỳ vọng, làm giảm mạnh hiệu quả ngoài mẫu. Ba hướng khắc phục được xét: co ngót ước lượng, bỏ đầu vào lợi nhuận (1/N, Risk Parity, HRP), và neo vào điểm cân bằng rồi điều chỉnh bằng quan điểm có kiểm soát (Black–Litterman). Học máy có thể cung cấp quan điểm nhưng phải được chứng minh kỹ năng ngoài mẫu bằng R²</w:t>
      </w:r>
      <w:r>
        <w:rPr>
          <w:vertAlign w:val="subscript"/>
        </w:rPr>
        <w:t xml:space="preserve">OS</w:t>
      </w:r>
      <w:r>
        <w:t xml:space="preserve"> </w:t>
      </w:r>
      <w:r>
        <w:t xml:space="preserve">và kiểm định Clark–West; với ít lớp tài sản, ngay cả kỹ năng thật cũng khó chuyển thành lợi thế lớn. So sánh các danh mục cần kiểm định vững với đuôi dày (Ledoit–Wolf), kiểm soát kiểm định bội (Holm), và chú ý đến độ mạnh và thiên lệch chọn lọc. Tại Việt Nam, nghiên cứu hiện có tập trung vào cổ phiếu; luận văn mở rộng sang danh mục đa tài sản với bốn giả thuyết H1–H4.</w:t>
      </w:r>
    </w:p>
    <w:bookmarkEnd w:id="52"/>
    <w:bookmarkEnd w:id="53"/>
    <w:bookmarkStart w:id="93" w:name="X0b1df44d9b53f21cc1f861789416847a31bc500"/>
    <w:p>
      <w:pPr>
        <w:pStyle w:val="Heading1"/>
      </w:pPr>
      <w:r>
        <w:t xml:space="preserve">Chương 3. Dữ liệu và phương pháp nghiên cứu</w:t>
      </w:r>
    </w:p>
    <w:p>
      <w:pPr>
        <w:pStyle w:val="FirstParagraph"/>
      </w:pPr>
      <w:r>
        <w:t xml:space="preserve">Chương này trình bày toàn bộ quy trình nghiên cứu theo khung bốn tầng ở mục 2.7, được tóm tắt trong Hình 3.1. Mục 3.1–3.2 mô tả dữ liệu và cách xử lý; mục 3.3 thiết kế khẩu vị rủi ro và khung thời gian; mục 3.4 ước lượng tham số; mục 3.5 bảy phương pháp phân bổ; mục 3.6 mô hình dự báo học máy; mục 3.7 thiết kế backtest; mục 3.8 các kiểm định thống kê. Mọi bước đều được lập trình trong một pipeline Python duy nhất, nên mỗi lựa chọn mô tả ở đây tương ứng với một đoạn mã kiểm tra được.</w:t>
      </w:r>
    </w:p>
    <w:p>
      <w:pPr>
        <w:pStyle w:val="CaptionedFigure"/>
      </w:pPr>
      <w:r>
        <w:drawing>
          <wp:inline>
            <wp:extent cx="5753100" cy="4474633"/>
            <wp:effectExtent b="0" l="0" r="0" t="0"/>
            <wp:docPr descr="Hình 3.1. Khung quy trình nghiên cứu" title="" id="55" name="Picture"/>
            <a:graphic>
              <a:graphicData uri="http://schemas.openxmlformats.org/drawingml/2006/picture">
                <pic:pic>
                  <pic:nvPicPr>
                    <pic:cNvPr descr="img/h3_framework.png" id="56" name="Picture"/>
                    <pic:cNvPicPr>
                      <a:picLocks noChangeArrowheads="1" noChangeAspect="1"/>
                    </pic:cNvPicPr>
                  </pic:nvPicPr>
                  <pic:blipFill>
                    <a:blip r:embed="rId54"/>
                    <a:stretch>
                      <a:fillRect/>
                    </a:stretch>
                  </pic:blipFill>
                  <pic:spPr bwMode="auto">
                    <a:xfrm>
                      <a:off x="0" y="0"/>
                      <a:ext cx="5753100" cy="4474633"/>
                    </a:xfrm>
                    <a:prstGeom prst="rect">
                      <a:avLst/>
                    </a:prstGeom>
                    <a:noFill/>
                    <a:ln w="9525">
                      <a:noFill/>
                      <a:headEnd/>
                      <a:tailEnd/>
                    </a:ln>
                  </pic:spPr>
                </pic:pic>
              </a:graphicData>
            </a:graphic>
          </wp:inline>
        </w:drawing>
      </w:r>
    </w:p>
    <w:p>
      <w:pPr>
        <w:pStyle w:val="ImageCaption"/>
      </w:pPr>
      <w:r>
        <w:t xml:space="preserve">Hình 3.1. Khung quy trình nghiên cứu</w:t>
      </w:r>
    </w:p>
    <w:p>
      <w:pPr>
        <w:pStyle w:val="SourceNote"/>
      </w:pPr>
      <w:r>
        <w:t xml:space="preserve">Nguồn: Tác giả thiết kế.</w:t>
      </w:r>
    </w:p>
    <w:bookmarkStart w:id="59" w:name="dữ-liệu-và-nguồn"/>
    <w:p>
      <w:pPr>
        <w:pStyle w:val="Heading2"/>
      </w:pPr>
      <w:r>
        <w:t xml:space="preserve">3.1 Dữ liệu và nguồn</w:t>
      </w:r>
    </w:p>
    <w:bookmarkStart w:id="57" w:name="phạm-vi-và-nguyên-tắc-chọn-chuỗi"/>
    <w:p>
      <w:pPr>
        <w:pStyle w:val="Heading3"/>
      </w:pPr>
      <w:r>
        <w:t xml:space="preserve">3.1.1 Phạm vi và nguyên tắc chọn chuỗi</w:t>
      </w:r>
    </w:p>
    <w:p>
      <w:pPr>
        <w:pStyle w:val="FirstParagraph"/>
      </w:pPr>
      <w:r>
        <w:t xml:space="preserve">Nghiên cứu sử dụng dữ liệu tháng của năm lớp tài sản mà nhà đầu tư cá nhân Việt Nam có thể tiếp cận trực tiếp: cổ phiếu, cổ phiếu bất động sản, vàng miếng SJC, trái phiếu và tiền gửi tiết kiệm. Mỗi lớp được đại diện bằng một chuỗi có thể giao dịch được, thay vì một chỉ số lý thuyết, để kết quả backtest phản ánh lợi nhuận mà nhà đầu tư thực sự nhận được.</w:t>
      </w:r>
    </w:p>
    <w:p>
      <w:pPr>
        <w:pStyle w:val="BodyText"/>
      </w:pPr>
      <w:r>
        <w:t xml:space="preserve">Bảng dữ liệu chính (panel) gồm 126 quan sát tháng từ 02/2016 đến 07/2026. Mốc đầu là tháng sớm nhất mà cả năm lớp đều có lợi nhuận, do chứng chỉ quỹ ETF E1VFVN30 chỉ có dữ liệu giá từ 01/2016 trên nguồn Vietcap. Tháng 08/2026 bị loại vì chưa đủ dữ liệu ngày tại thời điểm thu thập. Mốc đầu panel được pipeline tự xác định là tháng sớm nhất mà mọi lớp đều có lợi nhuận, nên khi bổ sung dữ liệu dài hơn, panel tự kéo dài mà không cần sửa mã.</w:t>
      </w:r>
    </w:p>
    <w:p>
      <w:pPr>
        <w:pStyle w:val="TableCaption"/>
      </w:pPr>
      <w:r>
        <w:t xml:space="preserve">Bảng 3.1. Các lớp tài sản, chuỗi đại diện và nguồn dữ liệu</w:t>
      </w:r>
    </w:p>
    <w:tbl>
      <w:tblPr>
        <w:tblStyle w:val="Table"/>
        <w:tblW w:type="pct" w:w="5000"/>
        <w:jc w:val="center"/>
        <w:tblLook w:firstRow="1" w:lastRow="0" w:firstColumn="0" w:lastColumn="0" w:noHBand="0" w:noVBand="0" w:val="0020"/>
        <w:tblCaption w:val="Bảng 3.1. Các lớp tài sản, chuỗi đại diện và nguồn dữ liệu"/>
      </w:tblPr>
      <w:tblGrid>
        <w:gridCol w:w="857"/>
        <w:gridCol w:w="2017"/>
        <w:gridCol w:w="2017"/>
        <w:gridCol w:w="2017"/>
        <w:gridCol w:w="1008"/>
      </w:tblGrid>
      <w:tr>
        <w:trPr>
          <w:tblHeader w:val="true"/>
        </w:trPr>
        <w:tc>
          <w:tcPr/>
          <w:p>
            <w:pPr>
              <w:pStyle w:val="Compact"/>
              <w:jc w:val="center"/>
            </w:pPr>
            <w:r>
              <w:rPr>
                <w:b/>
              </w:rPr>
              <w:t xml:space="preserve">Lớp tài sản</w:t>
            </w:r>
          </w:p>
        </w:tc>
        <w:tc>
          <w:tcPr/>
          <w:p>
            <w:pPr>
              <w:pStyle w:val="Compact"/>
              <w:jc w:val="center"/>
            </w:pPr>
            <w:r>
              <w:rPr>
                <w:b/>
              </w:rPr>
              <w:t xml:space="preserve">Chuỗi đại diện</w:t>
            </w:r>
          </w:p>
        </w:tc>
        <w:tc>
          <w:tcPr/>
          <w:p>
            <w:pPr>
              <w:pStyle w:val="Compact"/>
              <w:jc w:val="center"/>
            </w:pPr>
            <w:r>
              <w:rPr>
                <w:b/>
              </w:rPr>
              <w:t xml:space="preserve">Nguồn</w:t>
            </w:r>
          </w:p>
        </w:tc>
        <w:tc>
          <w:tcPr/>
          <w:p>
            <w:pPr>
              <w:pStyle w:val="Compact"/>
              <w:jc w:val="center"/>
            </w:pPr>
            <w:r>
              <w:rPr>
                <w:b/>
              </w:rPr>
              <w:t xml:space="preserve">Tần suất gốc</w:t>
            </w:r>
          </w:p>
        </w:tc>
        <w:tc>
          <w:tcPr/>
          <w:p>
            <w:pPr>
              <w:pStyle w:val="Compact"/>
              <w:jc w:val="center"/>
            </w:pPr>
            <w:r>
              <w:rPr>
                <w:b/>
              </w:rPr>
              <w:t xml:space="preserve">Phạm vi</w:t>
            </w:r>
          </w:p>
        </w:tc>
      </w:tr>
      <w:tr>
        <w:trPr>
          <w:cantSplit/>
        </w:trPr>
        <w:tc>
          <w:tcPr/>
          <w:p>
            <w:pPr>
              <w:pStyle w:val="Compact"/>
              <w:jc w:val="left"/>
            </w:pPr>
            <w:r>
              <w:t xml:space="preserve">Cổ phiếu</w:t>
            </w:r>
          </w:p>
        </w:tc>
        <w:tc>
          <w:tcPr/>
          <w:p>
            <w:pPr>
              <w:pStyle w:val="Compact"/>
              <w:jc w:val="left"/>
            </w:pPr>
            <w:r>
              <w:t xml:space="preserve">ETF E1VFVN30 (mô phỏng VN30), giá đã điều chỉnh</w:t>
            </w:r>
          </w:p>
        </w:tc>
        <w:tc>
          <w:tcPr/>
          <w:p>
            <w:pPr>
              <w:pStyle w:val="Compact"/>
              <w:jc w:val="left"/>
            </w:pPr>
            <w:r>
              <w:t xml:space="preserve">Vietcap (VCI)</w:t>
            </w:r>
          </w:p>
        </w:tc>
        <w:tc>
          <w:tcPr/>
          <w:p>
            <w:pPr>
              <w:pStyle w:val="Compact"/>
              <w:jc w:val="left"/>
            </w:pPr>
            <w:r>
              <w:t xml:space="preserve">Ngày</w:t>
            </w:r>
          </w:p>
        </w:tc>
        <w:tc>
          <w:tcPr/>
          <w:p>
            <w:pPr>
              <w:pStyle w:val="Compact"/>
              <w:jc w:val="left"/>
            </w:pPr>
            <w:r>
              <w:t xml:space="preserve">01/2016–07/2026</w:t>
            </w:r>
          </w:p>
        </w:tc>
      </w:tr>
      <w:tr>
        <w:trPr>
          <w:cantSplit/>
        </w:trPr>
        <w:tc>
          <w:tcPr/>
          <w:p>
            <w:pPr>
              <w:pStyle w:val="Compact"/>
              <w:jc w:val="left"/>
            </w:pPr>
            <w:r>
              <w:t xml:space="preserve">Cổ phiếu bất động sản</w:t>
            </w:r>
          </w:p>
        </w:tc>
        <w:tc>
          <w:tcPr/>
          <w:p>
            <w:pPr>
              <w:pStyle w:val="Compact"/>
              <w:jc w:val="left"/>
            </w:pPr>
            <w:r>
              <w:t xml:space="preserve">Rổ 4 doanh nghiệp phát triển BĐS dân dụng vốn hóa lớn nhất HOSE, xác định đầu mỗi năm, bình quân đều</w:t>
            </w:r>
          </w:p>
        </w:tc>
        <w:tc>
          <w:tcPr/>
          <w:p>
            <w:pPr>
              <w:pStyle w:val="Compact"/>
              <w:jc w:val="left"/>
            </w:pPr>
            <w:r>
              <w:t xml:space="preserve">Vietcap (VCI), Vietcap IQ (vốn hóa)</w:t>
            </w:r>
          </w:p>
        </w:tc>
        <w:tc>
          <w:tcPr/>
          <w:p>
            <w:pPr>
              <w:pStyle w:val="Compact"/>
              <w:jc w:val="left"/>
            </w:pPr>
            <w:r>
              <w:t xml:space="preserve">Ngày</w:t>
            </w:r>
          </w:p>
        </w:tc>
        <w:tc>
          <w:tcPr/>
          <w:p>
            <w:pPr>
              <w:pStyle w:val="Compact"/>
              <w:jc w:val="left"/>
            </w:pPr>
            <w:r>
              <w:t xml:space="preserve">01/2015–07/2026</w:t>
            </w:r>
          </w:p>
        </w:tc>
      </w:tr>
      <w:tr>
        <w:trPr>
          <w:cantSplit/>
        </w:trPr>
        <w:tc>
          <w:tcPr/>
          <w:p>
            <w:pPr>
              <w:pStyle w:val="Compact"/>
              <w:jc w:val="left"/>
            </w:pPr>
            <w:r>
              <w:t xml:space="preserve">Vàng</w:t>
            </w:r>
          </w:p>
        </w:tc>
        <w:tc>
          <w:tcPr/>
          <w:p>
            <w:pPr>
              <w:pStyle w:val="Compact"/>
              <w:jc w:val="left"/>
            </w:pPr>
            <w:r>
              <w:t xml:space="preserve">Vàng miếng SJC 1 lượng, giá bán</w:t>
            </w:r>
          </w:p>
        </w:tc>
        <w:tc>
          <w:tcPr/>
          <w:p>
            <w:pPr>
              <w:pStyle w:val="Compact"/>
              <w:jc w:val="left"/>
            </w:pPr>
            <w:r>
              <w:t xml:space="preserve">pricedancing.com; World Bank (vàng thế giới); IMF (tỷ giá)</w:t>
            </w:r>
          </w:p>
        </w:tc>
        <w:tc>
          <w:tcPr/>
          <w:p>
            <w:pPr>
              <w:pStyle w:val="Compact"/>
              <w:jc w:val="left"/>
            </w:pPr>
            <w:r>
              <w:t xml:space="preserve">Neo 6 tháng (trước 2020), 4 tháng (2020–07/2022), tháng (từ 08/2022)</w:t>
            </w:r>
          </w:p>
        </w:tc>
        <w:tc>
          <w:tcPr/>
          <w:p>
            <w:pPr>
              <w:pStyle w:val="Compact"/>
              <w:jc w:val="left"/>
            </w:pPr>
            <w:r>
              <w:t xml:space="preserve">07/2009–07/2026</w:t>
            </w:r>
          </w:p>
        </w:tc>
      </w:tr>
      <w:tr>
        <w:trPr>
          <w:cantSplit/>
        </w:trPr>
        <w:tc>
          <w:tcPr/>
          <w:p>
            <w:pPr>
              <w:pStyle w:val="Compact"/>
              <w:jc w:val="left"/>
            </w:pPr>
            <w:r>
              <w:t xml:space="preserve">Trái phiếu</w:t>
            </w:r>
          </w:p>
        </w:tc>
        <w:tc>
          <w:tcPr/>
          <w:p>
            <w:pPr>
              <w:pStyle w:val="Compact"/>
              <w:jc w:val="left"/>
            </w:pPr>
            <w:r>
              <w:t xml:space="preserve">NAV quỹ trái phiếu mở DCBF (Dragon Capital)</w:t>
            </w:r>
          </w:p>
        </w:tc>
        <w:tc>
          <w:tcPr/>
          <w:p>
            <w:pPr>
              <w:pStyle w:val="Compact"/>
              <w:jc w:val="left"/>
            </w:pPr>
            <w:r>
              <w:t xml:space="preserve">Fmarket</w:t>
            </w:r>
          </w:p>
        </w:tc>
        <w:tc>
          <w:tcPr/>
          <w:p>
            <w:pPr>
              <w:pStyle w:val="Compact"/>
              <w:jc w:val="left"/>
            </w:pPr>
            <w:r>
              <w:t xml:space="preserve">Ngày</w:t>
            </w:r>
          </w:p>
        </w:tc>
        <w:tc>
          <w:tcPr/>
          <w:p>
            <w:pPr>
              <w:pStyle w:val="Compact"/>
              <w:jc w:val="left"/>
            </w:pPr>
            <w:r>
              <w:t xml:space="preserve">06/2013–07/2026</w:t>
            </w:r>
          </w:p>
        </w:tc>
      </w:tr>
      <w:tr>
        <w:trPr>
          <w:cantSplit/>
        </w:trPr>
        <w:tc>
          <w:tcPr/>
          <w:p>
            <w:pPr>
              <w:pStyle w:val="Compact"/>
              <w:jc w:val="left"/>
            </w:pPr>
            <w:r>
              <w:t xml:space="preserve">Tiền gửi</w:t>
            </w:r>
          </w:p>
        </w:tc>
        <w:tc>
          <w:tcPr/>
          <w:p>
            <w:pPr>
              <w:pStyle w:val="Compact"/>
              <w:jc w:val="left"/>
            </w:pPr>
            <w:r>
              <w:t xml:space="preserve">Lãi suất tiết kiệm Vietcombank tại quầy, kỳ hạn 1, 3 và 12 tháng</w:t>
            </w:r>
          </w:p>
        </w:tc>
        <w:tc>
          <w:tcPr/>
          <w:p>
            <w:pPr>
              <w:pStyle w:val="Compact"/>
              <w:jc w:val="left"/>
            </w:pPr>
            <w:r>
              <w:t xml:space="preserve">pricedancing.com (từ 07/2020); biểu lãi suất công bố trên báo chí (2014–06/2020)</w:t>
            </w:r>
          </w:p>
        </w:tc>
        <w:tc>
          <w:tcPr/>
          <w:p>
            <w:pPr>
              <w:pStyle w:val="Compact"/>
              <w:jc w:val="left"/>
            </w:pPr>
            <w:r>
              <w:t xml:space="preserve">Sự kiện điều chỉnh, tháng</w:t>
            </w:r>
          </w:p>
        </w:tc>
        <w:tc>
          <w:tcPr/>
          <w:p>
            <w:pPr>
              <w:pStyle w:val="Compact"/>
              <w:jc w:val="left"/>
            </w:pPr>
            <w:r>
              <w:t xml:space="preserve">03/2014–07/2026</w:t>
            </w:r>
          </w:p>
        </w:tc>
      </w:tr>
    </w:tbl>
    <w:p>
      <w:pPr>
        <w:pStyle w:val="BodyText"/>
        <w:spacing w:before="200"/>
      </w:pPr>
      <w:r>
        <w:t xml:space="preserve">Ngoài năm lớp trên, nghiên cứu dùng thêm hai chuỗi bổ trợ. VN-Index là chuỗi tham chiếu cho thị trường cổ phiếu và chỉ dùng trong phân tích độ nhạy sáu lớp; VN-Index là chỉ số giá không gồm cổ tức và không đầu tư trực tiếp được, có tương quan lợi nhuận tháng 0,95 với ETF E1VFVN30. Lợi suất trái phiếu Chính phủ kỳ hạn 5 năm (Investing.com, 01/2013–07/2026) được dùng để tính biến chênh lệch kỳ hạn cho mô hình dự báo, không dùng làm lợi nhuận của lớp trái phiếu.</w:t>
      </w:r>
    </w:p>
    <w:p>
      <w:pPr>
        <w:pStyle w:val="BodyText"/>
      </w:pPr>
      <w:r>
        <w:t xml:space="preserve">Cách chọn chuỗi đại diện dựa trên ba nguyên tắc.</w:t>
      </w:r>
    </w:p>
    <w:p>
      <w:pPr>
        <w:numPr>
          <w:ilvl w:val="0"/>
          <w:numId w:val="1007"/>
        </w:numPr>
      </w:pPr>
      <w:r>
        <w:rPr>
          <w:bCs/>
          <w:b/>
        </w:rPr>
        <w:t xml:space="preserve">Giao dịch được:</w:t>
      </w:r>
      <w:r>
        <w:t xml:space="preserve"> </w:t>
      </w:r>
      <w:r>
        <w:t xml:space="preserve">lớp cổ phiếu dùng ETF thay cho VN-Index vì nhà đầu tư không mua được chỉ số; lớp trái phiếu dùng NAV quỹ mở vì nhà đầu tư cá nhân khó mua trực tiếp trái phiếu Chính phủ. NAV quỹ cũng đã trừ phí quản lý quỹ, nên lợi nhuận gần với lợi nhuận nhà đầu tư thực nhận.</w:t>
      </w:r>
    </w:p>
    <w:p>
      <w:pPr>
        <w:numPr>
          <w:ilvl w:val="0"/>
          <w:numId w:val="1007"/>
        </w:numPr>
      </w:pPr>
      <w:r>
        <w:rPr>
          <w:bCs/>
          <w:b/>
        </w:rPr>
        <w:t xml:space="preserve">Không dùng thông tin tương lai:</w:t>
      </w:r>
      <w:r>
        <w:t xml:space="preserve"> </w:t>
      </w:r>
      <w:r>
        <w:t xml:space="preserve">rổ cổ phiếu BĐS được chọn theo vốn hóa cuối năm trước, không phải bốn mã nổi bật tại thời điểm viết luận văn (mục 3.2.3); giá vàng giai đoạn thiếu dữ liệu được dựng theo chế độ point-in-time (mục 3.2.2).</w:t>
      </w:r>
    </w:p>
    <w:p>
      <w:pPr>
        <w:numPr>
          <w:ilvl w:val="0"/>
          <w:numId w:val="1007"/>
        </w:numPr>
      </w:pPr>
      <w:r>
        <w:rPr>
          <w:bCs/>
          <w:b/>
        </w:rPr>
        <w:t xml:space="preserve">Một ngân hàng thống nhất cho tiền gửi:</w:t>
      </w:r>
      <w:r>
        <w:t xml:space="preserve"> </w:t>
      </w:r>
      <w:r>
        <w:t xml:space="preserve">cả ba kỳ hạn đều là lãi suất Vietcombank, ngân hàng có lãi suất thuộc nhóm thấp nhất thị trường, nên lợi nhuận tiền gửi là ước tính thận trọng. Ảnh hưởng của việc chọn ngân hàng có lãi suất cao hơn được kiểm tra trong phân tích độ nhạy bằng cách cộng thêm 0,5 và 1,0 điểm %/năm vào lãi suất.</w:t>
      </w:r>
    </w:p>
    <w:bookmarkEnd w:id="57"/>
    <w:bookmarkStart w:id="58" w:name="chất-lượng-dữ-liệu"/>
    <w:p>
      <w:pPr>
        <w:pStyle w:val="Heading3"/>
      </w:pPr>
      <w:r>
        <w:t xml:space="preserve">3.1.2 Chất lượng dữ liệu</w:t>
      </w:r>
    </w:p>
    <w:p>
      <w:pPr>
        <w:pStyle w:val="FirstParagraph"/>
      </w:pPr>
      <w:r>
        <w:t xml:space="preserve">Mỗi chuỗi trong panel được gắn nhãn chất lượng theo từng tháng, cho biết giá trị đó là giá thật, giá dựng lại hay giá trị được giữ nguyên từ kỳ trước. Bảng 3.2 tóm tắt nhãn chất lượng và hai đặc điểm thống kê quan trọng cho bước ước lượng: độ biến động năm hóa và tự tương quan bậc một của lợi nhuận tháng.</w:t>
      </w:r>
    </w:p>
    <w:p>
      <w:pPr>
        <w:pStyle w:val="TableCaption"/>
      </w:pPr>
      <w:r>
        <w:t xml:space="preserve">Bảng 3.2. Chất lượng dữ liệu theo chuỗi, 02/2016–07/2026</w:t>
      </w:r>
    </w:p>
    <w:tbl>
      <w:tblPr>
        <w:tblStyle w:val="Table"/>
        <w:tblW w:type="pct" w:w="5000"/>
        <w:jc w:val="center"/>
        <w:tblLook w:firstRow="1" w:lastRow="0" w:firstColumn="0" w:lastColumn="0" w:noHBand="0" w:noVBand="0" w:val="0020"/>
        <w:tblCaption w:val="Bảng 3.2. Chất lượng dữ liệu theo chuỗi, 02/2016–07/2026"/>
      </w:tblPr>
      <w:tblGrid>
        <w:gridCol w:w="2069"/>
        <w:gridCol w:w="1070"/>
        <w:gridCol w:w="2854"/>
        <w:gridCol w:w="927"/>
        <w:gridCol w:w="998"/>
      </w:tblGrid>
      <w:tr>
        <w:trPr>
          <w:tblHeader w:val="true"/>
        </w:trPr>
        <w:tc>
          <w:tcPr/>
          <w:p>
            <w:pPr>
              <w:pStyle w:val="Compact"/>
              <w:jc w:val="center"/>
            </w:pPr>
            <w:r>
              <w:rPr>
                <w:b/>
              </w:rPr>
              <w:t xml:space="preserve">Chuỗi</w:t>
            </w:r>
          </w:p>
        </w:tc>
        <w:tc>
          <w:tcPr/>
          <w:p>
            <w:pPr>
              <w:pStyle w:val="Compact"/>
              <w:jc w:val="center"/>
            </w:pPr>
            <w:r>
              <w:rPr>
                <w:b/>
              </w:rPr>
              <w:t xml:space="preserve">Số tháng có lợi nhuận</w:t>
            </w:r>
          </w:p>
        </w:tc>
        <w:tc>
          <w:tcPr/>
          <w:p>
            <w:pPr>
              <w:pStyle w:val="Compact"/>
              <w:jc w:val="center"/>
            </w:pPr>
            <w:r>
              <w:rPr>
                <w:b/>
              </w:rPr>
              <w:t xml:space="preserve">Nhãn chất lượng</w:t>
            </w:r>
          </w:p>
        </w:tc>
        <w:tc>
          <w:tcPr/>
          <w:p>
            <w:pPr>
              <w:pStyle w:val="Compact"/>
              <w:jc w:val="center"/>
            </w:pPr>
            <w:r>
              <w:rPr>
                <w:b/>
              </w:rPr>
              <w:t xml:space="preserve">Độ biến động năm</w:t>
            </w:r>
          </w:p>
        </w:tc>
        <w:tc>
          <w:tcPr/>
          <w:p>
            <w:pPr>
              <w:pStyle w:val="Compact"/>
              <w:jc w:val="center"/>
            </w:pPr>
            <w:r>
              <w:rPr>
                <w:b/>
              </w:rPr>
              <w:t xml:space="preserve">Tự tương quan bậc 1</w:t>
            </w:r>
          </w:p>
        </w:tc>
      </w:tr>
      <w:tr>
        <w:trPr>
          <w:cantSplit/>
        </w:trPr>
        <w:tc>
          <w:tcPr/>
          <w:p>
            <w:pPr>
              <w:pStyle w:val="Compact"/>
              <w:jc w:val="left"/>
            </w:pPr>
            <w:r>
              <w:t xml:space="preserve">ETF E1VFVN30</w:t>
            </w:r>
          </w:p>
        </w:tc>
        <w:tc>
          <w:tcPr/>
          <w:p>
            <w:pPr>
              <w:pStyle w:val="Compact"/>
              <w:jc w:val="left"/>
            </w:pPr>
            <w:r>
              <w:t xml:space="preserve">126</w:t>
            </w:r>
          </w:p>
        </w:tc>
        <w:tc>
          <w:tcPr/>
          <w:p>
            <w:pPr>
              <w:pStyle w:val="Compact"/>
              <w:jc w:val="left"/>
            </w:pPr>
            <w:r>
              <w:t xml:space="preserve">Giá ngày thật, lấy giá cuối tháng (126)</w:t>
            </w:r>
          </w:p>
        </w:tc>
        <w:tc>
          <w:tcPr/>
          <w:p>
            <w:pPr>
              <w:pStyle w:val="Compact"/>
              <w:jc w:val="left"/>
            </w:pPr>
            <w:r>
              <w:t xml:space="preserve">20,3%</w:t>
            </w:r>
          </w:p>
        </w:tc>
        <w:tc>
          <w:tcPr/>
          <w:p>
            <w:pPr>
              <w:pStyle w:val="Compact"/>
              <w:jc w:val="left"/>
            </w:pPr>
            <w:r>
              <w:t xml:space="preserve">0,08</w:t>
            </w:r>
          </w:p>
        </w:tc>
      </w:tr>
      <w:tr>
        <w:trPr>
          <w:cantSplit/>
        </w:trPr>
        <w:tc>
          <w:tcPr/>
          <w:p>
            <w:pPr>
              <w:pStyle w:val="Compact"/>
              <w:jc w:val="left"/>
            </w:pPr>
            <w:r>
              <w:t xml:space="preserve">Rổ cổ phiếu BĐS</w:t>
            </w:r>
          </w:p>
        </w:tc>
        <w:tc>
          <w:tcPr/>
          <w:p>
            <w:pPr>
              <w:pStyle w:val="Compact"/>
              <w:jc w:val="left"/>
            </w:pPr>
            <w:r>
              <w:t xml:space="preserve">126</w:t>
            </w:r>
          </w:p>
        </w:tc>
        <w:tc>
          <w:tcPr/>
          <w:p>
            <w:pPr>
              <w:pStyle w:val="Compact"/>
              <w:jc w:val="left"/>
            </w:pPr>
            <w:r>
              <w:t xml:space="preserve">Rổ point-in-time (126)</w:t>
            </w:r>
          </w:p>
        </w:tc>
        <w:tc>
          <w:tcPr/>
          <w:p>
            <w:pPr>
              <w:pStyle w:val="Compact"/>
              <w:jc w:val="left"/>
            </w:pPr>
            <w:r>
              <w:t xml:space="preserve">28,7%</w:t>
            </w:r>
          </w:p>
        </w:tc>
        <w:tc>
          <w:tcPr/>
          <w:p>
            <w:pPr>
              <w:pStyle w:val="Compact"/>
              <w:jc w:val="left"/>
            </w:pPr>
            <w:r>
              <w:t xml:space="preserve">0,17</w:t>
            </w:r>
          </w:p>
        </w:tc>
      </w:tr>
      <w:tr>
        <w:trPr>
          <w:cantSplit/>
        </w:trPr>
        <w:tc>
          <w:tcPr/>
          <w:p>
            <w:pPr>
              <w:pStyle w:val="Compact"/>
              <w:jc w:val="left"/>
            </w:pPr>
            <w:r>
              <w:t xml:space="preserve">Vàng SJC (chuỗi lợi nhuận thực hiện)</w:t>
            </w:r>
          </w:p>
        </w:tc>
        <w:tc>
          <w:tcPr/>
          <w:p>
            <w:pPr>
              <w:pStyle w:val="Compact"/>
              <w:jc w:val="left"/>
            </w:pPr>
            <w:r>
              <w:t xml:space="preserve">126</w:t>
            </w:r>
          </w:p>
        </w:tc>
        <w:tc>
          <w:tcPr/>
          <w:p>
            <w:pPr>
              <w:pStyle w:val="Compact"/>
              <w:jc w:val="left"/>
            </w:pPr>
            <w:r>
              <w:t xml:space="preserve">Giá tháng thật (48), neo 6 tháng (8), neo 4 tháng (7), dựng lại từ vàng thế giới (63)</w:t>
            </w:r>
          </w:p>
        </w:tc>
        <w:tc>
          <w:tcPr/>
          <w:p>
            <w:pPr>
              <w:pStyle w:val="Compact"/>
              <w:jc w:val="left"/>
            </w:pPr>
            <w:r>
              <w:t xml:space="preserve">13,9%</w:t>
            </w:r>
          </w:p>
        </w:tc>
        <w:tc>
          <w:tcPr/>
          <w:p>
            <w:pPr>
              <w:pStyle w:val="Compact"/>
              <w:jc w:val="left"/>
            </w:pPr>
            <w:r>
              <w:t xml:space="preserve">0,25</w:t>
            </w:r>
          </w:p>
        </w:tc>
      </w:tr>
      <w:tr>
        <w:trPr>
          <w:cantSplit/>
        </w:trPr>
        <w:tc>
          <w:tcPr/>
          <w:p>
            <w:pPr>
              <w:pStyle w:val="Compact"/>
              <w:jc w:val="left"/>
            </w:pPr>
            <w:r>
              <w:t xml:space="preserve">Vàng SJC (chuỗi point-in-time)</w:t>
            </w:r>
          </w:p>
        </w:tc>
        <w:tc>
          <w:tcPr/>
          <w:p>
            <w:pPr>
              <w:pStyle w:val="Compact"/>
              <w:jc w:val="left"/>
            </w:pPr>
            <w:r>
              <w:t xml:space="preserve">126</w:t>
            </w:r>
          </w:p>
        </w:tc>
        <w:tc>
          <w:tcPr/>
          <w:p>
            <w:pPr>
              <w:pStyle w:val="Compact"/>
              <w:jc w:val="left"/>
            </w:pPr>
            <w:r>
              <w:t xml:space="preserve">Chuỗi theo từng thời điểm quyết định (126)</w:t>
            </w:r>
          </w:p>
        </w:tc>
        <w:tc>
          <w:tcPr/>
          <w:p>
            <w:pPr>
              <w:pStyle w:val="Compact"/>
              <w:jc w:val="left"/>
            </w:pPr>
            <w:r>
              <w:t xml:space="preserve">14,1%</w:t>
            </w:r>
          </w:p>
        </w:tc>
        <w:tc>
          <w:tcPr/>
          <w:p>
            <w:pPr>
              <w:pStyle w:val="Compact"/>
              <w:jc w:val="left"/>
            </w:pPr>
            <w:r>
              <w:t xml:space="preserve">0,27</w:t>
            </w:r>
          </w:p>
        </w:tc>
      </w:tr>
      <w:tr>
        <w:trPr>
          <w:cantSplit/>
        </w:trPr>
        <w:tc>
          <w:tcPr/>
          <w:p>
            <w:pPr>
              <w:pStyle w:val="Compact"/>
              <w:jc w:val="left"/>
            </w:pPr>
            <w:r>
              <w:t xml:space="preserve">NAV quỹ DCBF</w:t>
            </w:r>
          </w:p>
        </w:tc>
        <w:tc>
          <w:tcPr/>
          <w:p>
            <w:pPr>
              <w:pStyle w:val="Compact"/>
              <w:jc w:val="left"/>
            </w:pPr>
            <w:r>
              <w:t xml:space="preserve">126</w:t>
            </w:r>
          </w:p>
        </w:tc>
        <w:tc>
          <w:tcPr/>
          <w:p>
            <w:pPr>
              <w:pStyle w:val="Compact"/>
              <w:jc w:val="left"/>
            </w:pPr>
            <w:r>
              <w:t xml:space="preserve">NAV quỹ (126)</w:t>
            </w:r>
          </w:p>
        </w:tc>
        <w:tc>
          <w:tcPr/>
          <w:p>
            <w:pPr>
              <w:pStyle w:val="Compact"/>
              <w:jc w:val="left"/>
            </w:pPr>
            <w:r>
              <w:t xml:space="preserve">2,4%</w:t>
            </w:r>
          </w:p>
        </w:tc>
        <w:tc>
          <w:tcPr/>
          <w:p>
            <w:pPr>
              <w:pStyle w:val="Compact"/>
              <w:jc w:val="left"/>
            </w:pPr>
            <w:r>
              <w:t xml:space="preserve">0,11</w:t>
            </w:r>
          </w:p>
        </w:tc>
      </w:tr>
      <w:tr>
        <w:trPr>
          <w:cantSplit/>
        </w:trPr>
        <w:tc>
          <w:tcPr/>
          <w:p>
            <w:pPr>
              <w:pStyle w:val="Compact"/>
              <w:jc w:val="left"/>
            </w:pPr>
            <w:r>
              <w:t xml:space="preserve">Tiền gửi 12 tháng</w:t>
            </w:r>
          </w:p>
        </w:tc>
        <w:tc>
          <w:tcPr/>
          <w:p>
            <w:pPr>
              <w:pStyle w:val="Compact"/>
              <w:jc w:val="left"/>
            </w:pPr>
            <w:r>
              <w:t xml:space="preserve">126</w:t>
            </w:r>
          </w:p>
        </w:tc>
        <w:tc>
          <w:tcPr/>
          <w:p>
            <w:pPr>
              <w:pStyle w:val="Compact"/>
              <w:jc w:val="left"/>
            </w:pPr>
            <w:r>
              <w:t xml:space="preserve">Lãi suất thật (113), giữ nguyên bậc thang (13)</w:t>
            </w:r>
          </w:p>
        </w:tc>
        <w:tc>
          <w:tcPr/>
          <w:p>
            <w:pPr>
              <w:pStyle w:val="Compact"/>
              <w:jc w:val="left"/>
            </w:pPr>
            <w:r>
              <w:t xml:space="preserve">0,2%</w:t>
            </w:r>
          </w:p>
        </w:tc>
        <w:tc>
          <w:tcPr/>
          <w:p>
            <w:pPr>
              <w:pStyle w:val="Compact"/>
              <w:jc w:val="left"/>
            </w:pPr>
            <w:r>
              <w:t xml:space="preserve">0,98</w:t>
            </w:r>
          </w:p>
        </w:tc>
      </w:tr>
      <w:tr>
        <w:trPr>
          <w:cantSplit/>
        </w:trPr>
        <w:tc>
          <w:tcPr/>
          <w:p>
            <w:pPr>
              <w:pStyle w:val="Compact"/>
              <w:jc w:val="left"/>
            </w:pPr>
            <w:r>
              <w:t xml:space="preserve">VN-Index (tham chiếu)</w:t>
            </w:r>
          </w:p>
        </w:tc>
        <w:tc>
          <w:tcPr/>
          <w:p>
            <w:pPr>
              <w:pStyle w:val="Compact"/>
              <w:jc w:val="left"/>
            </w:pPr>
            <w:r>
              <w:t xml:space="preserve">126</w:t>
            </w:r>
          </w:p>
        </w:tc>
        <w:tc>
          <w:tcPr/>
          <w:p>
            <w:pPr>
              <w:pStyle w:val="Compact"/>
              <w:jc w:val="left"/>
            </w:pPr>
            <w:r>
              <w:t xml:space="preserve">Giá ngày thật (126)</w:t>
            </w:r>
          </w:p>
        </w:tc>
        <w:tc>
          <w:tcPr/>
          <w:p>
            <w:pPr>
              <w:pStyle w:val="Compact"/>
              <w:jc w:val="left"/>
            </w:pPr>
            <w:r>
              <w:t xml:space="preserve">20,4%</w:t>
            </w:r>
          </w:p>
        </w:tc>
        <w:tc>
          <w:tcPr/>
          <w:p>
            <w:pPr>
              <w:pStyle w:val="Compact"/>
              <w:jc w:val="left"/>
            </w:pPr>
            <w:r>
              <w:t xml:space="preserve">0,03</w:t>
            </w:r>
          </w:p>
        </w:tc>
      </w:tr>
    </w:tbl>
    <w:p>
      <w:pPr>
        <w:pStyle w:val="BodyText"/>
        <w:spacing w:before="200"/>
      </w:pPr>
      <w:r>
        <w:rPr>
          <w:iCs/>
          <w:i/>
        </w:rPr>
        <w:t xml:space="preserve">Ghi chú: trong rổ BĐS, VHM chỉ có giá từ 05/2018 và NVL từ 01/2017; trước đó rổ gồm các doanh nghiệp đã niêm yết theo quy tắc ở mục 3.2.3.</w:t>
      </w:r>
    </w:p>
    <w:p>
      <w:pPr>
        <w:pStyle w:val="BodyText"/>
      </w:pPr>
      <w:r>
        <w:t xml:space="preserve">Hai điểm cần lưu ý. Thứ nhất, một nửa số tháng của chuỗi vàng là giá dựng lại; cách dựng và kiểm chứng được trình bày ở mục 3.2.2. Thứ hai, tự tương quan của vàng (0,25–0,27) và của rổ BĐS (0,17) cao hơn của ETF, một phần do cách dựng giá vàng và một phần do tính dai dẳng thật của các thị trường này. Tự tương quan gần 1 của tiền gửi là bình thường vì lãi suất chỉ thay đổi theo bậc.</w:t>
      </w:r>
    </w:p>
    <w:bookmarkEnd w:id="58"/>
    <w:bookmarkEnd w:id="59"/>
    <w:bookmarkStart w:id="67" w:name="xử-lý-dữ-liệu"/>
    <w:p>
      <w:pPr>
        <w:pStyle w:val="Heading2"/>
      </w:pPr>
      <w:r>
        <w:t xml:space="preserve">3.2 Xử lý dữ liệu</w:t>
      </w:r>
    </w:p>
    <w:bookmarkStart w:id="60" w:name="X64f65d6d8ddca2c61c9233112166197c3deff7c"/>
    <w:p>
      <w:pPr>
        <w:pStyle w:val="Heading3"/>
      </w:pPr>
      <w:r>
        <w:t xml:space="preserve">3.2.1 Ghép chuỗi nhiều nguồn và kiểm tra độ khớp</w:t>
      </w:r>
    </w:p>
    <w:p>
      <w:pPr>
        <w:pStyle w:val="FirstParagraph"/>
      </w:pPr>
      <w:r>
        <w:t xml:space="preserve">Mọi chuỗi được đưa về tần suất tháng bằng giá đóng cửa của phiên cuối cùng trong tháng. Lợi nhuận tháng t được tính từ giá cuối tháng t−1 đến giá cuối tháng t:</w:t>
      </w:r>
    </w:p>
    <w:p>
      <w:pPr>
        <w:pStyle w:val="BodyText"/>
      </w:pPr>
      <m:oMathPara>
        <m:oMathParaPr>
          <m:jc m:val="center"/>
        </m:oMathParaPr>
        <m:oMath>
          <m:sSub>
            <m:e>
              <m:r>
                <m:t>r</m:t>
              </m:r>
            </m:e>
            <m:sub>
              <m:r>
                <m:t>i</m:t>
              </m:r>
              <m:r>
                <m:rPr>
                  <m:sty m:val="p"/>
                </m:rPr>
                <m:t>,</m:t>
              </m:r>
              <m:r>
                <m:t>t</m:t>
              </m:r>
            </m:sub>
          </m:sSub>
          <m:r>
            <m:rPr>
              <m:sty m:val="p"/>
            </m:rPr>
            <m:t>=</m:t>
          </m:r>
          <m:f>
            <m:fPr>
              <m:type m:val="bar"/>
            </m:fPr>
            <m:num>
              <m:sSub>
                <m:e>
                  <m:r>
                    <m:t>P</m:t>
                  </m:r>
                </m:e>
                <m:sub>
                  <m:r>
                    <m:t>i</m:t>
                  </m:r>
                  <m:r>
                    <m:rPr>
                      <m:sty m:val="p"/>
                    </m:rPr>
                    <m:t>,</m:t>
                  </m:r>
                  <m:r>
                    <m:t>t</m:t>
                  </m:r>
                </m:sub>
              </m:sSub>
            </m:num>
            <m:den>
              <m:sSub>
                <m:e>
                  <m:r>
                    <m:t>P</m:t>
                  </m:r>
                </m:e>
                <m:sub>
                  <m:r>
                    <m:t>i</m:t>
                  </m:r>
                  <m:r>
                    <m:rPr>
                      <m:sty m:val="p"/>
                    </m:rPr>
                    <m:t>,</m:t>
                  </m:r>
                  <m:r>
                    <m:t>t</m:t>
                  </m:r>
                  <m:r>
                    <m:rPr>
                      <m:sty m:val="p"/>
                    </m:rPr>
                    <m:t>−</m:t>
                  </m:r>
                  <m:r>
                    <m:t>1</m:t>
                  </m:r>
                </m:sub>
              </m:sSub>
            </m:den>
          </m:f>
          <m:r>
            <m:rPr>
              <m:sty m:val="p"/>
            </m:rPr>
            <m:t>−</m:t>
          </m:r>
          <m:r>
            <m:t>1</m:t>
          </m:r>
        </m:oMath>
      </m:oMathPara>
    </w:p>
    <w:p>
      <w:pPr>
        <w:pStyle w:val="FirstParagraph"/>
      </w:pPr>
      <w:r>
        <w:t xml:space="preserve">Riêng tiền gửi, lợi nhuận tháng t bằng lãi suất năm có hiệu lực cuối tháng t−1 chia 12, vì đó là mức lãi nhà đầu tư khóa được khi gửi tiền. Quy ước này cũng áp dụng cho lãi suất phi rủi ro dùng trong tính Sharpe, nên mọi biến tại thời điểm quyết định đều đã biết.</w:t>
      </w:r>
    </w:p>
    <w:p>
      <w:pPr>
        <w:pStyle w:val="BodyText"/>
      </w:pPr>
      <w:r>
        <w:t xml:space="preserve">Một số chuỗi phải ghép từ hai nguồn hoặc hai tần suất. Trước khi ghép, đoạn trùng nhau được so sánh để bảo đảm hai nguồn đo cùng một đại lượng.</w:t>
      </w:r>
    </w:p>
    <w:p>
      <w:pPr>
        <w:pStyle w:val="TableCaption"/>
      </w:pPr>
      <w:r>
        <w:t xml:space="preserve">Bảng 3.3. Kiểm tra độ khớp trên đoạn trùng khi ghép chuỗi</w:t>
      </w:r>
    </w:p>
    <w:tbl>
      <w:tblPr>
        <w:tblStyle w:val="Table"/>
        <w:tblW w:type="pct" w:w="5000"/>
        <w:jc w:val="center"/>
        <w:tblLook w:firstRow="1" w:lastRow="0" w:firstColumn="0" w:lastColumn="0" w:noHBand="0" w:noVBand="0" w:val="0020"/>
        <w:tblCaption w:val="Bảng 3.3. Kiểm tra độ khớp trên đoạn trùng khi ghép chuỗi"/>
      </w:tblPr>
      <w:tblGrid>
        <w:gridCol w:w="2200"/>
        <w:gridCol w:w="2514"/>
        <w:gridCol w:w="691"/>
        <w:gridCol w:w="2514"/>
      </w:tblGrid>
      <w:tr>
        <w:trPr>
          <w:tblHeader w:val="true"/>
        </w:trPr>
        <w:tc>
          <w:tcPr/>
          <w:p>
            <w:pPr>
              <w:pStyle w:val="Compact"/>
              <w:jc w:val="center"/>
            </w:pPr>
            <w:r>
              <w:rPr>
                <w:b/>
              </w:rPr>
              <w:t xml:space="preserve">Chuỗi</w:t>
            </w:r>
          </w:p>
        </w:tc>
        <w:tc>
          <w:tcPr/>
          <w:p>
            <w:pPr>
              <w:pStyle w:val="Compact"/>
              <w:jc w:val="center"/>
            </w:pPr>
            <w:r>
              <w:rPr>
                <w:b/>
              </w:rPr>
              <w:t xml:space="preserve">Đoạn ghép thêm</w:t>
            </w:r>
          </w:p>
        </w:tc>
        <w:tc>
          <w:tcPr/>
          <w:p>
            <w:pPr>
              <w:pStyle w:val="Compact"/>
              <w:jc w:val="center"/>
            </w:pPr>
            <w:r>
              <w:rPr>
                <w:b/>
              </w:rPr>
              <w:t xml:space="preserve">Đoạn trùng</w:t>
            </w:r>
          </w:p>
        </w:tc>
        <w:tc>
          <w:tcPr/>
          <w:p>
            <w:pPr>
              <w:pStyle w:val="Compact"/>
              <w:jc w:val="center"/>
            </w:pPr>
            <w:r>
              <w:rPr>
                <w:b/>
              </w:rPr>
              <w:t xml:space="preserve">Kết quả so sánh</w:t>
            </w:r>
          </w:p>
        </w:tc>
      </w:tr>
      <w:tr>
        <w:trPr>
          <w:cantSplit/>
        </w:trPr>
        <w:tc>
          <w:tcPr/>
          <w:p>
            <w:pPr>
              <w:pStyle w:val="Compact"/>
              <w:jc w:val="left"/>
            </w:pPr>
            <w:r>
              <w:t xml:space="preserve">Giá cổ phiếu, ETF, VN-Index (Vietcap)</w:t>
            </w:r>
          </w:p>
        </w:tc>
        <w:tc>
          <w:tcPr/>
          <w:p>
            <w:pPr>
              <w:pStyle w:val="Compact"/>
              <w:jc w:val="left"/>
            </w:pPr>
            <w:r>
              <w:t xml:space="preserve">Giá cuối tháng 01/2014–07/2018</w:t>
            </w:r>
          </w:p>
        </w:tc>
        <w:tc>
          <w:tcPr/>
          <w:p>
            <w:pPr>
              <w:pStyle w:val="Compact"/>
              <w:jc w:val="left"/>
            </w:pPr>
            <w:r>
              <w:t xml:space="preserve">96 tháng</w:t>
            </w:r>
          </w:p>
        </w:tc>
        <w:tc>
          <w:tcPr/>
          <w:p>
            <w:pPr>
              <w:pStyle w:val="Compact"/>
              <w:jc w:val="left"/>
            </w:pPr>
            <w:r>
              <w:t xml:space="preserve">Tỷ lệ giá hai đoạn không đổi theo từng mã, nên lợi nhuận tháng trùng khớp hoàn toàn</w:t>
            </w:r>
          </w:p>
        </w:tc>
      </w:tr>
      <w:tr>
        <w:trPr>
          <w:cantSplit/>
        </w:trPr>
        <w:tc>
          <w:tcPr/>
          <w:p>
            <w:pPr>
              <w:pStyle w:val="Compact"/>
              <w:jc w:val="left"/>
            </w:pPr>
            <w:r>
              <w:t xml:space="preserve">Lợi suất TPCP 5 năm (Investing.com)</w:t>
            </w:r>
          </w:p>
        </w:tc>
        <w:tc>
          <w:tcPr/>
          <w:p>
            <w:pPr>
              <w:pStyle w:val="Compact"/>
              <w:jc w:val="left"/>
            </w:pPr>
            <w:r>
              <w:t xml:space="preserve">Dữ liệu tháng 01/2013–12/2019</w:t>
            </w:r>
          </w:p>
        </w:tc>
        <w:tc>
          <w:tcPr/>
          <w:p>
            <w:pPr>
              <w:pStyle w:val="Compact"/>
              <w:jc w:val="left"/>
            </w:pPr>
            <w:r>
              <w:t xml:space="preserve">80 tháng</w:t>
            </w:r>
          </w:p>
        </w:tc>
        <w:tc>
          <w:tcPr/>
          <w:p>
            <w:pPr>
              <w:pStyle w:val="Compact"/>
              <w:jc w:val="left"/>
            </w:pPr>
            <w:r>
              <w:t xml:space="preserve">Lệch trung vị 0, lớn nhất 0,1 điểm %</w:t>
            </w:r>
          </w:p>
        </w:tc>
      </w:tr>
      <w:tr>
        <w:trPr>
          <w:cantSplit/>
        </w:trPr>
        <w:tc>
          <w:tcPr/>
          <w:p>
            <w:pPr>
              <w:pStyle w:val="Compact"/>
              <w:jc w:val="left"/>
            </w:pPr>
            <w:r>
              <w:t xml:space="preserve">Lãi tiền gửi 12 tháng Vietcombank</w:t>
            </w:r>
          </w:p>
        </w:tc>
        <w:tc>
          <w:tcPr/>
          <w:p>
            <w:pPr>
              <w:pStyle w:val="Compact"/>
              <w:jc w:val="left"/>
            </w:pPr>
            <w:r>
              <w:t xml:space="preserve">Bảng mốc điều chỉnh từ báo chí, 2014–06/2020</w:t>
            </w:r>
          </w:p>
        </w:tc>
        <w:tc>
          <w:tcPr/>
          <w:p>
            <w:pPr>
              <w:pStyle w:val="Compact"/>
              <w:jc w:val="left"/>
            </w:pPr>
            <w:r>
              <w:t xml:space="preserve">48 tháng</w:t>
            </w:r>
          </w:p>
        </w:tc>
        <w:tc>
          <w:tcPr/>
          <w:p>
            <w:pPr>
              <w:pStyle w:val="Compact"/>
              <w:jc w:val="left"/>
            </w:pPr>
            <w:r>
              <w:t xml:space="preserve">Khớp tuyệt đối 44 tháng, lệch tối đa 0,2 điểm %</w:t>
            </w:r>
          </w:p>
        </w:tc>
      </w:tr>
      <w:tr>
        <w:trPr>
          <w:cantSplit/>
        </w:trPr>
        <w:tc>
          <w:tcPr/>
          <w:p>
            <w:pPr>
              <w:pStyle w:val="Compact"/>
              <w:jc w:val="left"/>
            </w:pPr>
            <w:r>
              <w:t xml:space="preserve">Lãi tiền gửi 1 và 3 tháng Vietcombank</w:t>
            </w:r>
          </w:p>
        </w:tc>
        <w:tc>
          <w:tcPr/>
          <w:p>
            <w:pPr>
              <w:pStyle w:val="Compact"/>
              <w:jc w:val="left"/>
            </w:pPr>
            <w:r>
              <w:t xml:space="preserve">Bảng mốc điều chỉnh từ báo chí, 06/2014–06/2020</w:t>
            </w:r>
          </w:p>
        </w:tc>
        <w:tc>
          <w:tcPr/>
          <w:p>
            <w:pPr>
              <w:pStyle w:val="Compact"/>
              <w:jc w:val="left"/>
            </w:pPr>
            <w:r>
              <w:t xml:space="preserve">59 tháng</w:t>
            </w:r>
          </w:p>
        </w:tc>
        <w:tc>
          <w:tcPr/>
          <w:p>
            <w:pPr>
              <w:pStyle w:val="Compact"/>
              <w:jc w:val="left"/>
            </w:pPr>
            <w:r>
              <w:t xml:space="preserve">Lệch trung vị 0, lớn nhất 0,2 điểm %</w:t>
            </w:r>
          </w:p>
        </w:tc>
      </w:tr>
    </w:tbl>
    <w:p>
      <w:pPr>
        <w:pStyle w:val="BodyText"/>
        <w:spacing w:before="200"/>
      </w:pPr>
      <w:r>
        <w:t xml:space="preserve">Với giá cổ phiếu, hai đoạn khác nhau ở mức giá tuyệt đối do điều chỉnh cổ tức và chia tách tại các thời điểm khác nhau, nhưng tỷ lệ giá giữa hai nguồn không đổi theo thời gian; vì vậy lợi nhuận tháng hai nguồn trùng nhau và đoạn cũ được ghép bằng một hệ số cố định cho từng mã. Riêng dữ liệu VHM trước 05/2018 trên nguồn thô thuộc một doanh nghiệp khác dùng cùng mã trước đó, nên đã bị loại.</w:t>
      </w:r>
    </w:p>
    <w:p>
      <w:pPr>
        <w:pStyle w:val="BodyText"/>
      </w:pPr>
      <w:r>
        <w:t xml:space="preserve">Lãi suất tiền gửi trước 07/2020 được dựng từ 56 mốc điều chỉnh biểu lãi suất Vietcombank đăng trên báo chí; mỗi mốc ghi ngày hiệu lực, mức lãi suất các kỳ hạn và đường dẫn bài báo nguồn. Giữa hai mốc, lãi suất được giữ nguyên theo dạng bậc thang. Giai đoạn 01–08/2016 chưa tìm được nguồn xác nhận nên được gắn cờ riêng trong dữ liệu. Trên 48 tháng trùng với nguồn pricedancing (08/2022–07/2026), 44 tháng khớp tuyệt đối và các tháng còn lại chỉ lệch 0,1–0,2 điểm % do ngày hiệu lực rơi vào giữa tháng.</w:t>
      </w:r>
    </w:p>
    <w:bookmarkEnd w:id="60"/>
    <w:bookmarkStart w:id="64" w:name="X1dbffce642470757b3df3645fa1346c4f3f9f5c"/>
    <w:p>
      <w:pPr>
        <w:pStyle w:val="Heading3"/>
      </w:pPr>
      <w:r>
        <w:t xml:space="preserve">3.2.2 Dựng lại giá vàng SJC theo chế độ point-in-time</w:t>
      </w:r>
    </w:p>
    <w:p>
      <w:pPr>
        <w:pStyle w:val="FirstParagraph"/>
      </w:pPr>
      <w:r>
        <w:t xml:space="preserve">Giá vàng SJC hằng tháng chỉ có từ 08/2022. Trước đó, nguồn dữ liệu chỉ cung cấp một giá cho mỗi 6 tháng (trước 2020) hoặc 4 tháng (2020–07/2022), gọi là các điểm neo. Giá các tháng giữa hai neo được dựng lại từ giá vàng thế giới:</w:t>
      </w:r>
    </w:p>
    <w:p>
      <w:pPr>
        <w:pStyle w:val="BodyText"/>
      </w:pPr>
      <m:oMathPara>
        <m:oMathParaPr>
          <m:jc m:val="center"/>
        </m:oMathParaPr>
        <m:oMath>
          <m:sSubSup>
            <m:e>
              <m:r>
                <m:t>P</m:t>
              </m:r>
            </m:e>
            <m:sub>
              <m:r>
                <m:t>t</m:t>
              </m:r>
            </m:sub>
            <m:sup>
              <m:r>
                <m:t>S</m:t>
              </m:r>
              <m:r>
                <m:t>J</m:t>
              </m:r>
              <m:r>
                <m:t>C</m:t>
              </m:r>
            </m:sup>
          </m:sSubSup>
          <m:r>
            <m:rPr>
              <m:sty m:val="p"/>
            </m:rPr>
            <m:t>=</m:t>
          </m:r>
          <m:sSubSup>
            <m:e>
              <m:r>
                <m:t>P</m:t>
              </m:r>
            </m:e>
            <m:sub>
              <m:r>
                <m:t>t</m:t>
              </m:r>
            </m:sub>
            <m:sup>
              <m:r>
                <m:t>W</m:t>
              </m:r>
              <m:r>
                <m:t>B</m:t>
              </m:r>
            </m:sup>
          </m:sSubSup>
          <m:r>
            <m:rPr>
              <m:sty m:val="p"/>
            </m:rPr>
            <m:t>×</m:t>
          </m:r>
          <m:r>
            <m:t>1</m:t>
          </m:r>
          <m:r>
            <m:rPr>
              <m:sty m:val="p"/>
            </m:rPr>
            <m:t>,</m:t>
          </m:r>
          <m:r>
            <m:t>20565</m:t>
          </m:r>
          <m:r>
            <m:rPr>
              <m:sty m:val="p"/>
            </m:rPr>
            <m:t>×</m:t>
          </m:r>
          <m:r>
            <m:t>F</m:t>
          </m:r>
          <m:sSub>
            <m:e>
              <m:r>
                <m:t>X</m:t>
              </m:r>
            </m:e>
            <m:sub>
              <m:r>
                <m:t>t</m:t>
              </m:r>
            </m:sub>
          </m:sSub>
          <m:r>
            <m:rPr>
              <m:sty m:val="p"/>
            </m:rPr>
            <m:t>×</m:t>
          </m:r>
          <m:sSub>
            <m:e>
              <m:r>
                <m:t>b</m:t>
              </m:r>
            </m:e>
            <m:sub>
              <m:r>
                <m:t>t</m:t>
              </m:r>
            </m:sub>
          </m:sSub>
        </m:oMath>
      </m:oMathPara>
    </w:p>
    <w:p>
      <w:pPr>
        <w:pStyle w:val="FirstParagraph"/>
      </w:pPr>
      <w:r>
        <w:t xml:space="preserve">trong đó P^WB là giá vàng thế giới bình quân tháng (USD/ounce, World Bank), 1,20565 là số ounce trong một lượng, FX là tỷ giá VND/USD bình quân tháng (IMF) và b là hệ số chênh lệch giữa giá SJC và giá thế giới quy đổi (b = 1 + s, với s là mức chênh lệch tương đối). Hệ số b được tính tại các điểm neo rồi nội suy tuyến tính theo logarit giữa hai neo. Nói cách khác, phương pháp nội suy</w:t>
      </w:r>
      <w:r>
        <w:t xml:space="preserve"> </w:t>
      </w:r>
      <w:r>
        <w:rPr>
          <w:iCs/>
          <w:i/>
        </w:rPr>
        <w:t xml:space="preserve">chênh lệch</w:t>
      </w:r>
      <w:r>
        <w:t xml:space="preserve"> </w:t>
      </w:r>
      <w:r>
        <w:t xml:space="preserve">chứ không nội suy</w:t>
      </w:r>
      <w:r>
        <w:t xml:space="preserve"> </w:t>
      </w:r>
      <w:r>
        <w:rPr>
          <w:iCs/>
          <w:i/>
        </w:rPr>
        <w:t xml:space="preserve">giá</w:t>
      </w:r>
      <w:r>
        <w:t xml:space="preserve">: biến động tháng của giá dựng lại đến từ biến động thật của giá vàng thế giới và tỷ giá, chỉ phần chênh lệch là được làm trơn. Tháng trước neo đầu tiên giữ hệ số của neo đầu, tối đa 2 tháng.</w:t>
      </w:r>
    </w:p>
    <w:p>
      <w:pPr>
        <w:pStyle w:val="CaptionedFigure"/>
      </w:pPr>
      <w:r>
        <w:drawing>
          <wp:inline>
            <wp:extent cx="5753100" cy="2739571"/>
            <wp:effectExtent b="0" l="0" r="0" t="0"/>
            <wp:docPr descr="Hình 3.2. Giá vàng SJC: điểm neo và chuỗi dùng trong nghiên cứu" title="" id="62" name="Picture"/>
            <a:graphic>
              <a:graphicData uri="http://schemas.openxmlformats.org/drawingml/2006/picture">
                <pic:pic>
                  <pic:nvPicPr>
                    <pic:cNvPr descr="img/h3_gold.png" id="63" name="Picture"/>
                    <pic:cNvPicPr>
                      <a:picLocks noChangeArrowheads="1" noChangeAspect="1"/>
                    </pic:cNvPicPr>
                  </pic:nvPicPr>
                  <pic:blipFill>
                    <a:blip r:embed="rId61"/>
                    <a:stretch>
                      <a:fillRect/>
                    </a:stretch>
                  </pic:blipFill>
                  <pic:spPr bwMode="auto">
                    <a:xfrm>
                      <a:off x="0" y="0"/>
                      <a:ext cx="5753100" cy="2739571"/>
                    </a:xfrm>
                    <a:prstGeom prst="rect">
                      <a:avLst/>
                    </a:prstGeom>
                    <a:noFill/>
                    <a:ln w="9525">
                      <a:noFill/>
                      <a:headEnd/>
                      <a:tailEnd/>
                    </a:ln>
                  </pic:spPr>
                </pic:pic>
              </a:graphicData>
            </a:graphic>
          </wp:inline>
        </w:drawing>
      </w:r>
    </w:p>
    <w:p>
      <w:pPr>
        <w:pStyle w:val="ImageCaption"/>
      </w:pPr>
      <w:r>
        <w:t xml:space="preserve">Hình 3.2. Giá vàng SJC: điểm neo và chuỗi dùng trong nghiên cứu</w:t>
      </w:r>
    </w:p>
    <w:p>
      <w:pPr>
        <w:pStyle w:val="SourceNote"/>
      </w:pPr>
      <w:r>
        <w:t xml:space="preserve">Nguồn: Tác giả tính toán từ dữ liệu nghiên cứu.</w:t>
      </w:r>
    </w:p>
    <w:p>
      <w:pPr>
        <w:pStyle w:val="BodyText"/>
      </w:pPr>
      <w:r>
        <w:t xml:space="preserve">Nếu nội suy bằng cả neo sau thời điểm quyết định, mô hình sẽ dùng thông tin chưa có vào lúc đó (look-ahead bias). Vì vậy nghiên cứu tạo hai chuỗi vàng:</w:t>
      </w:r>
    </w:p>
    <w:p>
      <w:pPr>
        <w:numPr>
          <w:ilvl w:val="0"/>
          <w:numId w:val="1008"/>
        </w:numPr>
      </w:pPr>
      <w:r>
        <w:rPr>
          <w:bCs/>
          <w:b/>
        </w:rPr>
        <w:t xml:space="preserve">Chuỗi point-in-time</w:t>
      </w:r>
      <w:r>
        <w:t xml:space="preserve"> </w:t>
      </w:r>
      <w:r>
        <w:t xml:space="preserve">dùng để ước lượng rủi ro và làm biến đầu vào cho mô hình dự báo. Tại tháng t, chuỗi này chỉ dùng các neo đã biết đến t; sau neo gần nhất, hệ số chênh lệch b được giữ nguyên. Lợi nhuận, động lượng, độ biến động và chênh lệch giá của tháng t đều tính trên</w:t>
      </w:r>
      <w:r>
        <w:t xml:space="preserve"> </w:t>
      </w:r>
      <w:r>
        <w:t xml:space="preserve">“</w:t>
      </w:r>
      <w:r>
        <w:t xml:space="preserve">phiên bản t</w:t>
      </w:r>
      <w:r>
        <w:t xml:space="preserve">”</w:t>
      </w:r>
      <w:r>
        <w:t xml:space="preserve"> </w:t>
      </w:r>
      <w:r>
        <w:t xml:space="preserve">này.</w:t>
      </w:r>
    </w:p>
    <w:p>
      <w:pPr>
        <w:numPr>
          <w:ilvl w:val="0"/>
          <w:numId w:val="1008"/>
        </w:numPr>
      </w:pPr>
      <w:r>
        <w:rPr>
          <w:bCs/>
          <w:b/>
        </w:rPr>
        <w:t xml:space="preserve">Chuỗi dựng lại đầy đủ</w:t>
      </w:r>
      <w:r>
        <w:t xml:space="preserve"> </w:t>
      </w:r>
      <w:r>
        <w:t xml:space="preserve">dùng để tính lợi nhuận thực hiện của danh mục, vì lợi nhuận đã xảy ra thì được phép dùng giá tốt nhất hiện có.</w:t>
      </w:r>
    </w:p>
    <w:p>
      <w:pPr>
        <w:pStyle w:val="FirstParagraph"/>
      </w:pPr>
      <w:r>
        <w:t xml:space="preserve">Một kiểm thử tự động xác nhận điều này: khi thay đổi giá của một neo nằm sau thời điểm quyết định, chuỗi ước lượng và tỷ trọng tại thời điểm đó không đổi.</w:t>
      </w:r>
    </w:p>
    <w:p>
      <w:pPr>
        <w:pStyle w:val="BodyText"/>
      </w:pPr>
      <w:r>
        <w:rPr>
          <w:bCs/>
          <w:b/>
        </w:rPr>
        <w:t xml:space="preserve">Ví dụ tính cho tháng 03/2019.</w:t>
      </w:r>
      <w:r>
        <w:t xml:space="preserve"> </w:t>
      </w:r>
      <w:r>
        <w:t xml:space="preserve">Tháng này nằm giữa hai điểm neo 6 tháng: neo 12/2018 có giá SJC 36,42 triệu đồng/lượng và neo 06/2019 có giá 38,775 triệu đồng/lượng. Tại hai neo, hệ số chênh lệch được tính bằng giá SJC chia giá thế giới quy đổi; theo logarit, ln b bằng 0,0589 tại neo 12/2018 (giá SJC cao hơn giá thế giới quy đổi khoảng 6,1%) và 0,0259 tại neo 06/2019 (khoảng 2,6%). Giá vàng thế giới bình quân tháng 03/2019 là 1.301 USD/ounce và tỷ giá bình quân là 22.952,73 đồng/USD, nên giá thế giới quy đổi bằng 1.301 × 1,20565 × 22.952,73 ≈ 36,00 triệu đồng/lượng.</w:t>
      </w:r>
    </w:p>
    <w:p>
      <w:pPr>
        <w:numPr>
          <w:ilvl w:val="0"/>
          <w:numId w:val="1009"/>
        </w:numPr>
      </w:pPr>
      <w:r>
        <w:rPr>
          <w:iCs/>
          <w:i/>
        </w:rPr>
        <w:t xml:space="preserve">Chuỗi dựng lại đầy đủ</w:t>
      </w:r>
      <w:r>
        <w:t xml:space="preserve"> </w:t>
      </w:r>
      <w:r>
        <w:t xml:space="preserve">nội suy ln b theo thời gian giữa hai neo; tháng 03/2019 nằm khoảng giữa nên ln b ≈ 0,0426 (chênh lệch khoảng 4,4%), cho giá 36,00 × e^0,0426 ≈ 37,57 triệu đồng và lợi nhuận tháng −1,72%.</w:t>
      </w:r>
    </w:p>
    <w:p>
      <w:pPr>
        <w:numPr>
          <w:ilvl w:val="0"/>
          <w:numId w:val="1009"/>
        </w:numPr>
      </w:pPr>
      <w:r>
        <w:rPr>
          <w:iCs/>
          <w:i/>
        </w:rPr>
        <w:t xml:space="preserve">Chuỗi point-in-time</w:t>
      </w:r>
      <w:r>
        <w:t xml:space="preserve"> </w:t>
      </w:r>
      <w:r>
        <w:t xml:space="preserve">tại cuối tháng 03/2019 chưa biết neo 06/2019, nên giữ nguyên ln b = 0,0589 của neo gần nhất, cho giá 36,00 × e^0,0589 ≈ 38,19 triệu đồng và lợi nhuận tháng −1,22%.</w:t>
      </w:r>
    </w:p>
    <w:p>
      <w:pPr>
        <w:pStyle w:val="FirstParagraph"/>
      </w:pPr>
      <w:r>
        <w:t xml:space="preserve">Chênh lệch giữa hai chuỗi trong tháng này (0,5 điểm %) đến hoàn toàn từ việc chuỗi đầy đủ</w:t>
      </w:r>
      <w:r>
        <w:t xml:space="preserve"> </w:t>
      </w:r>
      <w:r>
        <w:t xml:space="preserve">“</w:t>
      </w:r>
      <w:r>
        <w:t xml:space="preserve">biết trước</w:t>
      </w:r>
      <w:r>
        <w:t xml:space="preserve">”</w:t>
      </w:r>
      <w:r>
        <w:t xml:space="preserve"> </w:t>
      </w:r>
      <w:r>
        <w:t xml:space="preserve">rằng chênh lệch giá SJC sẽ thu hẹp từ 6,1% xuống 2,6% trong ba tháng tiếp theo. Nếu dùng chuỗi đầy đủ để tính động lượng hay ước lượng rủi ro tại thời điểm quyết định, mô hình sẽ được hưởng lợi từ thông tin này một cách không chính đáng. Sau khi neo 06/2019 được công bố, hai chuỗi trùng nhau tại tháng neo và tiếp tục tách ra cho đến neo kế tiếp.</w:t>
      </w:r>
    </w:p>
    <w:p>
      <w:pPr>
        <w:pStyle w:val="BodyText"/>
      </w:pPr>
      <w:r>
        <w:t xml:space="preserve">Để đánh giá độ chính xác của cách dựng lại, phương pháp được chạy thử trên 47 tháng có giá thật (2022–2026): giữ lại một giá mỗi 4 tháng làm neo, dựng lại các tháng còn lại và so với giá thật. Thử nghiệm được lặp với 4 cách chọn vị trí neo (bắt đầu từ tháng thứ nhất, hai, ba hoặc tư).</w:t>
      </w:r>
    </w:p>
    <w:p>
      <w:pPr>
        <w:pStyle w:val="TableCaption"/>
      </w:pPr>
      <w:r>
        <w:t xml:space="preserve">Bảng 3.4. Kiểm chứng phương pháp dựng lại giá vàng trên 47 tháng có giá thật</w:t>
      </w:r>
    </w:p>
    <w:tbl>
      <w:tblPr>
        <w:tblStyle w:val="Table"/>
        <w:tblW w:type="pct" w:w="5000"/>
        <w:jc w:val="center"/>
        <w:tblLook w:firstRow="1" w:lastRow="0" w:firstColumn="0" w:lastColumn="0" w:noHBand="0" w:noVBand="0" w:val="0020"/>
        <w:tblCaption w:val="Bảng 3.4. Kiểm chứng phương pháp dựng lại giá vàng trên 47 tháng có giá thật"/>
      </w:tblPr>
      <w:tblGrid>
        <w:gridCol w:w="682"/>
        <w:gridCol w:w="1433"/>
        <w:gridCol w:w="1502"/>
        <w:gridCol w:w="1092"/>
        <w:gridCol w:w="1092"/>
        <w:gridCol w:w="1228"/>
        <w:gridCol w:w="887"/>
      </w:tblGrid>
      <w:tr>
        <w:trPr>
          <w:tblHeader w:val="true"/>
        </w:trPr>
        <w:tc>
          <w:tcPr/>
          <w:p>
            <w:pPr>
              <w:pStyle w:val="Compact"/>
              <w:jc w:val="center"/>
            </w:pPr>
            <w:r>
              <w:rPr>
                <w:b/>
              </w:rPr>
              <w:t xml:space="preserve">Vị trí neo</w:t>
            </w:r>
          </w:p>
        </w:tc>
        <w:tc>
          <w:tcPr/>
          <w:p>
            <w:pPr>
              <w:pStyle w:val="Compact"/>
              <w:jc w:val="center"/>
            </w:pPr>
            <w:r>
              <w:rPr>
                <w:b/>
              </w:rPr>
              <w:t xml:space="preserve">Tương quan lợi nhuận: dựng lại</w:t>
            </w:r>
          </w:p>
        </w:tc>
        <w:tc>
          <w:tcPr/>
          <w:p>
            <w:pPr>
              <w:pStyle w:val="Compact"/>
              <w:jc w:val="center"/>
            </w:pPr>
            <w:r>
              <w:rPr>
                <w:b/>
              </w:rPr>
              <w:t xml:space="preserve">Tương quan lợi nhuận: nội suy giá</w:t>
            </w:r>
          </w:p>
        </w:tc>
        <w:tc>
          <w:tcPr/>
          <w:p>
            <w:pPr>
              <w:pStyle w:val="Compact"/>
              <w:jc w:val="center"/>
            </w:pPr>
            <w:r>
              <w:rPr>
                <w:b/>
              </w:rPr>
              <w:t xml:space="preserve">Độ biến động: giá thật</w:t>
            </w:r>
          </w:p>
        </w:tc>
        <w:tc>
          <w:tcPr/>
          <w:p>
            <w:pPr>
              <w:pStyle w:val="Compact"/>
              <w:jc w:val="center"/>
            </w:pPr>
            <w:r>
              <w:rPr>
                <w:b/>
              </w:rPr>
              <w:t xml:space="preserve">Độ biến động: dựng lại</w:t>
            </w:r>
          </w:p>
        </w:tc>
        <w:tc>
          <w:tcPr/>
          <w:p>
            <w:pPr>
              <w:pStyle w:val="Compact"/>
              <w:jc w:val="center"/>
            </w:pPr>
            <w:r>
              <w:rPr>
                <w:b/>
              </w:rPr>
              <w:t xml:space="preserve">Độ biến động: nội suy giá</w:t>
            </w:r>
          </w:p>
        </w:tc>
        <w:tc>
          <w:tcPr/>
          <w:p>
            <w:pPr>
              <w:pStyle w:val="Compact"/>
              <w:jc w:val="center"/>
            </w:pPr>
            <w:r>
              <w:rPr>
                <w:b/>
              </w:rPr>
              <w:t xml:space="preserve">Sai số giá (RMSE)</w:t>
            </w:r>
          </w:p>
        </w:tc>
      </w:tr>
      <w:tr>
        <w:trPr>
          <w:cantSplit/>
        </w:trPr>
        <w:tc>
          <w:tcPr/>
          <w:p>
            <w:pPr>
              <w:pStyle w:val="Compact"/>
              <w:jc w:val="left"/>
            </w:pPr>
            <w:r>
              <w:t xml:space="preserve">Tháng 1</w:t>
            </w:r>
          </w:p>
        </w:tc>
        <w:tc>
          <w:tcPr/>
          <w:p>
            <w:pPr>
              <w:pStyle w:val="Compact"/>
              <w:jc w:val="left"/>
            </w:pPr>
            <w:r>
              <w:t xml:space="preserve">0,70</w:t>
            </w:r>
          </w:p>
        </w:tc>
        <w:tc>
          <w:tcPr/>
          <w:p>
            <w:pPr>
              <w:pStyle w:val="Compact"/>
              <w:jc w:val="left"/>
            </w:pPr>
            <w:r>
              <w:t xml:space="preserve">0,57</w:t>
            </w:r>
          </w:p>
        </w:tc>
        <w:tc>
          <w:tcPr/>
          <w:p>
            <w:pPr>
              <w:pStyle w:val="Compact"/>
              <w:jc w:val="left"/>
            </w:pPr>
            <w:r>
              <w:t xml:space="preserve">18,6%</w:t>
            </w:r>
          </w:p>
        </w:tc>
        <w:tc>
          <w:tcPr/>
          <w:p>
            <w:pPr>
              <w:pStyle w:val="Compact"/>
              <w:jc w:val="left"/>
            </w:pPr>
            <w:r>
              <w:t xml:space="preserve">14,4%</w:t>
            </w:r>
          </w:p>
        </w:tc>
        <w:tc>
          <w:tcPr/>
          <w:p>
            <w:pPr>
              <w:pStyle w:val="Compact"/>
              <w:jc w:val="left"/>
            </w:pPr>
            <w:r>
              <w:t xml:space="preserve">9,7%</w:t>
            </w:r>
          </w:p>
        </w:tc>
        <w:tc>
          <w:tcPr/>
          <w:p>
            <w:pPr>
              <w:pStyle w:val="Compact"/>
              <w:jc w:val="left"/>
            </w:pPr>
            <w:r>
              <w:t xml:space="preserve">4,3%</w:t>
            </w:r>
          </w:p>
        </w:tc>
      </w:tr>
      <w:tr>
        <w:trPr>
          <w:cantSplit/>
        </w:trPr>
        <w:tc>
          <w:tcPr/>
          <w:p>
            <w:pPr>
              <w:pStyle w:val="Compact"/>
              <w:jc w:val="left"/>
            </w:pPr>
            <w:r>
              <w:t xml:space="preserve">Tháng 2</w:t>
            </w:r>
          </w:p>
        </w:tc>
        <w:tc>
          <w:tcPr/>
          <w:p>
            <w:pPr>
              <w:pStyle w:val="Compact"/>
              <w:jc w:val="left"/>
            </w:pPr>
            <w:r>
              <w:t xml:space="preserve">0,69</w:t>
            </w:r>
          </w:p>
        </w:tc>
        <w:tc>
          <w:tcPr/>
          <w:p>
            <w:pPr>
              <w:pStyle w:val="Compact"/>
              <w:jc w:val="left"/>
            </w:pPr>
            <w:r>
              <w:t xml:space="preserve">0,54</w:t>
            </w:r>
          </w:p>
        </w:tc>
        <w:tc>
          <w:tcPr/>
          <w:p>
            <w:pPr>
              <w:pStyle w:val="Compact"/>
              <w:jc w:val="left"/>
            </w:pPr>
            <w:r>
              <w:t xml:space="preserve">18,6%</w:t>
            </w:r>
          </w:p>
        </w:tc>
        <w:tc>
          <w:tcPr/>
          <w:p>
            <w:pPr>
              <w:pStyle w:val="Compact"/>
              <w:jc w:val="left"/>
            </w:pPr>
            <w:r>
              <w:t xml:space="preserve">13,7%</w:t>
            </w:r>
          </w:p>
        </w:tc>
        <w:tc>
          <w:tcPr/>
          <w:p>
            <w:pPr>
              <w:pStyle w:val="Compact"/>
              <w:jc w:val="left"/>
            </w:pPr>
            <w:r>
              <w:t xml:space="preserve">9,3%</w:t>
            </w:r>
          </w:p>
        </w:tc>
        <w:tc>
          <w:tcPr/>
          <w:p>
            <w:pPr>
              <w:pStyle w:val="Compact"/>
              <w:jc w:val="left"/>
            </w:pPr>
            <w:r>
              <w:t xml:space="preserve">3,3%</w:t>
            </w:r>
          </w:p>
        </w:tc>
      </w:tr>
      <w:tr>
        <w:trPr>
          <w:cantSplit/>
        </w:trPr>
        <w:tc>
          <w:tcPr/>
          <w:p>
            <w:pPr>
              <w:pStyle w:val="Compact"/>
              <w:jc w:val="left"/>
            </w:pPr>
            <w:r>
              <w:t xml:space="preserve">Tháng 3</w:t>
            </w:r>
          </w:p>
        </w:tc>
        <w:tc>
          <w:tcPr/>
          <w:p>
            <w:pPr>
              <w:pStyle w:val="Compact"/>
              <w:jc w:val="left"/>
            </w:pPr>
            <w:r>
              <w:t xml:space="preserve">0,77</w:t>
            </w:r>
          </w:p>
        </w:tc>
        <w:tc>
          <w:tcPr/>
          <w:p>
            <w:pPr>
              <w:pStyle w:val="Compact"/>
              <w:jc w:val="left"/>
            </w:pPr>
            <w:r>
              <w:t xml:space="preserve">0,68</w:t>
            </w:r>
          </w:p>
        </w:tc>
        <w:tc>
          <w:tcPr/>
          <w:p>
            <w:pPr>
              <w:pStyle w:val="Compact"/>
              <w:jc w:val="left"/>
            </w:pPr>
            <w:r>
              <w:t xml:space="preserve">18,6%</w:t>
            </w:r>
          </w:p>
        </w:tc>
        <w:tc>
          <w:tcPr/>
          <w:p>
            <w:pPr>
              <w:pStyle w:val="Compact"/>
              <w:jc w:val="left"/>
            </w:pPr>
            <w:r>
              <w:t xml:space="preserve">16,0%</w:t>
            </w:r>
          </w:p>
        </w:tc>
        <w:tc>
          <w:tcPr/>
          <w:p>
            <w:pPr>
              <w:pStyle w:val="Compact"/>
              <w:jc w:val="left"/>
            </w:pPr>
            <w:r>
              <w:t xml:space="preserve">12,3%</w:t>
            </w:r>
          </w:p>
        </w:tc>
        <w:tc>
          <w:tcPr/>
          <w:p>
            <w:pPr>
              <w:pStyle w:val="Compact"/>
              <w:jc w:val="left"/>
            </w:pPr>
            <w:r>
              <w:t xml:space="preserve">3,5%</w:t>
            </w:r>
          </w:p>
        </w:tc>
      </w:tr>
      <w:tr>
        <w:trPr>
          <w:cantSplit/>
        </w:trPr>
        <w:tc>
          <w:tcPr/>
          <w:p>
            <w:pPr>
              <w:pStyle w:val="Compact"/>
              <w:jc w:val="left"/>
            </w:pPr>
            <w:r>
              <w:t xml:space="preserve">Tháng 4</w:t>
            </w:r>
          </w:p>
        </w:tc>
        <w:tc>
          <w:tcPr/>
          <w:p>
            <w:pPr>
              <w:pStyle w:val="Compact"/>
              <w:jc w:val="left"/>
            </w:pPr>
            <w:r>
              <w:t xml:space="preserve">0,72</w:t>
            </w:r>
          </w:p>
        </w:tc>
        <w:tc>
          <w:tcPr/>
          <w:p>
            <w:pPr>
              <w:pStyle w:val="Compact"/>
              <w:jc w:val="left"/>
            </w:pPr>
            <w:r>
              <w:t xml:space="preserve">0,56</w:t>
            </w:r>
          </w:p>
        </w:tc>
        <w:tc>
          <w:tcPr/>
          <w:p>
            <w:pPr>
              <w:pStyle w:val="Compact"/>
              <w:jc w:val="left"/>
            </w:pPr>
            <w:r>
              <w:t xml:space="preserve">18,6%</w:t>
            </w:r>
          </w:p>
        </w:tc>
        <w:tc>
          <w:tcPr/>
          <w:p>
            <w:pPr>
              <w:pStyle w:val="Compact"/>
              <w:jc w:val="left"/>
            </w:pPr>
            <w:r>
              <w:t xml:space="preserve">15,0%</w:t>
            </w:r>
          </w:p>
        </w:tc>
        <w:tc>
          <w:tcPr/>
          <w:p>
            <w:pPr>
              <w:pStyle w:val="Compact"/>
              <w:jc w:val="left"/>
            </w:pPr>
            <w:r>
              <w:t xml:space="preserve">10,2%</w:t>
            </w:r>
          </w:p>
        </w:tc>
        <w:tc>
          <w:tcPr/>
          <w:p>
            <w:pPr>
              <w:pStyle w:val="Compact"/>
              <w:jc w:val="left"/>
            </w:pPr>
            <w:r>
              <w:t xml:space="preserve">3,1%</w:t>
            </w:r>
          </w:p>
        </w:tc>
      </w:tr>
      <w:tr>
        <w:trPr>
          <w:cantSplit/>
        </w:trPr>
        <w:tc>
          <w:tcPr/>
          <w:p>
            <w:pPr>
              <w:pStyle w:val="Compact"/>
              <w:jc w:val="left"/>
            </w:pPr>
            <w:r>
              <w:rPr>
                <w:bCs/>
                <w:b/>
              </w:rPr>
              <w:t xml:space="preserve">Bình quân</w:t>
            </w:r>
          </w:p>
        </w:tc>
        <w:tc>
          <w:tcPr/>
          <w:p>
            <w:pPr>
              <w:pStyle w:val="Compact"/>
              <w:jc w:val="left"/>
            </w:pPr>
            <w:r>
              <w:rPr>
                <w:bCs/>
                <w:b/>
              </w:rPr>
              <w:t xml:space="preserve">0,72</w:t>
            </w:r>
          </w:p>
        </w:tc>
        <w:tc>
          <w:tcPr/>
          <w:p>
            <w:pPr>
              <w:pStyle w:val="Compact"/>
              <w:jc w:val="left"/>
            </w:pPr>
            <w:r>
              <w:rPr>
                <w:bCs/>
                <w:b/>
              </w:rPr>
              <w:t xml:space="preserve">0,59</w:t>
            </w:r>
          </w:p>
        </w:tc>
        <w:tc>
          <w:tcPr/>
          <w:p>
            <w:pPr>
              <w:pStyle w:val="Compact"/>
              <w:jc w:val="left"/>
            </w:pPr>
            <w:r>
              <w:rPr>
                <w:bCs/>
                <w:b/>
              </w:rPr>
              <w:t xml:space="preserve">18,6%</w:t>
            </w:r>
          </w:p>
        </w:tc>
        <w:tc>
          <w:tcPr/>
          <w:p>
            <w:pPr>
              <w:pStyle w:val="Compact"/>
              <w:jc w:val="left"/>
            </w:pPr>
            <w:r>
              <w:rPr>
                <w:bCs/>
                <w:b/>
              </w:rPr>
              <w:t xml:space="preserve">14,8%</w:t>
            </w:r>
          </w:p>
        </w:tc>
        <w:tc>
          <w:tcPr/>
          <w:p>
            <w:pPr>
              <w:pStyle w:val="Compact"/>
              <w:jc w:val="left"/>
            </w:pPr>
            <w:r>
              <w:rPr>
                <w:bCs/>
                <w:b/>
              </w:rPr>
              <w:t xml:space="preserve">10,4%</w:t>
            </w:r>
          </w:p>
        </w:tc>
        <w:tc>
          <w:tcPr/>
          <w:p>
            <w:pPr>
              <w:pStyle w:val="Compact"/>
              <w:jc w:val="left"/>
            </w:pPr>
            <w:r>
              <w:rPr>
                <w:bCs/>
                <w:b/>
              </w:rPr>
              <w:t xml:space="preserve">3,5%</w:t>
            </w:r>
          </w:p>
        </w:tc>
      </w:tr>
    </w:tbl>
    <w:p>
      <w:pPr>
        <w:pStyle w:val="BodyText"/>
        <w:spacing w:before="200"/>
      </w:pPr>
      <w:r>
        <w:t xml:space="preserve">Bình quân qua 4 cách chọn neo, tương quan lợi nhuận tháng giữa chuỗi dựng lại và chuỗi thật là 0,72, cao hơn mức 0,59 của cách nội suy thẳng giá SJC. Sai số giá trung bình bình phương là 3,5%. Độ biến động năm hóa của chuỗi dựng lại là 14,8%, thấp hơn mức 18,6% của chuỗi thật nhưng cao hơn nhiều mức 10,4% của nội suy giá. Như vậy cách dựng lại tốt hơn rõ rệt so với cách đơn giản, nhưng rủi ro của vàng trước 2022 vẫn có thể bị ước lượng thấp khoảng 4 điểm %. Để đánh giá ảnh hưởng của hạn chế này, phân tích độ nhạy chạy lại toàn bộ backtest khi bỏ hẳn giá dựng lại (mục 3.7.5).</w:t>
      </w:r>
    </w:p>
    <w:bookmarkEnd w:id="64"/>
    <w:bookmarkStart w:id="65" w:name="X00a09cdb88b632c98c3e609222cd137e5fc40f3"/>
    <w:p>
      <w:pPr>
        <w:pStyle w:val="Heading3"/>
      </w:pPr>
      <w:r>
        <w:t xml:space="preserve">3.2.3 Rổ cổ phiếu bất động sản xác định đầu mỗi năm</w:t>
      </w:r>
    </w:p>
    <w:p>
      <w:pPr>
        <w:pStyle w:val="FirstParagraph"/>
      </w:pPr>
      <w:r>
        <w:t xml:space="preserve">Nếu chọn cố định các mã BĐS đang lớn nhất hiện nay (ví dụ VHM, NVL, KDH, DXG), kết quả sẽ chịu thiên lệch sống sót: các mã này lớn vì đã tăng trưởng tốt trong quá khứ, còn những doanh nghiệp từng lớn rồi suy giảm bị bỏ sót. Nghiên cứu vì vậy xây dựng rổ theo quy tắc cố định trước:</w:t>
      </w:r>
    </w:p>
    <w:p>
      <w:pPr>
        <w:pStyle w:val="BlockText"/>
      </w:pPr>
      <w:r>
        <w:t xml:space="preserve">Đầu mỗi năm N, rổ gồm 4 doanh nghiệp phát triển bất động sản dân dụng có vốn hóa lớn nhất sàn HOSE tại cuối năm N−1, tỷ trọng bằng nhau trong cả năm.</w:t>
      </w:r>
    </w:p>
    <w:p>
      <w:pPr>
        <w:pStyle w:val="FirstParagraph"/>
      </w:pPr>
      <w:r>
        <w:t xml:space="preserve">Quy tắc loại trừ tập đoàn đa ngành (VIC, FLC), doanh nghiệp bán lẻ và cho thuê thương mại (VRE), khu công nghiệp (KBC, ITA) và môi giới BĐS (DXS, CRE), vì lợi nhuận của các doanh nghiệp này phụ thuộc vào những yếu tố khác với thị trường nhà ở. Vốn hóa cuối năm 2018–2025 lấy từ Vietcap IQ. Vốn hóa cuối năm 2014–2017 không có sẵn nên được ước lượng bằng vốn hóa quý 4/2018 nhân với biến động giá điều chỉnh tương đối; cách này bỏ qua việc phát hành thêm cổ phiếu và được nêu là hạn chế.</w:t>
      </w:r>
    </w:p>
    <w:p>
      <w:pPr>
        <w:pStyle w:val="TableCaption"/>
      </w:pPr>
      <w:r>
        <w:t xml:space="preserve">Bảng 3.5. Thành viên rổ cổ phiếu bất động sản theo năm</w:t>
      </w:r>
    </w:p>
    <w:tbl>
      <w:tblPr>
        <w:tblStyle w:val="Table"/>
        <w:tblW w:type="pct" w:w="5000"/>
        <w:jc w:val="center"/>
        <w:tblLook w:firstRow="1" w:lastRow="0" w:firstColumn="0" w:lastColumn="0" w:noHBand="0" w:noVBand="0" w:val="0020"/>
        <w:tblCaption w:val="Bảng 3.5. Thành viên rổ cổ phiếu bất động sản theo năm"/>
      </w:tblPr>
      <w:tblGrid>
        <w:gridCol w:w="1697"/>
        <w:gridCol w:w="3582"/>
        <w:gridCol w:w="2640"/>
      </w:tblGrid>
      <w:tr>
        <w:trPr>
          <w:tblHeader w:val="true"/>
        </w:trPr>
        <w:tc>
          <w:tcPr/>
          <w:p>
            <w:pPr>
              <w:pStyle w:val="Compact"/>
              <w:jc w:val="center"/>
            </w:pPr>
            <w:r>
              <w:rPr>
                <w:b/>
              </w:rPr>
              <w:t xml:space="preserve">Năm</w:t>
            </w:r>
          </w:p>
        </w:tc>
        <w:tc>
          <w:tcPr/>
          <w:p>
            <w:pPr>
              <w:pStyle w:val="Compact"/>
              <w:jc w:val="center"/>
            </w:pPr>
            <w:r>
              <w:rPr>
                <w:b/>
              </w:rPr>
              <w:t xml:space="preserve">Thành viên</w:t>
            </w:r>
          </w:p>
        </w:tc>
        <w:tc>
          <w:tcPr/>
          <w:p>
            <w:pPr>
              <w:pStyle w:val="Compact"/>
              <w:jc w:val="center"/>
            </w:pPr>
            <w:r>
              <w:rPr>
                <w:b/>
              </w:rPr>
              <w:t xml:space="preserve">Căn cứ vốn hóa</w:t>
            </w:r>
          </w:p>
        </w:tc>
      </w:tr>
      <w:tr>
        <w:trPr>
          <w:cantSplit/>
        </w:trPr>
        <w:tc>
          <w:tcPr/>
          <w:p>
            <w:pPr>
              <w:pStyle w:val="Compact"/>
              <w:jc w:val="left"/>
            </w:pPr>
            <w:r>
              <w:t xml:space="preserve">2015</w:t>
            </w:r>
          </w:p>
        </w:tc>
        <w:tc>
          <w:tcPr/>
          <w:p>
            <w:pPr>
              <w:pStyle w:val="Compact"/>
              <w:jc w:val="left"/>
            </w:pPr>
            <w:r>
              <w:t xml:space="preserve">KDH, NLG, DIG, HQC</w:t>
            </w:r>
          </w:p>
        </w:tc>
        <w:tc>
          <w:tcPr/>
          <w:p>
            <w:pPr>
              <w:pStyle w:val="Compact"/>
              <w:jc w:val="left"/>
            </w:pPr>
            <w:r>
              <w:t xml:space="preserve">Ước lượng</w:t>
            </w:r>
          </w:p>
        </w:tc>
      </w:tr>
      <w:tr>
        <w:trPr>
          <w:cantSplit/>
        </w:trPr>
        <w:tc>
          <w:tcPr/>
          <w:p>
            <w:pPr>
              <w:pStyle w:val="Compact"/>
              <w:jc w:val="left"/>
            </w:pPr>
            <w:r>
              <w:t xml:space="preserve">2016</w:t>
            </w:r>
          </w:p>
        </w:tc>
        <w:tc>
          <w:tcPr/>
          <w:p>
            <w:pPr>
              <w:pStyle w:val="Compact"/>
              <w:jc w:val="left"/>
            </w:pPr>
            <w:r>
              <w:t xml:space="preserve">KDH, NLG, DXG, PDR</w:t>
            </w:r>
          </w:p>
        </w:tc>
        <w:tc>
          <w:tcPr/>
          <w:p>
            <w:pPr>
              <w:pStyle w:val="Compact"/>
              <w:jc w:val="left"/>
            </w:pPr>
            <w:r>
              <w:t xml:space="preserve">Ước lượng</w:t>
            </w:r>
          </w:p>
        </w:tc>
      </w:tr>
      <w:tr>
        <w:trPr>
          <w:cantSplit/>
        </w:trPr>
        <w:tc>
          <w:tcPr/>
          <w:p>
            <w:pPr>
              <w:pStyle w:val="Compact"/>
              <w:jc w:val="left"/>
            </w:pPr>
            <w:r>
              <w:t xml:space="preserve">2017</w:t>
            </w:r>
          </w:p>
        </w:tc>
        <w:tc>
          <w:tcPr/>
          <w:p>
            <w:pPr>
              <w:pStyle w:val="Compact"/>
              <w:jc w:val="left"/>
            </w:pPr>
            <w:r>
              <w:t xml:space="preserve">NVL, TCH, KDH, NLG</w:t>
            </w:r>
          </w:p>
        </w:tc>
        <w:tc>
          <w:tcPr/>
          <w:p>
            <w:pPr>
              <w:pStyle w:val="Compact"/>
              <w:jc w:val="left"/>
            </w:pPr>
            <w:r>
              <w:t xml:space="preserve">Ước lượng</w:t>
            </w:r>
          </w:p>
        </w:tc>
      </w:tr>
      <w:tr>
        <w:trPr>
          <w:cantSplit/>
        </w:trPr>
        <w:tc>
          <w:tcPr/>
          <w:p>
            <w:pPr>
              <w:pStyle w:val="Compact"/>
              <w:jc w:val="left"/>
            </w:pPr>
            <w:r>
              <w:t xml:space="preserve">2018</w:t>
            </w:r>
          </w:p>
        </w:tc>
        <w:tc>
          <w:tcPr/>
          <w:p>
            <w:pPr>
              <w:pStyle w:val="Compact"/>
              <w:jc w:val="left"/>
            </w:pPr>
            <w:r>
              <w:t xml:space="preserve">NVL, KDH, PDR, TCH</w:t>
            </w:r>
          </w:p>
        </w:tc>
        <w:tc>
          <w:tcPr/>
          <w:p>
            <w:pPr>
              <w:pStyle w:val="Compact"/>
              <w:jc w:val="left"/>
            </w:pPr>
            <w:r>
              <w:t xml:space="preserve">Ước lượng</w:t>
            </w:r>
          </w:p>
        </w:tc>
      </w:tr>
      <w:tr>
        <w:trPr>
          <w:cantSplit/>
        </w:trPr>
        <w:tc>
          <w:tcPr/>
          <w:p>
            <w:pPr>
              <w:pStyle w:val="Compact"/>
              <w:jc w:val="left"/>
            </w:pPr>
            <w:r>
              <w:t xml:space="preserve">2019</w:t>
            </w:r>
          </w:p>
        </w:tc>
        <w:tc>
          <w:tcPr/>
          <w:p>
            <w:pPr>
              <w:pStyle w:val="Compact"/>
              <w:jc w:val="left"/>
            </w:pPr>
            <w:r>
              <w:t xml:space="preserve">VHM, NVL, KDH, DXG</w:t>
            </w:r>
          </w:p>
        </w:tc>
        <w:tc>
          <w:tcPr/>
          <w:p>
            <w:pPr>
              <w:pStyle w:val="Compact"/>
              <w:jc w:val="left"/>
            </w:pPr>
            <w:r>
              <w:t xml:space="preserve">Vietcap IQ</w:t>
            </w:r>
          </w:p>
        </w:tc>
      </w:tr>
      <w:tr>
        <w:trPr>
          <w:cantSplit/>
        </w:trPr>
        <w:tc>
          <w:tcPr/>
          <w:p>
            <w:pPr>
              <w:pStyle w:val="Compact"/>
              <w:jc w:val="left"/>
            </w:pPr>
            <w:r>
              <w:t xml:space="preserve">2020</w:t>
            </w:r>
          </w:p>
        </w:tc>
        <w:tc>
          <w:tcPr/>
          <w:p>
            <w:pPr>
              <w:pStyle w:val="Compact"/>
              <w:jc w:val="left"/>
            </w:pPr>
            <w:r>
              <w:t xml:space="preserve">VHM, NVL, KDH, PDR</w:t>
            </w:r>
          </w:p>
        </w:tc>
        <w:tc>
          <w:tcPr/>
          <w:p>
            <w:pPr>
              <w:pStyle w:val="Compact"/>
              <w:jc w:val="left"/>
            </w:pPr>
            <w:r>
              <w:t xml:space="preserve">Vietcap IQ</w:t>
            </w:r>
          </w:p>
        </w:tc>
      </w:tr>
      <w:tr>
        <w:trPr>
          <w:cantSplit/>
        </w:trPr>
        <w:tc>
          <w:tcPr/>
          <w:p>
            <w:pPr>
              <w:pStyle w:val="Compact"/>
              <w:jc w:val="left"/>
            </w:pPr>
            <w:r>
              <w:t xml:space="preserve">2021</w:t>
            </w:r>
          </w:p>
        </w:tc>
        <w:tc>
          <w:tcPr/>
          <w:p>
            <w:pPr>
              <w:pStyle w:val="Compact"/>
              <w:jc w:val="left"/>
            </w:pPr>
            <w:r>
              <w:t xml:space="preserve">VHM, NVL, PDR, KDH</w:t>
            </w:r>
          </w:p>
        </w:tc>
        <w:tc>
          <w:tcPr/>
          <w:p>
            <w:pPr>
              <w:pStyle w:val="Compact"/>
              <w:jc w:val="left"/>
            </w:pPr>
            <w:r>
              <w:t xml:space="preserve">Vietcap IQ</w:t>
            </w:r>
          </w:p>
        </w:tc>
      </w:tr>
      <w:tr>
        <w:trPr>
          <w:cantSplit/>
        </w:trPr>
        <w:tc>
          <w:tcPr/>
          <w:p>
            <w:pPr>
              <w:pStyle w:val="Compact"/>
              <w:jc w:val="left"/>
            </w:pPr>
            <w:r>
              <w:t xml:space="preserve">2022</w:t>
            </w:r>
          </w:p>
        </w:tc>
        <w:tc>
          <w:tcPr/>
          <w:p>
            <w:pPr>
              <w:pStyle w:val="Compact"/>
              <w:jc w:val="left"/>
            </w:pPr>
            <w:r>
              <w:t xml:space="preserve">VHM, NVL, PDR, DIG</w:t>
            </w:r>
          </w:p>
        </w:tc>
        <w:tc>
          <w:tcPr/>
          <w:p>
            <w:pPr>
              <w:pStyle w:val="Compact"/>
              <w:jc w:val="left"/>
            </w:pPr>
            <w:r>
              <w:t xml:space="preserve">Vietcap IQ</w:t>
            </w:r>
          </w:p>
        </w:tc>
      </w:tr>
      <w:tr>
        <w:trPr>
          <w:cantSplit/>
        </w:trPr>
        <w:tc>
          <w:tcPr/>
          <w:p>
            <w:pPr>
              <w:pStyle w:val="Compact"/>
              <w:jc w:val="left"/>
            </w:pPr>
            <w:r>
              <w:t xml:space="preserve">2023</w:t>
            </w:r>
          </w:p>
        </w:tc>
        <w:tc>
          <w:tcPr/>
          <w:p>
            <w:pPr>
              <w:pStyle w:val="Compact"/>
              <w:jc w:val="left"/>
            </w:pPr>
            <w:r>
              <w:t xml:space="preserve">VHM, NVL, KDH, VPI</w:t>
            </w:r>
          </w:p>
        </w:tc>
        <w:tc>
          <w:tcPr/>
          <w:p>
            <w:pPr>
              <w:pStyle w:val="Compact"/>
              <w:jc w:val="left"/>
            </w:pPr>
            <w:r>
              <w:t xml:space="preserve">Vietcap IQ</w:t>
            </w:r>
          </w:p>
        </w:tc>
      </w:tr>
      <w:tr>
        <w:trPr>
          <w:cantSplit/>
        </w:trPr>
        <w:tc>
          <w:tcPr/>
          <w:p>
            <w:pPr>
              <w:pStyle w:val="Compact"/>
              <w:jc w:val="left"/>
            </w:pPr>
            <w:r>
              <w:t xml:space="preserve">2024</w:t>
            </w:r>
          </w:p>
        </w:tc>
        <w:tc>
          <w:tcPr/>
          <w:p>
            <w:pPr>
              <w:pStyle w:val="Compact"/>
              <w:jc w:val="left"/>
            </w:pPr>
            <w:r>
              <w:t xml:space="preserve">VHM, NVL, KDH, PDR</w:t>
            </w:r>
          </w:p>
        </w:tc>
        <w:tc>
          <w:tcPr/>
          <w:p>
            <w:pPr>
              <w:pStyle w:val="Compact"/>
              <w:jc w:val="left"/>
            </w:pPr>
            <w:r>
              <w:t xml:space="preserve">Vietcap IQ</w:t>
            </w:r>
          </w:p>
        </w:tc>
      </w:tr>
      <w:tr>
        <w:trPr>
          <w:cantSplit/>
        </w:trPr>
        <w:tc>
          <w:tcPr/>
          <w:p>
            <w:pPr>
              <w:pStyle w:val="Compact"/>
              <w:jc w:val="left"/>
            </w:pPr>
            <w:r>
              <w:t xml:space="preserve">2025</w:t>
            </w:r>
          </w:p>
        </w:tc>
        <w:tc>
          <w:tcPr/>
          <w:p>
            <w:pPr>
              <w:pStyle w:val="Compact"/>
              <w:jc w:val="left"/>
            </w:pPr>
            <w:r>
              <w:t xml:space="preserve">VHM, KDH, VPI, NVL</w:t>
            </w:r>
          </w:p>
        </w:tc>
        <w:tc>
          <w:tcPr/>
          <w:p>
            <w:pPr>
              <w:pStyle w:val="Compact"/>
              <w:jc w:val="left"/>
            </w:pPr>
            <w:r>
              <w:t xml:space="preserve">Vietcap IQ</w:t>
            </w:r>
          </w:p>
        </w:tc>
      </w:tr>
      <w:tr>
        <w:trPr>
          <w:cantSplit/>
        </w:trPr>
        <w:tc>
          <w:tcPr/>
          <w:p>
            <w:pPr>
              <w:pStyle w:val="Compact"/>
              <w:jc w:val="left"/>
            </w:pPr>
            <w:r>
              <w:t xml:space="preserve">2026</w:t>
            </w:r>
          </w:p>
        </w:tc>
        <w:tc>
          <w:tcPr/>
          <w:p>
            <w:pPr>
              <w:pStyle w:val="Compact"/>
              <w:jc w:val="left"/>
            </w:pPr>
            <w:r>
              <w:t xml:space="preserve">VHM, NVL, KDH, VPI</w:t>
            </w:r>
          </w:p>
        </w:tc>
        <w:tc>
          <w:tcPr/>
          <w:p>
            <w:pPr>
              <w:pStyle w:val="Compact"/>
              <w:jc w:val="left"/>
            </w:pPr>
            <w:r>
              <w:t xml:space="preserve">Vietcap IQ</w:t>
            </w:r>
          </w:p>
        </w:tc>
      </w:tr>
    </w:tbl>
    <w:p>
      <w:pPr>
        <w:pStyle w:val="BodyText"/>
        <w:spacing w:before="200"/>
      </w:pPr>
      <w:r>
        <w:t xml:space="preserve">Thành phần rổ thay đổi đáng kể theo thời gian: 10 doanh nghiệp khác nhau từng có mặt trong rổ và không doanh nghiệp nào có mặt ở mọi năm; KDH chỉ vắng mặt năm 2022, NVL có mặt liên tục từ 2017. Các doanh nghiệp như HQC, TCH, DIG từng nằm trong nhóm lớn nhất rồi rời rổ, đúng là loại doanh nghiệp mà một rổ cố định chọn theo hiện tại sẽ bỏ sót. Lợi nhuận tháng của rổ là trung bình cộng lợi nhuận các thành viên của năm đó. Bảng xếp hạng đầy đủ sáu doanh nghiệp lớn nhất mỗi năm ở Phụ lục B.</w:t>
      </w:r>
    </w:p>
    <w:bookmarkEnd w:id="65"/>
    <w:bookmarkStart w:id="66" w:name="biến-đầu-vào-cho-mô-hình-dự-báo"/>
    <w:p>
      <w:pPr>
        <w:pStyle w:val="Heading3"/>
      </w:pPr>
      <w:r>
        <w:t xml:space="preserve">3.2.4 Biến đầu vào cho mô hình dự báo</w:t>
      </w:r>
    </w:p>
    <w:p>
      <w:pPr>
        <w:pStyle w:val="FirstParagraph"/>
      </w:pPr>
      <w:r>
        <w:t xml:space="preserve">Mô hình dự báo dùng bảy biến, đều có cơ sở kinh tế và dấu kỳ vọng xác định trước khi ước lượng (Moskowitz, Ooi và Pedersen, 2012; Moreira và Muir, 2017; Fama và French, 1989). Việc định trước dấu kỳ vọng giúp đánh giá mô hình có học được quan hệ hợp lý hay chỉ khớp nhiễu.</w:t>
      </w:r>
    </w:p>
    <w:p>
      <w:pPr>
        <w:pStyle w:val="TableCaption"/>
      </w:pPr>
      <w:r>
        <w:t xml:space="preserve">Bảng 3.6. Biến đầu vào, định nghĩa và dấu kỳ vọng</w:t>
      </w:r>
    </w:p>
    <w:tbl>
      <w:tblPr>
        <w:tblStyle w:val="Table"/>
        <w:tblW w:type="pct" w:w="5000"/>
        <w:jc w:val="center"/>
        <w:tblLook w:firstRow="1" w:lastRow="0" w:firstColumn="0" w:lastColumn="0" w:noHBand="0" w:noVBand="0" w:val="0020"/>
        <w:tblCaption w:val="Bảng 3.6. Biến đầu vào, định nghĩa và dấu kỳ vọng"/>
      </w:tblPr>
      <w:tblGrid>
        <w:gridCol w:w="1092"/>
        <w:gridCol w:w="2731"/>
        <w:gridCol w:w="751"/>
        <w:gridCol w:w="614"/>
        <w:gridCol w:w="2731"/>
      </w:tblGrid>
      <w:tr>
        <w:trPr>
          <w:tblHeader w:val="true"/>
        </w:trPr>
        <w:tc>
          <w:tcPr/>
          <w:p>
            <w:pPr>
              <w:pStyle w:val="Compact"/>
              <w:jc w:val="center"/>
            </w:pPr>
            <w:r>
              <w:rPr>
                <w:b/>
              </w:rPr>
              <w:t xml:space="preserve">Biến</w:t>
            </w:r>
          </w:p>
        </w:tc>
        <w:tc>
          <w:tcPr/>
          <w:p>
            <w:pPr>
              <w:pStyle w:val="Compact"/>
              <w:jc w:val="center"/>
            </w:pPr>
            <w:r>
              <w:rPr>
                <w:b/>
              </w:rPr>
              <w:t xml:space="preserve">Định nghĩa</w:t>
            </w:r>
          </w:p>
        </w:tc>
        <w:tc>
          <w:tcPr/>
          <w:p>
            <w:pPr>
              <w:pStyle w:val="Compact"/>
              <w:jc w:val="center"/>
            </w:pPr>
            <w:r>
              <w:rPr>
                <w:b/>
              </w:rPr>
              <w:t xml:space="preserve">Áp dụng cho</w:t>
            </w:r>
          </w:p>
        </w:tc>
        <w:tc>
          <w:tcPr/>
          <w:p>
            <w:pPr>
              <w:pStyle w:val="Compact"/>
              <w:jc w:val="center"/>
            </w:pPr>
            <w:r>
              <w:rPr>
                <w:b/>
              </w:rPr>
              <w:t xml:space="preserve">Dấu kỳ vọng</w:t>
            </w:r>
          </w:p>
        </w:tc>
        <w:tc>
          <w:tcPr/>
          <w:p>
            <w:pPr>
              <w:pStyle w:val="Compact"/>
              <w:jc w:val="center"/>
            </w:pPr>
            <w:r>
              <w:rPr>
                <w:b/>
              </w:rPr>
              <w:t xml:space="preserve">Cơ sở</w:t>
            </w:r>
          </w:p>
        </w:tc>
      </w:tr>
      <w:tr>
        <w:trPr>
          <w:cantSplit/>
        </w:trPr>
        <w:tc>
          <w:tcPr/>
          <w:p>
            <w:pPr>
              <w:pStyle w:val="Compact"/>
              <w:jc w:val="left"/>
            </w:pPr>
            <w:r>
              <w:t xml:space="preserve">mom_1m</w:t>
            </w:r>
          </w:p>
        </w:tc>
        <w:tc>
          <w:tcPr/>
          <w:p>
            <w:pPr>
              <w:pStyle w:val="Compact"/>
              <w:jc w:val="left"/>
            </w:pPr>
            <w:r>
              <w:t xml:space="preserve">Lợi nhuận tháng gần nhất</w:t>
            </w:r>
          </w:p>
        </w:tc>
        <w:tc>
          <w:tcPr/>
          <w:p>
            <w:pPr>
              <w:pStyle w:val="Compact"/>
              <w:jc w:val="left"/>
            </w:pPr>
            <w:r>
              <w:t xml:space="preserve">Từng lớp</w:t>
            </w:r>
          </w:p>
        </w:tc>
        <w:tc>
          <w:tcPr/>
          <w:p>
            <w:pPr>
              <w:pStyle w:val="Compact"/>
              <w:jc w:val="left"/>
            </w:pPr>
            <w:r>
              <w:t xml:space="preserve">+</w:t>
            </w:r>
          </w:p>
        </w:tc>
        <w:tc>
          <w:tcPr/>
          <w:p>
            <w:pPr>
              <w:pStyle w:val="Compact"/>
              <w:jc w:val="left"/>
            </w:pPr>
            <w:r>
              <w:t xml:space="preserve">Động lượng chuỗi thời gian</w:t>
            </w:r>
          </w:p>
        </w:tc>
      </w:tr>
      <w:tr>
        <w:trPr>
          <w:cantSplit/>
        </w:trPr>
        <w:tc>
          <w:tcPr/>
          <w:p>
            <w:pPr>
              <w:pStyle w:val="Compact"/>
              <w:jc w:val="left"/>
            </w:pPr>
            <w:r>
              <w:t xml:space="preserve">mom_3m</w:t>
            </w:r>
          </w:p>
        </w:tc>
        <w:tc>
          <w:tcPr/>
          <w:p>
            <w:pPr>
              <w:pStyle w:val="Compact"/>
              <w:jc w:val="left"/>
            </w:pPr>
            <w:r>
              <w:t xml:space="preserve">Lợi nhuận tích lũy 3 tháng gần nhất</w:t>
            </w:r>
          </w:p>
        </w:tc>
        <w:tc>
          <w:tcPr/>
          <w:p>
            <w:pPr>
              <w:pStyle w:val="Compact"/>
              <w:jc w:val="left"/>
            </w:pPr>
            <w:r>
              <w:t xml:space="preserve">Từng lớp</w:t>
            </w:r>
          </w:p>
        </w:tc>
        <w:tc>
          <w:tcPr/>
          <w:p>
            <w:pPr>
              <w:pStyle w:val="Compact"/>
              <w:jc w:val="left"/>
            </w:pPr>
            <w:r>
              <w:t xml:space="preserve">+</w:t>
            </w:r>
          </w:p>
        </w:tc>
        <w:tc>
          <w:tcPr/>
          <w:p>
            <w:pPr>
              <w:pStyle w:val="Compact"/>
              <w:jc w:val="left"/>
            </w:pPr>
            <w:r>
              <w:t xml:space="preserve">Động lượng chuỗi thời gian</w:t>
            </w:r>
          </w:p>
        </w:tc>
      </w:tr>
      <w:tr>
        <w:trPr>
          <w:cantSplit/>
        </w:trPr>
        <w:tc>
          <w:tcPr/>
          <w:p>
            <w:pPr>
              <w:pStyle w:val="Compact"/>
              <w:jc w:val="left"/>
            </w:pPr>
            <w:r>
              <w:t xml:space="preserve">mom_6m</w:t>
            </w:r>
          </w:p>
        </w:tc>
        <w:tc>
          <w:tcPr/>
          <w:p>
            <w:pPr>
              <w:pStyle w:val="Compact"/>
              <w:jc w:val="left"/>
            </w:pPr>
            <w:r>
              <w:t xml:space="preserve">Lợi nhuận tích lũy 6 tháng gần nhất</w:t>
            </w:r>
          </w:p>
        </w:tc>
        <w:tc>
          <w:tcPr/>
          <w:p>
            <w:pPr>
              <w:pStyle w:val="Compact"/>
              <w:jc w:val="left"/>
            </w:pPr>
            <w:r>
              <w:t xml:space="preserve">Từng lớp</w:t>
            </w:r>
          </w:p>
        </w:tc>
        <w:tc>
          <w:tcPr/>
          <w:p>
            <w:pPr>
              <w:pStyle w:val="Compact"/>
              <w:jc w:val="left"/>
            </w:pPr>
            <w:r>
              <w:t xml:space="preserve">+</w:t>
            </w:r>
          </w:p>
        </w:tc>
        <w:tc>
          <w:tcPr/>
          <w:p>
            <w:pPr>
              <w:pStyle w:val="Compact"/>
              <w:jc w:val="left"/>
            </w:pPr>
            <w:r>
              <w:t xml:space="preserve">Động lượng chuỗi thời gian</w:t>
            </w:r>
          </w:p>
        </w:tc>
      </w:tr>
      <w:tr>
        <w:trPr>
          <w:cantSplit/>
        </w:trPr>
        <w:tc>
          <w:tcPr/>
          <w:p>
            <w:pPr>
              <w:pStyle w:val="Compact"/>
              <w:jc w:val="left"/>
            </w:pPr>
            <w:r>
              <w:t xml:space="preserve">vol_6m</w:t>
            </w:r>
          </w:p>
        </w:tc>
        <w:tc>
          <w:tcPr/>
          <w:p>
            <w:pPr>
              <w:pStyle w:val="Compact"/>
              <w:jc w:val="left"/>
            </w:pPr>
            <w:r>
              <w:t xml:space="preserve">Độ lệch chuẩn lợi nhuận 6 tháng, năm hóa</w:t>
            </w:r>
          </w:p>
        </w:tc>
        <w:tc>
          <w:tcPr/>
          <w:p>
            <w:pPr>
              <w:pStyle w:val="Compact"/>
              <w:jc w:val="left"/>
            </w:pPr>
            <w:r>
              <w:t xml:space="preserve">Từng lớp</w:t>
            </w:r>
          </w:p>
        </w:tc>
        <w:tc>
          <w:tcPr/>
          <w:p>
            <w:pPr>
              <w:pStyle w:val="Compact"/>
              <w:jc w:val="left"/>
            </w:pPr>
            <w:r>
              <w:t xml:space="preserve">−</w:t>
            </w:r>
          </w:p>
        </w:tc>
        <w:tc>
          <w:tcPr/>
          <w:p>
            <w:pPr>
              <w:pStyle w:val="Compact"/>
              <w:jc w:val="left"/>
            </w:pPr>
            <w:r>
              <w:t xml:space="preserve">Biến động cao đi kèm lợi nhuận điều chỉnh rủi ro thấp</w:t>
            </w:r>
          </w:p>
        </w:tc>
      </w:tr>
      <w:tr>
        <w:trPr>
          <w:cantSplit/>
        </w:trPr>
        <w:tc>
          <w:tcPr/>
          <w:p>
            <w:pPr>
              <w:pStyle w:val="Compact"/>
              <w:jc w:val="left"/>
            </w:pPr>
            <w:r>
              <w:t xml:space="preserve">term_spread</w:t>
            </w:r>
          </w:p>
        </w:tc>
        <w:tc>
          <w:tcPr/>
          <w:p>
            <w:pPr>
              <w:pStyle w:val="Compact"/>
              <w:jc w:val="left"/>
            </w:pPr>
            <w:r>
              <w:t xml:space="preserve">Lợi suất TPCP 5 năm trừ lãi tiền gửi 12 tháng</w:t>
            </w:r>
          </w:p>
        </w:tc>
        <w:tc>
          <w:tcPr/>
          <w:p>
            <w:pPr>
              <w:pStyle w:val="Compact"/>
              <w:jc w:val="left"/>
            </w:pPr>
            <w:r>
              <w:t xml:space="preserve">Chung</w:t>
            </w:r>
          </w:p>
        </w:tc>
        <w:tc>
          <w:tcPr/>
          <w:p>
            <w:pPr>
              <w:pStyle w:val="Compact"/>
              <w:jc w:val="left"/>
            </w:pPr>
            <w:r>
              <w:t xml:space="preserve">+</w:t>
            </w:r>
          </w:p>
        </w:tc>
        <w:tc>
          <w:tcPr/>
          <w:p>
            <w:pPr>
              <w:pStyle w:val="Compact"/>
              <w:jc w:val="left"/>
            </w:pPr>
            <w:r>
              <w:t xml:space="preserve">Chênh lệch kỳ hạn cao đi kèm phần bù rủi ro cao</w:t>
            </w:r>
          </w:p>
        </w:tc>
      </w:tr>
      <w:tr>
        <w:trPr>
          <w:cantSplit/>
        </w:trPr>
        <w:tc>
          <w:tcPr/>
          <w:p>
            <w:pPr>
              <w:pStyle w:val="Compact"/>
              <w:jc w:val="left"/>
            </w:pPr>
            <w:r>
              <w:t xml:space="preserve">d_rate_3m</w:t>
            </w:r>
          </w:p>
        </w:tc>
        <w:tc>
          <w:tcPr/>
          <w:p>
            <w:pPr>
              <w:pStyle w:val="Compact"/>
              <w:jc w:val="left"/>
            </w:pPr>
            <w:r>
              <w:t xml:space="preserve">Thay đổi 3 tháng của lãi tiền gửi 12 tháng</w:t>
            </w:r>
          </w:p>
        </w:tc>
        <w:tc>
          <w:tcPr/>
          <w:p>
            <w:pPr>
              <w:pStyle w:val="Compact"/>
              <w:jc w:val="left"/>
            </w:pPr>
            <w:r>
              <w:t xml:space="preserve">Chung</w:t>
            </w:r>
          </w:p>
        </w:tc>
        <w:tc>
          <w:tcPr/>
          <w:p>
            <w:pPr>
              <w:pStyle w:val="Compact"/>
              <w:jc w:val="left"/>
            </w:pPr>
            <w:r>
              <w:t xml:space="preserve">−</w:t>
            </w:r>
          </w:p>
        </w:tc>
        <w:tc>
          <w:tcPr/>
          <w:p>
            <w:pPr>
              <w:pStyle w:val="Compact"/>
              <w:jc w:val="left"/>
            </w:pPr>
            <w:r>
              <w:t xml:space="preserve">Lãi suất tăng bất lợi cho tài sản rủi ro và trái phiếu</w:t>
            </w:r>
          </w:p>
        </w:tc>
      </w:tr>
      <w:tr>
        <w:trPr>
          <w:cantSplit/>
        </w:trPr>
        <w:tc>
          <w:tcPr/>
          <w:p>
            <w:pPr>
              <w:pStyle w:val="Compact"/>
              <w:jc w:val="left"/>
            </w:pPr>
            <w:r>
              <w:t xml:space="preserve">gold_basis</w:t>
            </w:r>
          </w:p>
        </w:tc>
        <w:tc>
          <w:tcPr/>
          <w:p>
            <w:pPr>
              <w:pStyle w:val="Compact"/>
              <w:jc w:val="left"/>
            </w:pPr>
            <w:r>
              <w:t xml:space="preserve">Logarit hệ số chênh lệch giá SJC so với giá thế giới quy đổi</w:t>
            </w:r>
          </w:p>
        </w:tc>
        <w:tc>
          <w:tcPr/>
          <w:p>
            <w:pPr>
              <w:pStyle w:val="Compact"/>
              <w:jc w:val="left"/>
            </w:pPr>
            <w:r>
              <w:t xml:space="preserve">Vàng</w:t>
            </w:r>
          </w:p>
        </w:tc>
        <w:tc>
          <w:tcPr/>
          <w:p>
            <w:pPr>
              <w:pStyle w:val="Compact"/>
              <w:jc w:val="left"/>
            </w:pPr>
            <w:r>
              <w:t xml:space="preserve">−</w:t>
            </w:r>
          </w:p>
        </w:tc>
        <w:tc>
          <w:tcPr/>
          <w:p>
            <w:pPr>
              <w:pStyle w:val="Compact"/>
              <w:jc w:val="left"/>
            </w:pPr>
            <w:r>
              <w:t xml:space="preserve">Chênh lệch cao có xu hướng thu hẹp</w:t>
            </w:r>
          </w:p>
        </w:tc>
      </w:tr>
    </w:tbl>
    <w:p>
      <w:pPr>
        <w:pStyle w:val="BodyText"/>
        <w:spacing w:before="200"/>
      </w:pPr>
      <w:r>
        <w:t xml:space="preserve">Động lượng và độ biến động được tính trên chỉ số tổng lợi nhuận của từng lớp, nên với trái phiếu, động lượng phản ánh lợi nhuận thực (giá cộng lãi) chứ không phải thay đổi lợi suất, và cùng dấu với các lớp khác. Mỗi biến được chuẩn hóa theo z-score mở rộng, chỉ dùng thông tin quá khứ:</w:t>
      </w:r>
    </w:p>
    <w:p>
      <w:pPr>
        <w:pStyle w:val="BodyText"/>
      </w:pPr>
      <m:oMathPara>
        <m:oMathParaPr>
          <m:jc m:val="center"/>
        </m:oMathParaPr>
        <m:oMath>
          <m:sSub>
            <m:e>
              <m:r>
                <m:t>z</m:t>
              </m:r>
            </m:e>
            <m:sub>
              <m:r>
                <m:t>t</m:t>
              </m:r>
            </m:sub>
          </m:sSub>
          <m:r>
            <m:rPr>
              <m:sty m:val="p"/>
            </m:rPr>
            <m:t>=</m:t>
          </m:r>
          <m:f>
            <m:fPr>
              <m:type m:val="bar"/>
            </m:fPr>
            <m:num>
              <m:sSub>
                <m:e>
                  <m:r>
                    <m:t>x</m:t>
                  </m:r>
                </m:e>
                <m:sub>
                  <m:r>
                    <m:t>t</m:t>
                  </m:r>
                </m:sub>
              </m:sSub>
              <m:r>
                <m:rPr>
                  <m:sty m:val="p"/>
                </m:rPr>
                <m:t>−</m:t>
              </m:r>
              <m:sSub>
                <m:e>
                  <m:acc>
                    <m:accPr>
                      <m:chr m:val="‾"/>
                    </m:accPr>
                    <m:e>
                      <m:r>
                        <m:t>x</m:t>
                      </m:r>
                    </m:e>
                  </m:acc>
                </m:e>
                <m:sub>
                  <m:r>
                    <m:t>1</m:t>
                  </m:r>
                  <m:r>
                    <m:rPr>
                      <m:sty m:val="p"/>
                    </m:rPr>
                    <m:t>:</m:t>
                  </m:r>
                  <m:r>
                    <m:t>t</m:t>
                  </m:r>
                  <m:r>
                    <m:rPr>
                      <m:sty m:val="p"/>
                    </m:rPr>
                    <m:t>−</m:t>
                  </m:r>
                  <m:r>
                    <m:t>1</m:t>
                  </m:r>
                </m:sub>
              </m:sSub>
            </m:num>
            <m:den>
              <m:sSub>
                <m:e>
                  <m:r>
                    <m:t>s</m:t>
                  </m:r>
                </m:e>
                <m:sub>
                  <m:r>
                    <m:t>1</m:t>
                  </m:r>
                  <m:r>
                    <m:rPr>
                      <m:sty m:val="p"/>
                    </m:rPr>
                    <m:t>:</m:t>
                  </m:r>
                  <m:r>
                    <m:t>t</m:t>
                  </m:r>
                  <m:r>
                    <m:rPr>
                      <m:sty m:val="p"/>
                    </m:rPr>
                    <m:t>−</m:t>
                  </m:r>
                  <m:r>
                    <m:t>1</m:t>
                  </m:r>
                </m:sub>
              </m:sSub>
            </m:den>
          </m:f>
          <m:r>
            <m:rPr>
              <m:sty m:val="p"/>
            </m:rPr>
            <m:t>,</m:t>
          </m:r>
          <m:r>
            <m:t>  </m:t>
          </m:r>
          <m:sSub>
            <m:e>
              <m:r>
                <m:t>z</m:t>
              </m:r>
            </m:e>
            <m:sub>
              <m:r>
                <m:t>t</m:t>
              </m:r>
            </m:sub>
          </m:sSub>
          <m:r>
            <m:rPr>
              <m:sty m:val="p"/>
            </m:rPr>
            <m:t>←</m:t>
          </m:r>
          <m:r>
            <m:rPr>
              <m:sty m:val="p"/>
            </m:rPr>
            <m:t>max</m:t>
          </m:r>
          <m:d>
            <m:dPr>
              <m:begChr m:val="("/>
              <m:endChr m:val=")"/>
              <m:sepChr m:val=""/>
              <m:grow/>
            </m:dPr>
            <m:e>
              <m:r>
                <m:rPr>
                  <m:sty m:val="p"/>
                </m:rPr>
                <m:t>−</m:t>
              </m:r>
              <m:r>
                <m:t>3</m:t>
              </m:r>
              <m:r>
                <m:rPr>
                  <m:sty m:val="p"/>
                </m:rPr>
                <m:t>,</m:t>
              </m:r>
              <m:r>
                <m:rPr>
                  <m:sty m:val="p"/>
                </m:rPr>
                <m:t>min</m:t>
              </m:r>
              <m:d>
                <m:dPr>
                  <m:begChr m:val="("/>
                  <m:endChr m:val=")"/>
                  <m:sepChr m:val=""/>
                  <m:grow/>
                </m:dPr>
                <m:e>
                  <m:r>
                    <m:t>3</m:t>
                  </m:r>
                  <m:r>
                    <m:rPr>
                      <m:sty m:val="p"/>
                    </m:rPr>
                    <m:t>,</m:t>
                  </m:r>
                  <m:sSub>
                    <m:e>
                      <m:r>
                        <m:t>z</m:t>
                      </m:r>
                    </m:e>
                    <m:sub>
                      <m:r>
                        <m:t>t</m:t>
                      </m:r>
                    </m:sub>
                  </m:sSub>
                </m:e>
              </m:d>
            </m:e>
          </m:d>
        </m:oMath>
      </m:oMathPara>
    </w:p>
    <w:p>
      <w:pPr>
        <w:pStyle w:val="FirstParagraph"/>
      </w:pPr>
      <w:r>
        <w:t xml:space="preserve">trong đó trung bình và độ lệch chuẩn tính trên các tháng trước t (tối thiểu 12 tháng), sau đó cắt ở ±3 để hạn chế ảnh hưởng của giá trị ngoại lai; khi chưa đủ 12 tháng, biến nhận giá trị 0 (trung lập). Ở phiên bản trước khi áp dụng bước cắt, giá trị z từng lên tới 11,2 ở mã NVL, đủ để một vài tháng bất thường chi phối mô hình tuyến tính. Các biến cấp thị trường (term_spread, d_rate_3m) được chuẩn hóa trên chính chuỗi tháng của chúng. Tiền gửi không được đưa vào mô hình dự báo vì lợi nhuận của nó đã biết trước.</w:t>
      </w:r>
    </w:p>
    <w:bookmarkEnd w:id="66"/>
    <w:bookmarkEnd w:id="67"/>
    <w:bookmarkStart w:id="68" w:name="X2c7b023f5db3521b15112bd493b405550d11f9f"/>
    <w:p>
      <w:pPr>
        <w:pStyle w:val="Heading2"/>
      </w:pPr>
      <w:r>
        <w:t xml:space="preserve">3.3 Thiết kế khẩu vị rủi ro và khung thời gian</w:t>
      </w:r>
    </w:p>
    <w:p>
      <w:pPr>
        <w:pStyle w:val="FirstParagraph"/>
      </w:pPr>
      <w:r>
        <w:t xml:space="preserve">Nghiên cứu đánh giá mỗi phương pháp trên 9 kịch bản, là tổ hợp của 3 khẩu vị rủi ro và 3 khung thời gian đầu tư. Khẩu vị quyết định nhà đầu tư nắm bao nhiêu tài sản rủi ro; khung thời gian quyết định bao lâu tái cân bằng một lần.</w:t>
      </w:r>
    </w:p>
    <w:p>
      <w:pPr>
        <w:pStyle w:val="BodyText"/>
      </w:pPr>
      <w:r>
        <w:rPr>
          <w:bCs/>
          <w:b/>
        </w:rPr>
        <w:t xml:space="preserve">Khẩu vị rủi ro.</w:t>
      </w:r>
      <w:r>
        <w:t xml:space="preserve"> </w:t>
      </w:r>
      <w:r>
        <w:t xml:space="preserve">Nhóm tài sản rủi ro gồm cổ phiếu (ETF) và cổ phiếu BĐS. Tổng tỷ trọng của nhóm này bắt buộc nằm trong một dải cố định theo từng khẩu vị; phần còn lại chia cho vàng, trái phiếu và tiền gửi. Thiết kế này giống cách các công ty quản lý quỹ xây dựng danh mục mẫu theo khẩu vị, và tách quyết định</w:t>
      </w:r>
      <w:r>
        <w:t xml:space="preserve"> </w:t>
      </w:r>
      <w:r>
        <w:t xml:space="preserve">“</w:t>
      </w:r>
      <w:r>
        <w:t xml:space="preserve">bao nhiêu rủi ro</w:t>
      </w:r>
      <w:r>
        <w:t xml:space="preserve">”</w:t>
      </w:r>
      <w:r>
        <w:t xml:space="preserve"> </w:t>
      </w:r>
      <w:r>
        <w:t xml:space="preserve">(do nhà đầu tư chọn) khỏi quyết định</w:t>
      </w:r>
      <w:r>
        <w:t xml:space="preserve"> </w:t>
      </w:r>
      <w:r>
        <w:t xml:space="preserve">“</w:t>
      </w:r>
      <w:r>
        <w:t xml:space="preserve">phân bổ thế nào trong mức rủi ro đó</w:t>
      </w:r>
      <w:r>
        <w:t xml:space="preserve">”</w:t>
      </w:r>
      <w:r>
        <w:t xml:space="preserve"> </w:t>
      </w:r>
      <w:r>
        <w:t xml:space="preserve">(do phương pháp quyết định).</w:t>
      </w:r>
    </w:p>
    <w:p>
      <w:pPr>
        <w:pStyle w:val="TableCaption"/>
      </w:pPr>
      <w:r>
        <w:t xml:space="preserve">Bảng 3.7. Tham số theo khẩu vị rủi ro</w:t>
      </w:r>
    </w:p>
    <w:tbl>
      <w:tblPr>
        <w:tblStyle w:val="Table"/>
        <w:tblW w:type="pct" w:w="5000"/>
        <w:jc w:val="center"/>
        <w:tblLook w:firstRow="1" w:lastRow="0" w:firstColumn="0" w:lastColumn="0" w:noHBand="0" w:noVBand="0" w:val="0020"/>
        <w:tblCaption w:val="Bảng 3.7. Tham số theo khẩu vị rủi ro"/>
      </w:tblPr>
      <w:tblGrid>
        <w:gridCol w:w="1056"/>
        <w:gridCol w:w="1672"/>
        <w:gridCol w:w="1672"/>
        <w:gridCol w:w="3520"/>
      </w:tblGrid>
      <w:tr>
        <w:trPr>
          <w:tblHeader w:val="true"/>
        </w:trPr>
        <w:tc>
          <w:tcPr/>
          <w:p>
            <w:pPr>
              <w:pStyle w:val="Compact"/>
              <w:jc w:val="center"/>
            </w:pPr>
            <w:r>
              <w:rPr>
                <w:b/>
              </w:rPr>
              <w:t xml:space="preserve">Khẩu vị</w:t>
            </w:r>
          </w:p>
        </w:tc>
        <w:tc>
          <w:tcPr/>
          <w:p>
            <w:pPr>
              <w:pStyle w:val="Compact"/>
              <w:jc w:val="center"/>
            </w:pPr>
            <w:r>
              <w:rPr>
                <w:b/>
              </w:rPr>
              <w:t xml:space="preserve">Dải tỷ trọng nhóm rủi ro</w:t>
            </w:r>
          </w:p>
        </w:tc>
        <w:tc>
          <w:tcPr/>
          <w:p>
            <w:pPr>
              <w:pStyle w:val="Compact"/>
              <w:jc w:val="center"/>
            </w:pPr>
            <w:r>
              <w:rPr>
                <w:b/>
              </w:rPr>
              <w:t xml:space="preserve">Độ biến động mục tiêu (năm)</w:t>
            </w:r>
          </w:p>
        </w:tc>
        <w:tc>
          <w:tcPr/>
          <w:p>
            <w:pPr>
              <w:pStyle w:val="Compact"/>
              <w:jc w:val="center"/>
            </w:pPr>
            <w:r>
              <w:rPr>
                <w:b/>
              </w:rPr>
              <w:t xml:space="preserve">Ví dụ nhà đầu tư phù hợp</w:t>
            </w:r>
          </w:p>
        </w:tc>
      </w:tr>
      <w:tr>
        <w:trPr>
          <w:cantSplit/>
        </w:trPr>
        <w:tc>
          <w:tcPr/>
          <w:p>
            <w:pPr>
              <w:pStyle w:val="Compact"/>
              <w:jc w:val="left"/>
            </w:pPr>
            <w:r>
              <w:t xml:space="preserve">Thận trọng</w:t>
            </w:r>
          </w:p>
        </w:tc>
        <w:tc>
          <w:tcPr/>
          <w:p>
            <w:pPr>
              <w:pStyle w:val="Compact"/>
              <w:jc w:val="left"/>
            </w:pPr>
            <w:r>
              <w:t xml:space="preserve">10–30%</w:t>
            </w:r>
          </w:p>
        </w:tc>
        <w:tc>
          <w:tcPr/>
          <w:p>
            <w:pPr>
              <w:pStyle w:val="Compact"/>
              <w:jc w:val="left"/>
            </w:pPr>
            <w:r>
              <w:t xml:space="preserve">5%</w:t>
            </w:r>
          </w:p>
        </w:tc>
        <w:tc>
          <w:tcPr/>
          <w:p>
            <w:pPr>
              <w:pStyle w:val="Compact"/>
              <w:jc w:val="left"/>
            </w:pPr>
            <w:r>
              <w:t xml:space="preserve">Ưu tiên bảo toàn vốn, thời gian ngắn, ít kinh nghiệm</w:t>
            </w:r>
          </w:p>
        </w:tc>
      </w:tr>
      <w:tr>
        <w:trPr>
          <w:cantSplit/>
        </w:trPr>
        <w:tc>
          <w:tcPr/>
          <w:p>
            <w:pPr>
              <w:pStyle w:val="Compact"/>
              <w:jc w:val="left"/>
            </w:pPr>
            <w:r>
              <w:t xml:space="preserve">Cân bằng</w:t>
            </w:r>
          </w:p>
        </w:tc>
        <w:tc>
          <w:tcPr/>
          <w:p>
            <w:pPr>
              <w:pStyle w:val="Compact"/>
              <w:jc w:val="left"/>
            </w:pPr>
            <w:r>
              <w:t xml:space="preserve">40–60%</w:t>
            </w:r>
          </w:p>
        </w:tc>
        <w:tc>
          <w:tcPr/>
          <w:p>
            <w:pPr>
              <w:pStyle w:val="Compact"/>
              <w:jc w:val="left"/>
            </w:pPr>
            <w:r>
              <w:t xml:space="preserve">10%</w:t>
            </w:r>
          </w:p>
        </w:tc>
        <w:tc>
          <w:tcPr/>
          <w:p>
            <w:pPr>
              <w:pStyle w:val="Compact"/>
              <w:jc w:val="left"/>
            </w:pPr>
            <w:r>
              <w:t xml:space="preserve">Chấp nhận dao động vừa phải để có tăng trưởng ổn định</w:t>
            </w:r>
          </w:p>
        </w:tc>
      </w:tr>
      <w:tr>
        <w:trPr>
          <w:cantSplit/>
        </w:trPr>
        <w:tc>
          <w:tcPr/>
          <w:p>
            <w:pPr>
              <w:pStyle w:val="Compact"/>
              <w:jc w:val="left"/>
            </w:pPr>
            <w:r>
              <w:t xml:space="preserve">Tăng trưởng</w:t>
            </w:r>
          </w:p>
        </w:tc>
        <w:tc>
          <w:tcPr/>
          <w:p>
            <w:pPr>
              <w:pStyle w:val="Compact"/>
              <w:jc w:val="left"/>
            </w:pPr>
            <w:r>
              <w:t xml:space="preserve">70–90%</w:t>
            </w:r>
          </w:p>
        </w:tc>
        <w:tc>
          <w:tcPr/>
          <w:p>
            <w:pPr>
              <w:pStyle w:val="Compact"/>
              <w:jc w:val="left"/>
            </w:pPr>
            <w:r>
              <w:t xml:space="preserve">16%</w:t>
            </w:r>
          </w:p>
        </w:tc>
        <w:tc>
          <w:tcPr/>
          <w:p>
            <w:pPr>
              <w:pStyle w:val="Compact"/>
              <w:jc w:val="left"/>
            </w:pPr>
            <w:r>
              <w:t xml:space="preserve">Thời gian dài, có quỹ dự phòng, chấp nhận dao động lớn</w:t>
            </w:r>
          </w:p>
        </w:tc>
      </w:tr>
    </w:tbl>
    <w:p>
      <w:pPr>
        <w:pStyle w:val="BodyText"/>
        <w:spacing w:before="200"/>
      </w:pPr>
      <w:r>
        <w:rPr>
          <w:bCs/>
          <w:b/>
        </w:rPr>
        <w:t xml:space="preserve">Khung thời gian.</w:t>
      </w:r>
      <w:r>
        <w:t xml:space="preserve"> </w:t>
      </w:r>
      <w:r>
        <w:t xml:space="preserve">Khung ngắn hạn tái cân bằng mỗi tháng, trung hạn mỗi quý và dài hạn mỗi năm. Khung thời gian chỉ thay đổi tần suất tái cân bằng và kỳ hạn của phần tiền mặt; cách ước lượng tham số dùng chung cho mọi khung. Phần tiền mặt hưởng lãi tiền gửi có kỳ hạn khớp với chu kỳ tái cân bằng (1, 3 hoặc 12 tháng), vì nhà đầu tư tái cân bằng hằng tháng không thể gửi kỳ hạn 12 tháng mà không chịu phạt rút trước hạn. Lãi suất thực tế các kỳ hạn 1 và 3 tháng của Vietcombank được dùng cho mọi tháng có dữ liệu; tháng nào thiếu thì dùng lãi 12 tháng trừ một chênh lệch kỳ hạn giả định (2,5 điểm % cho kỳ hạn 1 tháng và 2,2 điểm % cho kỳ hạn 3 tháng).</w:t>
      </w:r>
    </w:p>
    <w:p>
      <w:pPr>
        <w:pStyle w:val="BodyText"/>
      </w:pPr>
      <w:r>
        <w:rPr>
          <w:bCs/>
          <w:b/>
        </w:rPr>
        <w:t xml:space="preserve">Cách áp dụng dải tỷ trọng.</w:t>
      </w:r>
      <w:r>
        <w:t xml:space="preserve"> </w:t>
      </w:r>
      <w:r>
        <w:t xml:space="preserve">Với Markowitz, Black–Litterman và MLP_MVO, dải tỷ trọng là ràng buộc trong bài toán tối ưu. Với Equal Weight, Risk Parity và HRP, vốn không có bài toán tối ưu để gắn ràng buộc, nghiên cứu dùng thiết kế hai tầng:</w:t>
      </w:r>
    </w:p>
    <w:p>
      <w:pPr>
        <w:numPr>
          <w:ilvl w:val="0"/>
          <w:numId w:val="1010"/>
        </w:numPr>
      </w:pPr>
      <w:r>
        <w:t xml:space="preserve">Tính tỷ trọng các lớp phi tiền mặt theo phương pháp, rồi co danh mục về độ biến động mục tiêu của khẩu vị, không dùng đòn bẩy: nếu độ biến động dự kiến σ của danh mục phi tiền mặt lớn hơn mục tiêu σ</w:t>
      </w:r>
      <w:r>
        <w:rPr>
          <w:iCs/>
          <w:i/>
        </w:rPr>
        <w:t xml:space="preserve">, nhân mọi tỷ trọng với σ</w:t>
      </w:r>
      <w:r>
        <w:t xml:space="preserve">/σ; phần co lại chuyển thành tiền mặt.</w:t>
      </w:r>
    </w:p>
    <w:p>
      <w:pPr>
        <w:numPr>
          <w:ilvl w:val="0"/>
          <w:numId w:val="1010"/>
        </w:numPr>
      </w:pPr>
      <w:r>
        <w:t xml:space="preserve">Chiếu tổng tỷ trọng nhóm rủi ro vào dải của khẩu vị, giữ nguyên tỷ lệ bên trong nhóm rủi ro và bên trong nhóm phòng thủ. Nếu tổng nhóm rủi ro thấp hơn sàn, nhóm rủi ro được nâng lên đúng sàn và nhóm còn lại giảm tương ứng; nếu cao hơn trần thì ngược lại.</w:t>
      </w:r>
    </w:p>
    <w:p>
      <w:pPr>
        <w:numPr>
          <w:ilvl w:val="0"/>
          <w:numId w:val="1010"/>
        </w:numPr>
      </w:pPr>
      <w:r>
        <w:t xml:space="preserve">Áp trần 50% cho mỗi lớp phi tiền mặt. Phần vượt của lớp phòng thủ chuyển về tiền gửi; phần vượt của lớp rủi ro chuyển sang lớp rủi ro còn lại, nên tổng nhóm rủi ro không đổi.</w:t>
      </w:r>
    </w:p>
    <w:p>
      <w:pPr>
        <w:pStyle w:val="FirstParagraph"/>
      </w:pPr>
      <w:r>
        <w:t xml:space="preserve">Với thiết kế này, trong khẩu vị Cân bằng và Tăng trưởng, tổng tỷ trọng rủi ro chủ yếu do dải quyết định; phương pháp chỉ quyết định cách chia bên trong từng nhóm. Trần 50% được áp dụng thống nhất cho mọi phương pháp vì NAV quỹ trái phiếu có độ biến động rất thấp (2,4%/năm); không có trần, Risk Parity dồn tới 85% vào trái phiếu ở khẩu vị Thận trọng. Ảnh hưởng của dải khẩu vị đến kết quả từng phương pháp được tách riêng trong phân tích phân rã ở mục 4.7.</w:t>
      </w:r>
    </w:p>
    <w:bookmarkEnd w:id="68"/>
    <w:bookmarkStart w:id="69" w:name="ước-lượng-tham-số"/>
    <w:p>
      <w:pPr>
        <w:pStyle w:val="Heading2"/>
      </w:pPr>
      <w:r>
        <w:t xml:space="preserve">3.4 Ước lượng tham số</w:t>
      </w:r>
    </w:p>
    <w:p>
      <w:pPr>
        <w:pStyle w:val="FirstParagraph"/>
      </w:pPr>
      <w:r>
        <w:t xml:space="preserve">Tại mỗi thời điểm quyết định, ma trận hiệp phương sai của các lớp phi tiền mặt được ước lượng lại chỉ từ dữ liệu đến tháng đó. Một lớp chỉ được đưa vào danh mục khi có ít nhất 24 tháng lịch sử. Tiền gửi không tham gia ước lượng vì là tài sản không rủi ro nhận phần tỷ trọng còn lại. Quy trình gồm ba bước.</w:t>
      </w:r>
    </w:p>
    <w:p>
      <w:pPr>
        <w:pStyle w:val="BodyText"/>
      </w:pPr>
      <w:r>
        <w:rPr>
          <w:bCs/>
          <w:b/>
        </w:rPr>
        <w:t xml:space="preserve">Bước 1: khử độ trơn cho trái phiếu.</w:t>
      </w:r>
      <w:r>
        <w:t xml:space="preserve"> </w:t>
      </w:r>
      <w:r>
        <w:t xml:space="preserve">Giá trị tài sản ròng của quỹ trái phiếu được định giá theo mô hình và ít giao dịch, nên lợi nhuận tháng có tự tương quan dương và độ biến động bị đánh giá thấp. Chuỗi trái phiếu được khử độ trơn theo Geltner (1993):</w:t>
      </w:r>
    </w:p>
    <w:p>
      <w:pPr>
        <w:pStyle w:val="BodyText"/>
      </w:pPr>
      <m:oMathPara>
        <m:oMathParaPr>
          <m:jc m:val="center"/>
        </m:oMathParaPr>
        <m:oMath>
          <m:sSubSup>
            <m:e>
              <m:r>
                <m:t>r</m:t>
              </m:r>
            </m:e>
            <m:sub>
              <m:r>
                <m:t>t</m:t>
              </m:r>
            </m:sub>
            <m:sup>
              <m:r>
                <m:rPr>
                  <m:sty m:val="p"/>
                </m:rPr>
                <m:t>*</m:t>
              </m:r>
            </m:sup>
          </m:sSubSup>
          <m:r>
            <m:rPr>
              <m:sty m:val="p"/>
            </m:rPr>
            <m:t>=</m:t>
          </m:r>
          <m:f>
            <m:fPr>
              <m:type m:val="bar"/>
            </m:fPr>
            <m:num>
              <m:sSub>
                <m:e>
                  <m:r>
                    <m:t>r</m:t>
                  </m:r>
                </m:e>
                <m:sub>
                  <m:r>
                    <m:t>t</m:t>
                  </m:r>
                </m:sub>
              </m:sSub>
              <m:r>
                <m:rPr>
                  <m:sty m:val="p"/>
                </m:rPr>
                <m:t>−</m:t>
              </m:r>
              <m:r>
                <m:t>ρ</m:t>
              </m:r>
              <m:r>
                <m:t> </m:t>
              </m:r>
              <m:sSub>
                <m:e>
                  <m:r>
                    <m:t>r</m:t>
                  </m:r>
                </m:e>
                <m:sub>
                  <m:r>
                    <m:t>t</m:t>
                  </m:r>
                  <m:r>
                    <m:rPr>
                      <m:sty m:val="p"/>
                    </m:rPr>
                    <m:t>−</m:t>
                  </m:r>
                  <m:r>
                    <m:t>1</m:t>
                  </m:r>
                </m:sub>
              </m:sSub>
            </m:num>
            <m:den>
              <m:r>
                <m:t>1</m:t>
              </m:r>
              <m:r>
                <m:rPr>
                  <m:sty m:val="p"/>
                </m:rPr>
                <m:t>−</m:t>
              </m:r>
              <m:r>
                <m:t>ρ</m:t>
              </m:r>
            </m:den>
          </m:f>
        </m:oMath>
      </m:oMathPara>
    </w:p>
    <w:p>
      <w:pPr>
        <w:pStyle w:val="FirstParagraph"/>
      </w:pPr>
      <w:r>
        <w:t xml:space="preserve">trong đó ρ là hệ số tự tương quan bậc 1 ước lượng trên dữ liệu đến thời điểm quyết định (tối thiểu 12 tháng), giới hạn trong [0; 0,6] để tránh khuếch đại quá mức khi ước lượng nhiễu. Trên toàn mẫu, ρ của NAV quỹ DCBF là 0,11 và độ biến động năm hóa tăng từ 2,4% lên 2,7% sau khi khử độ trơn. Các lớp còn lại không khử độ trơn vì là giá giao dịch trên thị trường.</w:t>
      </w:r>
    </w:p>
    <w:p>
      <w:pPr>
        <w:pStyle w:val="BodyText"/>
      </w:pPr>
      <w:r>
        <w:rPr>
          <w:bCs/>
          <w:b/>
        </w:rPr>
        <w:t xml:space="preserve">Bước 2: hiệp phương sai có trọng số mũ (EWMA).</w:t>
      </w:r>
      <w:r>
        <w:t xml:space="preserve"> </w:t>
      </w:r>
      <w:r>
        <w:t xml:space="preserve">Mọi quan sát từ đầu lịch sử đến thời điểm quyết định đều được dùng, với trọng số giảm dần theo độ cũ. Chu kỳ bán rã 18 tháng nghĩa là một quan sát cách đây 18 tháng có trọng số bằng một nửa quan sát gần nhất:</w:t>
      </w:r>
    </w:p>
    <w:p>
      <w:pPr>
        <w:pStyle w:val="BodyText"/>
      </w:pPr>
      <m:oMathPara>
        <m:oMathParaPr>
          <m:jc m:val="center"/>
        </m:oMathParaPr>
        <m:oMath>
          <m:sSub>
            <m:e>
              <m:r>
                <m:t>w</m:t>
              </m:r>
            </m:e>
            <m:sub>
              <m:r>
                <m:t>s</m:t>
              </m:r>
            </m:sub>
          </m:sSub>
          <m:r>
            <m:rPr>
              <m:sty m:val="p"/>
            </m:rPr>
            <m:t>=</m:t>
          </m:r>
          <m:f>
            <m:fPr>
              <m:type m:val="bar"/>
            </m:fPr>
            <m:num>
              <m:sSup>
                <m:e>
                  <m:r>
                    <m:t>λ</m:t>
                  </m:r>
                </m:e>
                <m:sup>
                  <m:r>
                    <m:t>t</m:t>
                  </m:r>
                  <m:r>
                    <m:rPr>
                      <m:sty m:val="p"/>
                    </m:rPr>
                    <m:t>−</m:t>
                  </m:r>
                  <m:r>
                    <m:t>s</m:t>
                  </m:r>
                </m:sup>
              </m:sSup>
            </m:num>
            <m:den>
              <m:nary>
                <m:naryPr>
                  <m:chr m:val="∑"/>
                  <m:limLoc m:val="undOvr"/>
                  <m:subHide m:val="off"/>
                  <m:supHide m:val="on"/>
                </m:naryPr>
                <m:sub>
                  <m:r>
                    <m:t>u</m:t>
                  </m:r>
                  <m:r>
                    <m:rPr>
                      <m:sty m:val="p"/>
                    </m:rPr>
                    <m:t>≤</m:t>
                  </m:r>
                  <m:r>
                    <m:t>t</m:t>
                  </m:r>
                </m:sub>
                <m:sup>
                  <m:r>
                    <m:t>​</m:t>
                  </m:r>
                </m:sup>
                <m:e>
                  <m:sSup>
                    <m:e>
                      <m:r>
                        <m:t>λ</m:t>
                      </m:r>
                    </m:e>
                    <m:sup>
                      <m:r>
                        <m:t>t</m:t>
                      </m:r>
                      <m:r>
                        <m:rPr>
                          <m:sty m:val="p"/>
                        </m:rPr>
                        <m:t>−</m:t>
                      </m:r>
                      <m:r>
                        <m:t>u</m:t>
                      </m:r>
                    </m:sup>
                  </m:sSup>
                </m:e>
              </m:nary>
            </m:den>
          </m:f>
          <m:r>
            <m:rPr>
              <m:sty m:val="p"/>
            </m:rPr>
            <m:t>,</m:t>
          </m:r>
          <m:r>
            <m:t>  </m:t>
          </m:r>
          <m:r>
            <m:t>λ</m:t>
          </m:r>
          <m:r>
            <m:rPr>
              <m:sty m:val="p"/>
            </m:rPr>
            <m:t>=</m:t>
          </m:r>
          <m:r>
            <m:t>0</m:t>
          </m:r>
          <m:r>
            <m:rPr>
              <m:sty m:val="p"/>
            </m:rPr>
            <m:t>,</m:t>
          </m:r>
          <m:sSup>
            <m:e>
              <m:r>
                <m:t>5</m:t>
              </m:r>
            </m:e>
            <m:sup>
              <m:r>
                <m:t>1</m:t>
              </m:r>
              <m:r>
                <m:rPr>
                  <m:sty m:val="p"/>
                </m:rPr>
                <m:t>/</m:t>
              </m:r>
              <m:r>
                <m:t>18</m:t>
              </m:r>
            </m:sup>
          </m:sSup>
          <m:r>
            <m:rPr>
              <m:sty m:val="p"/>
            </m:rPr>
            <m:t>,</m:t>
          </m:r>
          <m:r>
            <m:t>  </m:t>
          </m:r>
          <m:sSub>
            <m:e>
              <m:acc>
                <m:accPr>
                  <m:chr m:val="̂"/>
                </m:accPr>
                <m:e>
                  <m:r>
                    <m:t>σ</m:t>
                  </m:r>
                </m:e>
              </m:acc>
            </m:e>
            <m:sub>
              <m:r>
                <m:t>i</m:t>
              </m:r>
              <m:r>
                <m:t>j</m:t>
              </m:r>
            </m:sub>
          </m:sSub>
          <m:r>
            <m:rPr>
              <m:sty m:val="p"/>
            </m:rPr>
            <m:t>=</m:t>
          </m:r>
          <m:f>
            <m:fPr>
              <m:type m:val="bar"/>
            </m:fPr>
            <m:num>
              <m:nary>
                <m:naryPr>
                  <m:chr m:val="∑"/>
                  <m:limLoc m:val="undOvr"/>
                  <m:subHide m:val="off"/>
                  <m:supHide m:val="on"/>
                </m:naryPr>
                <m:sub>
                  <m:r>
                    <m:t>s</m:t>
                  </m:r>
                </m:sub>
                <m:sup>
                  <m:r>
                    <m:t>​</m:t>
                  </m:r>
                </m:sup>
                <m:e>
                  <m:sSub>
                    <m:e>
                      <m:r>
                        <m:t>w</m:t>
                      </m:r>
                    </m:e>
                    <m:sub>
                      <m:r>
                        <m:t>s</m:t>
                      </m:r>
                    </m:sub>
                  </m:sSub>
                </m:e>
              </m:nary>
              <m:d>
                <m:dPr>
                  <m:begChr m:val="("/>
                  <m:endChr m:val=")"/>
                  <m:sepChr m:val=""/>
                  <m:grow/>
                </m:dPr>
                <m:e>
                  <m:sSub>
                    <m:e>
                      <m:r>
                        <m:t>r</m:t>
                      </m:r>
                    </m:e>
                    <m:sub>
                      <m:r>
                        <m:t>i</m:t>
                      </m:r>
                      <m:r>
                        <m:rPr>
                          <m:sty m:val="p"/>
                        </m:rPr>
                        <m:t>,</m:t>
                      </m:r>
                      <m:r>
                        <m:t>s</m:t>
                      </m:r>
                    </m:sub>
                  </m:sSub>
                  <m:r>
                    <m:rPr>
                      <m:sty m:val="p"/>
                    </m:rPr>
                    <m:t>−</m:t>
                  </m:r>
                  <m:sSub>
                    <m:e>
                      <m:acc>
                        <m:accPr>
                          <m:chr m:val="‾"/>
                        </m:accPr>
                        <m:e>
                          <m:r>
                            <m:t>r</m:t>
                          </m:r>
                        </m:e>
                      </m:acc>
                    </m:e>
                    <m:sub>
                      <m:r>
                        <m:t>i</m:t>
                      </m:r>
                    </m:sub>
                  </m:sSub>
                </m:e>
              </m:d>
              <m:d>
                <m:dPr>
                  <m:begChr m:val="("/>
                  <m:endChr m:val=")"/>
                  <m:sepChr m:val=""/>
                  <m:grow/>
                </m:dPr>
                <m:e>
                  <m:sSub>
                    <m:e>
                      <m:r>
                        <m:t>r</m:t>
                      </m:r>
                    </m:e>
                    <m:sub>
                      <m:r>
                        <m:t>j</m:t>
                      </m:r>
                      <m:r>
                        <m:rPr>
                          <m:sty m:val="p"/>
                        </m:rPr>
                        <m:t>,</m:t>
                      </m:r>
                      <m:r>
                        <m:t>s</m:t>
                      </m:r>
                    </m:sub>
                  </m:sSub>
                  <m:r>
                    <m:rPr>
                      <m:sty m:val="p"/>
                    </m:rPr>
                    <m:t>−</m:t>
                  </m:r>
                  <m:sSub>
                    <m:e>
                      <m:acc>
                        <m:accPr>
                          <m:chr m:val="‾"/>
                        </m:accPr>
                        <m:e>
                          <m:r>
                            <m:t>r</m:t>
                          </m:r>
                        </m:e>
                      </m:acc>
                    </m:e>
                    <m:sub>
                      <m:r>
                        <m:t>j</m:t>
                      </m:r>
                    </m:sub>
                  </m:sSub>
                </m:e>
              </m:d>
            </m:num>
            <m:den>
              <m:r>
                <m:t>1</m:t>
              </m:r>
              <m:r>
                <m:rPr>
                  <m:sty m:val="p"/>
                </m:rPr>
                <m:t>−</m:t>
              </m:r>
              <m:nary>
                <m:naryPr>
                  <m:chr m:val="∑"/>
                  <m:limLoc m:val="undOvr"/>
                  <m:subHide m:val="off"/>
                  <m:supHide m:val="on"/>
                </m:naryPr>
                <m:sub>
                  <m:r>
                    <m:t>s</m:t>
                  </m:r>
                </m:sub>
                <m:sup>
                  <m:r>
                    <m:t>​</m:t>
                  </m:r>
                </m:sup>
                <m:e>
                  <m:sSubSup>
                    <m:e>
                      <m:r>
                        <m:t>w</m:t>
                      </m:r>
                    </m:e>
                    <m:sub>
                      <m:r>
                        <m:t>s</m:t>
                      </m:r>
                    </m:sub>
                    <m:sup>
                      <m:r>
                        <m:t>2</m:t>
                      </m:r>
                    </m:sup>
                  </m:sSubSup>
                </m:e>
              </m:nary>
            </m:den>
          </m:f>
        </m:oMath>
      </m:oMathPara>
    </w:p>
    <w:p>
      <w:pPr>
        <w:pStyle w:val="FirstParagraph"/>
      </w:pPr>
      <w:r>
        <w:t xml:space="preserve">Mẫu số 1 − Σw² hiệu chỉnh độ chệch tương tự việc chia cho T − 1 trong phương sai mẫu thông thường. Với chu kỳ bán rã 18 tháng, số quan sát hiệu dụng 1/Σw² tiến tới khoảng 52 tháng khi lịch sử đủ dài, đủ để ổn định nhưng vẫn phản ánh thay đổi của chế độ biến động. Vì các lớp có độ dài lịch sử khác nhau, hiệp phương sai được tính theo từng cặp trên các tháng cả hai lớp cùng có dữ liệu, rồi ma trận tương quan được chiếu về dạng bán xác định dương bằng cách cắt các trị riêng âm.</w:t>
      </w:r>
    </w:p>
    <w:p>
      <w:pPr>
        <w:pStyle w:val="BodyText"/>
      </w:pPr>
      <w:r>
        <w:rPr>
          <w:bCs/>
          <w:b/>
        </w:rPr>
        <w:t xml:space="preserve">Bước 3: co ngót tương quan Ledoit–Wolf.</w:t>
      </w:r>
      <w:r>
        <w:t xml:space="preserve"> </w:t>
      </w:r>
      <w:r>
        <w:t xml:space="preserve">Với 4 lớp và vài chục đến hai trăm tháng dữ liệu, hệ số tương quan mẫu có sai số lớn. Ma trận tương quan được co về ma trận đơn vị, tức giữ nguyên phương sai từng lớp và kéo các hệ số tương quan về 0 (mục tiêu</w:t>
      </w:r>
      <w:r>
        <w:t xml:space="preserve"> </w:t>
      </w:r>
      <w:r>
        <w:t xml:space="preserve">“</w:t>
      </w:r>
      <w:r>
        <w:t xml:space="preserve">D</w:t>
      </w:r>
      <w:r>
        <w:t xml:space="preserve">”</w:t>
      </w:r>
      <w:r>
        <w:t xml:space="preserve"> </w:t>
      </w:r>
      <w:r>
        <w:t xml:space="preserve">của Schäfer và Strimmer, 2005). Cường độ co α được tính theo công thức của Ledoit và Wolf (2004) với trọng số EWMA:</w:t>
      </w:r>
    </w:p>
    <w:p>
      <w:pPr>
        <w:pStyle w:val="BodyText"/>
      </w:pPr>
      <m:oMathPara>
        <m:oMathParaPr>
          <m:jc m:val="center"/>
        </m:oMathParaPr>
        <m:oMath>
          <m:sSub>
            <m:e>
              <m:acc>
                <m:accPr>
                  <m:chr m:val="̂"/>
                </m:accPr>
                <m:e>
                  <m:r>
                    <m:t>C</m:t>
                  </m:r>
                </m:e>
              </m:acc>
            </m:e>
            <m:sub>
              <m:r>
                <m:t>s</m:t>
              </m:r>
              <m:r>
                <m:t>h</m:t>
              </m:r>
              <m:r>
                <m:t>r</m:t>
              </m:r>
              <m:r>
                <m:t>u</m:t>
              </m:r>
              <m:r>
                <m:t>n</m:t>
              </m:r>
              <m:r>
                <m:t>k</m:t>
              </m:r>
            </m:sub>
          </m:sSub>
          <m:r>
            <m:rPr>
              <m:sty m:val="p"/>
            </m:rPr>
            <m:t>=</m:t>
          </m:r>
          <m:d>
            <m:dPr>
              <m:begChr m:val="("/>
              <m:endChr m:val=")"/>
              <m:sepChr m:val=""/>
              <m:grow/>
            </m:dPr>
            <m:e>
              <m:r>
                <m:t>1</m:t>
              </m:r>
              <m:r>
                <m:rPr>
                  <m:sty m:val="p"/>
                </m:rPr>
                <m:t>−</m:t>
              </m:r>
              <m:r>
                <m:t>α</m:t>
              </m:r>
            </m:e>
          </m:d>
          <m:r>
            <m:t> </m:t>
          </m:r>
          <m:acc>
            <m:accPr>
              <m:chr m:val="̂"/>
            </m:accPr>
            <m:e>
              <m:r>
                <m:t>C</m:t>
              </m:r>
            </m:e>
          </m:acc>
          <m:r>
            <m:rPr>
              <m:sty m:val="p"/>
            </m:rPr>
            <m:t>+</m:t>
          </m:r>
          <m:r>
            <m:t>α</m:t>
          </m:r>
          <m:r>
            <m:t>I</m:t>
          </m:r>
          <m:r>
            <m:rPr>
              <m:sty m:val="p"/>
            </m:rPr>
            <m:t>,</m:t>
          </m:r>
          <m:r>
            <m:t>  </m:t>
          </m:r>
          <m:r>
            <m:t>α</m:t>
          </m:r>
          <m:r>
            <m:rPr>
              <m:sty m:val="p"/>
            </m:rPr>
            <m:t>=</m:t>
          </m:r>
          <m:r>
            <m:rPr>
              <m:sty m:val="p"/>
            </m:rPr>
            <m:t>min</m:t>
          </m:r>
          <m:r>
            <m:t>​</m:t>
          </m:r>
          <m:d>
            <m:dPr>
              <m:begChr m:val="("/>
              <m:endChr m:val=")"/>
              <m:sepChr m:val=""/>
              <m:grow/>
            </m:dPr>
            <m:e>
              <m:r>
                <m:t>1</m:t>
              </m:r>
              <m:r>
                <m:rPr>
                  <m:sty m:val="p"/>
                </m:rPr>
                <m:t>,</m:t>
              </m:r>
              <m:f>
                <m:fPr>
                  <m:type m:val="bar"/>
                </m:fPr>
                <m:num>
                  <m:nary>
                    <m:naryPr>
                      <m:chr m:val="∑"/>
                      <m:limLoc m:val="undOvr"/>
                      <m:subHide m:val="off"/>
                      <m:supHide m:val="on"/>
                    </m:naryPr>
                    <m:sub>
                      <m:r>
                        <m:t>i</m:t>
                      </m:r>
                      <m:r>
                        <m:rPr>
                          <m:sty m:val="p"/>
                        </m:rPr>
                        <m:t>≠</m:t>
                      </m:r>
                      <m:r>
                        <m:t>j</m:t>
                      </m:r>
                    </m:sub>
                    <m:sup>
                      <m:r>
                        <m:t>​</m:t>
                      </m:r>
                    </m:sup>
                    <m:e>
                      <m:acc>
                        <m:accPr>
                          <m:chr m:val="̂"/>
                        </m:accPr>
                        <m:e>
                          <m:r>
                            <m:rPr>
                              <m:sty m:val="p"/>
                            </m:rPr>
                            <m:t>V</m:t>
                          </m:r>
                          <m:r>
                            <m:rPr>
                              <m:sty m:val="p"/>
                            </m:rPr>
                            <m:t>a</m:t>
                          </m:r>
                          <m:r>
                            <m:rPr>
                              <m:sty m:val="p"/>
                            </m:rPr>
                            <m:t>r</m:t>
                          </m:r>
                        </m:e>
                      </m:acc>
                    </m:e>
                  </m:nary>
                  <m:d>
                    <m:dPr>
                      <m:begChr m:val="("/>
                      <m:endChr m:val=")"/>
                      <m:sepChr m:val=""/>
                      <m:grow/>
                    </m:dPr>
                    <m:e>
                      <m:sSub>
                        <m:e>
                          <m:acc>
                            <m:accPr>
                              <m:chr m:val="̂"/>
                            </m:accPr>
                            <m:e>
                              <m:r>
                                <m:t>c</m:t>
                              </m:r>
                            </m:e>
                          </m:acc>
                        </m:e>
                        <m:sub>
                          <m:r>
                            <m:t>i</m:t>
                          </m:r>
                          <m:r>
                            <m:t>j</m:t>
                          </m:r>
                        </m:sub>
                      </m:sSub>
                    </m:e>
                  </m:d>
                </m:num>
                <m:den>
                  <m:nary>
                    <m:naryPr>
                      <m:chr m:val="∑"/>
                      <m:limLoc m:val="undOvr"/>
                      <m:subHide m:val="off"/>
                      <m:supHide m:val="on"/>
                    </m:naryPr>
                    <m:sub>
                      <m:r>
                        <m:t>i</m:t>
                      </m:r>
                      <m:r>
                        <m:rPr>
                          <m:sty m:val="p"/>
                        </m:rPr>
                        <m:t>≠</m:t>
                      </m:r>
                      <m:r>
                        <m:t>j</m:t>
                      </m:r>
                    </m:sub>
                    <m:sup>
                      <m:r>
                        <m:t>​</m:t>
                      </m:r>
                    </m:sup>
                    <m:e>
                      <m:sSubSup>
                        <m:e>
                          <m:acc>
                            <m:accPr>
                              <m:chr m:val="̂"/>
                            </m:accPr>
                            <m:e>
                              <m:r>
                                <m:t>c</m:t>
                              </m:r>
                            </m:e>
                          </m:acc>
                        </m:e>
                        <m:sub>
                          <m:r>
                            <m:t>i</m:t>
                          </m:r>
                          <m:r>
                            <m:t>j</m:t>
                          </m:r>
                        </m:sub>
                        <m:sup>
                          <m:r>
                            <m:t>2</m:t>
                          </m:r>
                        </m:sup>
                      </m:sSubSup>
                    </m:e>
                  </m:nary>
                </m:den>
              </m:f>
            </m:e>
          </m:d>
          <m:r>
            <m:rPr>
              <m:sty m:val="p"/>
            </m:rPr>
            <m:t>,</m:t>
          </m:r>
          <m:r>
            <m:t>  </m:t>
          </m:r>
          <m:acc>
            <m:accPr>
              <m:chr m:val="̂"/>
            </m:accPr>
            <m:e>
              <m:r>
                <m:t>Σ</m:t>
              </m:r>
            </m:e>
          </m:acc>
          <m:r>
            <m:rPr>
              <m:sty m:val="p"/>
            </m:rPr>
            <m:t>=</m:t>
          </m:r>
          <m:r>
            <m:t>D</m:t>
          </m:r>
          <m:sSub>
            <m:e>
              <m:acc>
                <m:accPr>
                  <m:chr m:val="̂"/>
                </m:accPr>
                <m:e>
                  <m:r>
                    <m:t>C</m:t>
                  </m:r>
                </m:e>
              </m:acc>
            </m:e>
            <m:sub>
              <m:r>
                <m:t>s</m:t>
              </m:r>
              <m:r>
                <m:t>h</m:t>
              </m:r>
              <m:r>
                <m:t>r</m:t>
              </m:r>
              <m:r>
                <m:t>u</m:t>
              </m:r>
              <m:r>
                <m:t>n</m:t>
              </m:r>
              <m:r>
                <m:t>k</m:t>
              </m:r>
            </m:sub>
          </m:sSub>
          <m:r>
            <m:t>D</m:t>
          </m:r>
        </m:oMath>
      </m:oMathPara>
    </w:p>
    <w:p>
      <w:pPr>
        <w:pStyle w:val="FirstParagraph"/>
      </w:pPr>
      <w:r>
        <w:t xml:space="preserve">với D là ma trận đường chéo các độ lệch chuẩn. Tử số đo độ nhiễu của các hệ số tương quan ước lượng (tính từ tích chéo của lợi nhuận chuẩn hóa có trọng số), mẫu số đo khoảng cách từ ma trận tương quan mẫu đến mục tiêu. Khi tương quan mẫu nhiễu so với độ lớn của chúng, α lớn và ước lượng gần ma trận đơn vị hơn.</w:t>
      </w:r>
    </w:p>
    <w:p>
      <w:pPr>
        <w:pStyle w:val="BodyText"/>
      </w:pPr>
      <w:r>
        <w:rPr>
          <w:bCs/>
          <w:b/>
        </w:rPr>
        <w:t xml:space="preserve">Lợi nhuận kỳ vọng cho Markowitz.</w:t>
      </w:r>
      <w:r>
        <w:t xml:space="preserve"> </w:t>
      </w:r>
      <w:r>
        <w:t xml:space="preserve">Trung bình lợi nhuận vượt trội lịch sử (so với lãi tiền gửi 12 tháng) được co về lợi nhuận của danh mục phương sai nhỏ nhất theo ước lượng Bayes–Stein của Jorion (1986):</w:t>
      </w:r>
    </w:p>
    <w:p>
      <w:pPr>
        <w:pStyle w:val="BodyText"/>
      </w:pPr>
      <m:oMathPara>
        <m:oMathParaPr>
          <m:jc m:val="center"/>
        </m:oMathParaPr>
        <m:oMath>
          <m:sSub>
            <m:e>
              <m:r>
                <m:t>μ</m:t>
              </m:r>
            </m:e>
            <m:sub>
              <m:r>
                <m:t>B</m:t>
              </m:r>
              <m:r>
                <m:t>S</m:t>
              </m:r>
            </m:sub>
          </m:sSub>
          <m:r>
            <m:rPr>
              <m:sty m:val="p"/>
            </m:rPr>
            <m:t>=</m:t>
          </m:r>
          <m:d>
            <m:dPr>
              <m:begChr m:val="("/>
              <m:endChr m:val=")"/>
              <m:sepChr m:val=""/>
              <m:grow/>
            </m:dPr>
            <m:e>
              <m:r>
                <m:t>1</m:t>
              </m:r>
              <m:r>
                <m:rPr>
                  <m:sty m:val="p"/>
                </m:rPr>
                <m:t>−</m:t>
              </m:r>
              <m:r>
                <m:t>ϕ</m:t>
              </m:r>
            </m:e>
          </m:d>
          <m:r>
            <m:t> </m:t>
          </m:r>
          <m:acc>
            <m:accPr>
              <m:chr m:val="̂"/>
            </m:accPr>
            <m:e>
              <m:r>
                <m:t>μ</m:t>
              </m:r>
            </m:e>
          </m:acc>
          <m:r>
            <m:rPr>
              <m:sty m:val="p"/>
            </m:rPr>
            <m:t>+</m:t>
          </m:r>
          <m:r>
            <m:t>ϕ</m:t>
          </m:r>
          <m:r>
            <m:t> </m:t>
          </m:r>
          <m:sSub>
            <m:e>
              <m:r>
                <m:t>μ</m:t>
              </m:r>
            </m:e>
            <m:sub>
              <m:r>
                <m:t>g</m:t>
              </m:r>
            </m:sub>
          </m:sSub>
          <m:r>
            <m:rPr>
              <m:sty m:val="b"/>
            </m:rPr>
            <m:t>1</m:t>
          </m:r>
          <m:r>
            <m:rPr>
              <m:sty m:val="p"/>
            </m:rPr>
            <m:t>,</m:t>
          </m:r>
          <m:r>
            <m:t>  </m:t>
          </m:r>
          <m:sSub>
            <m:e>
              <m:r>
                <m:t>μ</m:t>
              </m:r>
            </m:e>
            <m:sub>
              <m:r>
                <m:t>g</m:t>
              </m:r>
            </m:sub>
          </m:sSub>
          <m:r>
            <m:rPr>
              <m:sty m:val="p"/>
            </m:rPr>
            <m:t>=</m:t>
          </m:r>
          <m:f>
            <m:fPr>
              <m:type m:val="bar"/>
            </m:fPr>
            <m:num>
              <m:sSup>
                <m:e>
                  <m:r>
                    <m:rPr>
                      <m:sty m:val="b"/>
                    </m:rPr>
                    <m:t>1</m:t>
                  </m:r>
                </m:e>
                <m:sup>
                  <m:r>
                    <m:rPr>
                      <m:sty m:val="p"/>
                    </m:rPr>
                    <m:t>⊤</m:t>
                  </m:r>
                </m:sup>
              </m:sSup>
              <m:sSup>
                <m:e>
                  <m:acc>
                    <m:accPr>
                      <m:chr m:val="̂"/>
                    </m:accPr>
                    <m:e>
                      <m:r>
                        <m:t>Σ</m:t>
                      </m:r>
                    </m:e>
                  </m:acc>
                </m:e>
                <m:sup>
                  <m:r>
                    <m:rPr>
                      <m:sty m:val="p"/>
                    </m:rPr>
                    <m:t>−</m:t>
                  </m:r>
                  <m:r>
                    <m:t>1</m:t>
                  </m:r>
                </m:sup>
              </m:sSup>
              <m:acc>
                <m:accPr>
                  <m:chr m:val="̂"/>
                </m:accPr>
                <m:e>
                  <m:r>
                    <m:t>μ</m:t>
                  </m:r>
                </m:e>
              </m:acc>
            </m:num>
            <m:den>
              <m:sSup>
                <m:e>
                  <m:r>
                    <m:rPr>
                      <m:sty m:val="b"/>
                    </m:rPr>
                    <m:t>1</m:t>
                  </m:r>
                </m:e>
                <m:sup>
                  <m:r>
                    <m:rPr>
                      <m:sty m:val="p"/>
                    </m:rPr>
                    <m:t>⊤</m:t>
                  </m:r>
                </m:sup>
              </m:sSup>
              <m:sSup>
                <m:e>
                  <m:acc>
                    <m:accPr>
                      <m:chr m:val="̂"/>
                    </m:accPr>
                    <m:e>
                      <m:r>
                        <m:t>Σ</m:t>
                      </m:r>
                    </m:e>
                  </m:acc>
                </m:e>
                <m:sup>
                  <m:r>
                    <m:rPr>
                      <m:sty m:val="p"/>
                    </m:rPr>
                    <m:t>−</m:t>
                  </m:r>
                  <m:r>
                    <m:t>1</m:t>
                  </m:r>
                </m:sup>
              </m:sSup>
              <m:r>
                <m:rPr>
                  <m:sty m:val="b"/>
                </m:rPr>
                <m:t>1</m:t>
              </m:r>
            </m:den>
          </m:f>
          <m:r>
            <m:rPr>
              <m:sty m:val="p"/>
            </m:rPr>
            <m:t>,</m:t>
          </m:r>
          <m:r>
            <m:t>  </m:t>
          </m:r>
          <m:r>
            <m:t>ϕ</m:t>
          </m:r>
          <m:r>
            <m:rPr>
              <m:sty m:val="p"/>
            </m:rPr>
            <m:t>=</m:t>
          </m:r>
          <m:f>
            <m:fPr>
              <m:type m:val="bar"/>
            </m:fPr>
            <m:num>
              <m:r>
                <m:t>N</m:t>
              </m:r>
              <m:r>
                <m:rPr>
                  <m:sty m:val="p"/>
                </m:rPr>
                <m:t>+</m:t>
              </m:r>
              <m:r>
                <m:t>2</m:t>
              </m:r>
            </m:num>
            <m:den>
              <m:d>
                <m:dPr>
                  <m:begChr m:val="("/>
                  <m:endChr m:val=")"/>
                  <m:sepChr m:val=""/>
                  <m:grow/>
                </m:dPr>
                <m:e>
                  <m:r>
                    <m:t>N</m:t>
                  </m:r>
                  <m:r>
                    <m:rPr>
                      <m:sty m:val="p"/>
                    </m:rPr>
                    <m:t>+</m:t>
                  </m:r>
                  <m:r>
                    <m:t>2</m:t>
                  </m:r>
                </m:e>
              </m:d>
              <m:r>
                <m:rPr>
                  <m:sty m:val="p"/>
                </m:rPr>
                <m:t>+</m:t>
              </m:r>
              <m:r>
                <m:t>T</m:t>
              </m:r>
              <m:sSup>
                <m:e>
                  <m:d>
                    <m:dPr>
                      <m:begChr m:val="("/>
                      <m:endChr m:val=")"/>
                      <m:sepChr m:val=""/>
                      <m:grow/>
                    </m:dPr>
                    <m:e>
                      <m:acc>
                        <m:accPr>
                          <m:chr m:val="̂"/>
                        </m:accPr>
                        <m:e>
                          <m:r>
                            <m:t>μ</m:t>
                          </m:r>
                        </m:e>
                      </m:acc>
                      <m:r>
                        <m:rPr>
                          <m:sty m:val="p"/>
                        </m:rPr>
                        <m:t>−</m:t>
                      </m:r>
                      <m:sSub>
                        <m:e>
                          <m:r>
                            <m:t>μ</m:t>
                          </m:r>
                        </m:e>
                        <m:sub>
                          <m:r>
                            <m:t>g</m:t>
                          </m:r>
                        </m:sub>
                      </m:sSub>
                      <m:r>
                        <m:rPr>
                          <m:sty m:val="b"/>
                        </m:rPr>
                        <m:t>1</m:t>
                      </m:r>
                    </m:e>
                  </m:d>
                </m:e>
                <m:sup>
                  <m:r>
                    <m:rPr>
                      <m:sty m:val="p"/>
                    </m:rPr>
                    <m:t>⊤</m:t>
                  </m:r>
                </m:sup>
              </m:sSup>
              <m:sSup>
                <m:e>
                  <m:acc>
                    <m:accPr>
                      <m:chr m:val="̂"/>
                    </m:accPr>
                    <m:e>
                      <m:r>
                        <m:t>Σ</m:t>
                      </m:r>
                    </m:e>
                  </m:acc>
                </m:e>
                <m:sup>
                  <m:r>
                    <m:rPr>
                      <m:sty m:val="p"/>
                    </m:rPr>
                    <m:t>−</m:t>
                  </m:r>
                  <m:r>
                    <m:t>1</m:t>
                  </m:r>
                </m:sup>
              </m:sSup>
              <m:d>
                <m:dPr>
                  <m:begChr m:val="("/>
                  <m:endChr m:val=")"/>
                  <m:sepChr m:val=""/>
                  <m:grow/>
                </m:dPr>
                <m:e>
                  <m:acc>
                    <m:accPr>
                      <m:chr m:val="̂"/>
                    </m:accPr>
                    <m:e>
                      <m:r>
                        <m:t>μ</m:t>
                      </m:r>
                    </m:e>
                  </m:acc>
                  <m:r>
                    <m:rPr>
                      <m:sty m:val="p"/>
                    </m:rPr>
                    <m:t>−</m:t>
                  </m:r>
                  <m:sSub>
                    <m:e>
                      <m:r>
                        <m:t>μ</m:t>
                      </m:r>
                    </m:e>
                    <m:sub>
                      <m:r>
                        <m:t>g</m:t>
                      </m:r>
                    </m:sub>
                  </m:sSub>
                  <m:r>
                    <m:rPr>
                      <m:sty m:val="b"/>
                    </m:rPr>
                    <m:t>1</m:t>
                  </m:r>
                </m:e>
              </m:d>
            </m:den>
          </m:f>
        </m:oMath>
      </m:oMathPara>
    </w:p>
    <w:p>
      <w:pPr>
        <w:pStyle w:val="FirstParagraph"/>
      </w:pPr>
      <w:r>
        <w:t xml:space="preserve">với N là số lớp, T là số tháng của lớp có lịch sử ngắn nhất và μ</w:t>
      </w:r>
      <w:r>
        <w:rPr>
          <w:vertAlign w:val="subscript"/>
        </w:rPr>
        <w:t xml:space="preserve">g</w:t>
      </w:r>
      <w:r>
        <w:t xml:space="preserve"> </w:t>
      </w:r>
      <w:r>
        <w:t xml:space="preserve">là lợi nhuận kỳ vọng của danh mục phương sai nhỏ nhất. Khi dữ liệu ít và nhiễu, φ lớn và mô hình dựa nhiều hơn vào μ</w:t>
      </w:r>
      <w:r>
        <w:rPr>
          <w:vertAlign w:val="subscript"/>
        </w:rPr>
        <w:t xml:space="preserve">g</w:t>
      </w:r>
      <w:r>
        <w:t xml:space="preserve">, giảm nhạy cảm của Markowitz với sai số ước lượng lợi nhuận. Lợi nhuận vượt trội này sau đó được cộng thêm chênh lệch giữa lãi 12 tháng và lãi của phần tiền mặt theo khung thời gian, để mọi lợi nhuận kỳ vọng trong bài toán tối ưu đều đo so với đúng tài sản phi rủi ro của khung đó.</w:t>
      </w:r>
    </w:p>
    <w:bookmarkEnd w:id="69"/>
    <w:bookmarkStart w:id="70" w:name="bảy-phương-pháp-phân-bổ"/>
    <w:p>
      <w:pPr>
        <w:pStyle w:val="Heading2"/>
      </w:pPr>
      <w:r>
        <w:t xml:space="preserve">3.5 Bảy phương pháp phân bổ</w:t>
      </w:r>
    </w:p>
    <w:p>
      <w:pPr>
        <w:pStyle w:val="FirstParagraph"/>
      </w:pPr>
      <w:r>
        <w:t xml:space="preserve">Bảy phương pháp được chia thành ba nhóm theo lượng thông tin về lợi nhuận kỳ vọng mà chúng sử dụng. Nhóm không dự báo chỉ cần rủi ro; nhóm tối ưu truyền thống dùng lợi nhuận lịch sử; nhóm học máy dùng dự báo ngoài mẫu.</w:t>
      </w:r>
    </w:p>
    <w:p>
      <w:pPr>
        <w:pStyle w:val="TableCaption"/>
      </w:pPr>
      <w:r>
        <w:t xml:space="preserve">Bảng 3.8. Tóm tắt bảy phương pháp phân bổ</w:t>
      </w:r>
    </w:p>
    <w:tbl>
      <w:tblPr>
        <w:tblStyle w:val="Table"/>
        <w:tblW w:type="pct" w:w="5000"/>
        <w:jc w:val="center"/>
        <w:tblLook w:firstRow="1" w:lastRow="0" w:firstColumn="0" w:lastColumn="0" w:noHBand="0" w:noVBand="0" w:val="0020"/>
        <w:tblCaption w:val="Bảng 3.8. Tóm tắt bảy phương pháp phân bổ"/>
      </w:tblPr>
      <w:tblGrid>
        <w:gridCol w:w="1960"/>
        <w:gridCol w:w="1333"/>
        <w:gridCol w:w="3136"/>
        <w:gridCol w:w="1489"/>
      </w:tblGrid>
      <w:tr>
        <w:trPr>
          <w:tblHeader w:val="true"/>
        </w:trPr>
        <w:tc>
          <w:tcPr/>
          <w:p>
            <w:pPr>
              <w:pStyle w:val="Compact"/>
              <w:jc w:val="center"/>
            </w:pPr>
            <w:r>
              <w:rPr>
                <w:b/>
              </w:rPr>
              <w:t xml:space="preserve">Phương pháp</w:t>
            </w:r>
          </w:p>
        </w:tc>
        <w:tc>
          <w:tcPr/>
          <w:p>
            <w:pPr>
              <w:pStyle w:val="Compact"/>
              <w:jc w:val="center"/>
            </w:pPr>
            <w:r>
              <w:rPr>
                <w:b/>
              </w:rPr>
              <w:t xml:space="preserve">Nhóm</w:t>
            </w:r>
          </w:p>
        </w:tc>
        <w:tc>
          <w:tcPr/>
          <w:p>
            <w:pPr>
              <w:pStyle w:val="Compact"/>
              <w:jc w:val="center"/>
            </w:pPr>
            <w:r>
              <w:rPr>
                <w:b/>
              </w:rPr>
              <w:t xml:space="preserve">Đầu vào</w:t>
            </w:r>
          </w:p>
        </w:tc>
        <w:tc>
          <w:tcPr/>
          <w:p>
            <w:pPr>
              <w:pStyle w:val="Compact"/>
              <w:jc w:val="center"/>
            </w:pPr>
            <w:r>
              <w:rPr>
                <w:b/>
              </w:rPr>
              <w:t xml:space="preserve">Cách áp dải khẩu vị</w:t>
            </w:r>
          </w:p>
        </w:tc>
      </w:tr>
      <w:tr>
        <w:trPr>
          <w:cantSplit/>
        </w:trPr>
        <w:tc>
          <w:tcPr/>
          <w:p>
            <w:pPr>
              <w:pStyle w:val="Compact"/>
              <w:jc w:val="left"/>
            </w:pPr>
            <w:r>
              <w:t xml:space="preserve">Equal Weight (EW)</w:t>
            </w:r>
          </w:p>
        </w:tc>
        <w:tc>
          <w:tcPr/>
          <w:p>
            <w:pPr>
              <w:pStyle w:val="Compact"/>
              <w:jc w:val="left"/>
            </w:pPr>
            <w:r>
              <w:t xml:space="preserve">Không dự báo</w:t>
            </w:r>
          </w:p>
        </w:tc>
        <w:tc>
          <w:tcPr/>
          <w:p>
            <w:pPr>
              <w:pStyle w:val="Compact"/>
              <w:jc w:val="left"/>
            </w:pPr>
            <w:r>
              <w:t xml:space="preserve">Không cần tham số</w:t>
            </w:r>
          </w:p>
        </w:tc>
        <w:tc>
          <w:tcPr/>
          <w:p>
            <w:pPr>
              <w:pStyle w:val="Compact"/>
              <w:jc w:val="left"/>
            </w:pPr>
            <w:r>
              <w:t xml:space="preserve">Hai tầng</w:t>
            </w:r>
          </w:p>
        </w:tc>
      </w:tr>
      <w:tr>
        <w:trPr>
          <w:cantSplit/>
        </w:trPr>
        <w:tc>
          <w:tcPr/>
          <w:p>
            <w:pPr>
              <w:pStyle w:val="Compact"/>
              <w:jc w:val="left"/>
            </w:pPr>
            <w:r>
              <w:t xml:space="preserve">Risk Parity (RP)</w:t>
            </w:r>
          </w:p>
        </w:tc>
        <w:tc>
          <w:tcPr/>
          <w:p>
            <w:pPr>
              <w:pStyle w:val="Compact"/>
              <w:jc w:val="left"/>
            </w:pPr>
            <w:r>
              <w:t xml:space="preserve">Không dự báo</w:t>
            </w:r>
          </w:p>
        </w:tc>
        <w:tc>
          <w:tcPr/>
          <w:p>
            <w:pPr>
              <w:pStyle w:val="Compact"/>
              <w:jc w:val="left"/>
            </w:pPr>
            <w:r>
              <w:t xml:space="preserve">Hiệp phương sai</w:t>
            </w:r>
          </w:p>
        </w:tc>
        <w:tc>
          <w:tcPr/>
          <w:p>
            <w:pPr>
              <w:pStyle w:val="Compact"/>
              <w:jc w:val="left"/>
            </w:pPr>
            <w:r>
              <w:t xml:space="preserve">Hai tầng</w:t>
            </w:r>
          </w:p>
        </w:tc>
      </w:tr>
      <w:tr>
        <w:trPr>
          <w:cantSplit/>
        </w:trPr>
        <w:tc>
          <w:tcPr/>
          <w:p>
            <w:pPr>
              <w:pStyle w:val="Compact"/>
              <w:jc w:val="left"/>
            </w:pPr>
            <w:r>
              <w:t xml:space="preserve">Hierarchical Risk Parity (HRP)</w:t>
            </w:r>
          </w:p>
        </w:tc>
        <w:tc>
          <w:tcPr/>
          <w:p>
            <w:pPr>
              <w:pStyle w:val="Compact"/>
              <w:jc w:val="left"/>
            </w:pPr>
            <w:r>
              <w:t xml:space="preserve">Không dự báo</w:t>
            </w:r>
          </w:p>
        </w:tc>
        <w:tc>
          <w:tcPr/>
          <w:p>
            <w:pPr>
              <w:pStyle w:val="Compact"/>
              <w:jc w:val="left"/>
            </w:pPr>
            <w:r>
              <w:t xml:space="preserve">Hiệp phương sai</w:t>
            </w:r>
          </w:p>
        </w:tc>
        <w:tc>
          <w:tcPr/>
          <w:p>
            <w:pPr>
              <w:pStyle w:val="Compact"/>
              <w:jc w:val="left"/>
            </w:pPr>
            <w:r>
              <w:t xml:space="preserve">Hai tầng</w:t>
            </w:r>
          </w:p>
        </w:tc>
      </w:tr>
      <w:tr>
        <w:trPr>
          <w:cantSplit/>
        </w:trPr>
        <w:tc>
          <w:tcPr/>
          <w:p>
            <w:pPr>
              <w:pStyle w:val="Compact"/>
              <w:jc w:val="left"/>
            </w:pPr>
            <w:r>
              <w:t xml:space="preserve">Markowitz</w:t>
            </w:r>
          </w:p>
        </w:tc>
        <w:tc>
          <w:tcPr/>
          <w:p>
            <w:pPr>
              <w:pStyle w:val="Compact"/>
              <w:jc w:val="left"/>
            </w:pPr>
            <w:r>
              <w:t xml:space="preserve">Tối ưu truyền thống</w:t>
            </w:r>
          </w:p>
        </w:tc>
        <w:tc>
          <w:tcPr/>
          <w:p>
            <w:pPr>
              <w:pStyle w:val="Compact"/>
              <w:jc w:val="left"/>
            </w:pPr>
            <w:r>
              <w:t xml:space="preserve">Hiệp phương sai, lợi nhuận Bayes–Stein</w:t>
            </w:r>
          </w:p>
        </w:tc>
        <w:tc>
          <w:tcPr/>
          <w:p>
            <w:pPr>
              <w:pStyle w:val="Compact"/>
              <w:jc w:val="left"/>
            </w:pPr>
            <w:r>
              <w:t xml:space="preserve">Ràng buộc tối ưu</w:t>
            </w:r>
          </w:p>
        </w:tc>
      </w:tr>
      <w:tr>
        <w:trPr>
          <w:cantSplit/>
        </w:trPr>
        <w:tc>
          <w:tcPr/>
          <w:p>
            <w:pPr>
              <w:pStyle w:val="Compact"/>
              <w:jc w:val="left"/>
            </w:pPr>
            <w:r>
              <w:t xml:space="preserve">Black–Litterman (BL)</w:t>
            </w:r>
          </w:p>
        </w:tc>
        <w:tc>
          <w:tcPr/>
          <w:p>
            <w:pPr>
              <w:pStyle w:val="Compact"/>
              <w:jc w:val="left"/>
            </w:pPr>
            <w:r>
              <w:t xml:space="preserve">Học máy</w:t>
            </w:r>
          </w:p>
        </w:tc>
        <w:tc>
          <w:tcPr/>
          <w:p>
            <w:pPr>
              <w:pStyle w:val="Compact"/>
              <w:jc w:val="left"/>
            </w:pPr>
            <w:r>
              <w:t xml:space="preserve">Hiệp phương sai, dự báo Elastic Net (bản đối chiếu: LightGBM)</w:t>
            </w:r>
          </w:p>
        </w:tc>
        <w:tc>
          <w:tcPr/>
          <w:p>
            <w:pPr>
              <w:pStyle w:val="Compact"/>
              <w:jc w:val="left"/>
            </w:pPr>
            <w:r>
              <w:t xml:space="preserve">Ràng buộc tối ưu</w:t>
            </w:r>
          </w:p>
        </w:tc>
      </w:tr>
      <w:tr>
        <w:trPr>
          <w:cantSplit/>
        </w:trPr>
        <w:tc>
          <w:tcPr/>
          <w:p>
            <w:pPr>
              <w:pStyle w:val="Compact"/>
              <w:jc w:val="left"/>
            </w:pPr>
            <w:r>
              <w:t xml:space="preserve">MLP_MVO</w:t>
            </w:r>
          </w:p>
        </w:tc>
        <w:tc>
          <w:tcPr/>
          <w:p>
            <w:pPr>
              <w:pStyle w:val="Compact"/>
              <w:jc w:val="left"/>
            </w:pPr>
            <w:r>
              <w:t xml:space="preserve">Học máy</w:t>
            </w:r>
          </w:p>
        </w:tc>
        <w:tc>
          <w:tcPr/>
          <w:p>
            <w:pPr>
              <w:pStyle w:val="Compact"/>
              <w:jc w:val="left"/>
            </w:pPr>
            <w:r>
              <w:t xml:space="preserve">Hiệp phương sai, dự báo MLP</w:t>
            </w:r>
          </w:p>
        </w:tc>
        <w:tc>
          <w:tcPr/>
          <w:p>
            <w:pPr>
              <w:pStyle w:val="Compact"/>
              <w:jc w:val="left"/>
            </w:pPr>
            <w:r>
              <w:t xml:space="preserve">Ràng buộc tối ưu</w:t>
            </w:r>
          </w:p>
        </w:tc>
      </w:tr>
      <w:tr>
        <w:trPr>
          <w:cantSplit/>
        </w:trPr>
        <w:tc>
          <w:tcPr/>
          <w:p>
            <w:pPr>
              <w:pStyle w:val="Compact"/>
              <w:jc w:val="left"/>
            </w:pPr>
            <w:r>
              <w:t xml:space="preserve">Học tăng cường (RL)</w:t>
            </w:r>
          </w:p>
        </w:tc>
        <w:tc>
          <w:tcPr/>
          <w:p>
            <w:pPr>
              <w:pStyle w:val="Compact"/>
              <w:jc w:val="left"/>
            </w:pPr>
            <w:r>
              <w:t xml:space="preserve">Học máy (phụ lục)</w:t>
            </w:r>
          </w:p>
        </w:tc>
        <w:tc>
          <w:tcPr/>
          <w:p>
            <w:pPr>
              <w:pStyle w:val="Compact"/>
              <w:jc w:val="left"/>
            </w:pPr>
            <w:r>
              <w:t xml:space="preserve">Trạng thái thị trường</w:t>
            </w:r>
          </w:p>
        </w:tc>
        <w:tc>
          <w:tcPr/>
          <w:p>
            <w:pPr>
              <w:pStyle w:val="Compact"/>
              <w:jc w:val="left"/>
            </w:pPr>
            <w:r>
              <w:t xml:space="preserve">Chọn vị trí trong dải</w:t>
            </w:r>
          </w:p>
        </w:tc>
      </w:tr>
    </w:tbl>
    <w:p>
      <w:pPr>
        <w:pStyle w:val="BodyText"/>
        <w:spacing w:before="200"/>
      </w:pPr>
      <w:r>
        <w:rPr>
          <w:bCs/>
          <w:b/>
        </w:rPr>
        <w:t xml:space="preserve">Equal Weight.</w:t>
      </w:r>
      <w:r>
        <w:t xml:space="preserve"> </w:t>
      </w:r>
      <w:r>
        <w:t xml:space="preserve">Mỗi lớp, kể cả tiền gửi, nhận tỷ trọng 1/N trước khi áp dải khẩu vị. Với 5 lớp, mỗi lớp nhận 20%, tức nhóm rủi ro nhận 40%; sau khi áp dải, nhóm rủi ro được giữ ở 40% (sàn của dải Cân bằng), được hạ xuống 30% ở khẩu vị Thận trọng và nâng lên 70% ở khẩu vị Tăng trưởng. DeMiguel, Garlappi và Uppal (2009) cho thấy danh mục 1/N khó bị vượt qua ngoài mẫu, nên đây là mốc so sánh chính.</w:t>
      </w:r>
    </w:p>
    <w:p>
      <w:pPr>
        <w:pStyle w:val="BodyText"/>
      </w:pPr>
      <w:r>
        <w:rPr>
          <w:bCs/>
          <w:b/>
        </w:rPr>
        <w:t xml:space="preserve">Risk Parity.</w:t>
      </w:r>
      <w:r>
        <w:t xml:space="preserve"> </w:t>
      </w:r>
      <w:r>
        <w:t xml:space="preserve">Tỷ trọng các lớp phi tiền mặt được chọn sao cho mỗi lớp đóng góp rủi ro bằng nhau vào độ biến động danh mục (Maillard, Roncalli và Teïletche, 2010):</w:t>
      </w:r>
    </w:p>
    <w:p>
      <w:pPr>
        <w:pStyle w:val="BodyText"/>
      </w:pPr>
      <m:oMathPara>
        <m:oMathParaPr>
          <m:jc m:val="center"/>
        </m:oMathParaPr>
        <m:oMath>
          <m:sSub>
            <m:e>
              <m:r>
                <m:t>w</m:t>
              </m:r>
            </m:e>
            <m:sub>
              <m:r>
                <m:t>i</m:t>
              </m:r>
            </m:sub>
          </m:sSub>
          <m:f>
            <m:fPr>
              <m:type m:val="bar"/>
            </m:fPr>
            <m:num>
              <m:sSub>
                <m:e>
                  <m:d>
                    <m:dPr>
                      <m:begChr m:val="("/>
                      <m:endChr m:val=")"/>
                      <m:sepChr m:val=""/>
                      <m:grow/>
                    </m:dPr>
                    <m:e>
                      <m:r>
                        <m:t>Σ</m:t>
                      </m:r>
                      <m:r>
                        <m:t>w</m:t>
                      </m:r>
                    </m:e>
                  </m:d>
                </m:e>
                <m:sub>
                  <m:r>
                    <m:t>i</m:t>
                  </m:r>
                </m:sub>
              </m:sSub>
            </m:num>
            <m:den>
              <m:rad>
                <m:radPr>
                  <m:degHide m:val="on"/>
                </m:radPr>
                <m:deg/>
                <m:e>
                  <m:sSup>
                    <m:e>
                      <m:r>
                        <m:t>w</m:t>
                      </m:r>
                    </m:e>
                    <m:sup>
                      <m:r>
                        <m:rPr>
                          <m:sty m:val="p"/>
                        </m:rPr>
                        <m:t>⊤</m:t>
                      </m:r>
                    </m:sup>
                  </m:sSup>
                  <m:r>
                    <m:t>Σ</m:t>
                  </m:r>
                  <m:r>
                    <m:t>w</m:t>
                  </m:r>
                </m:e>
              </m:rad>
            </m:den>
          </m:f>
          <m:r>
            <m:rPr>
              <m:sty m:val="p"/>
            </m:rPr>
            <m:t>=</m:t>
          </m:r>
          <m:f>
            <m:fPr>
              <m:type m:val="bar"/>
            </m:fPr>
            <m:num>
              <m:r>
                <m:t>1</m:t>
              </m:r>
            </m:num>
            <m:den>
              <m:r>
                <m:t>N</m:t>
              </m:r>
            </m:den>
          </m:f>
          <m:rad>
            <m:radPr>
              <m:degHide m:val="on"/>
            </m:radPr>
            <m:deg/>
            <m:e>
              <m:sSup>
                <m:e>
                  <m:r>
                    <m:t>w</m:t>
                  </m:r>
                </m:e>
                <m:sup>
                  <m:r>
                    <m:rPr>
                      <m:sty m:val="p"/>
                    </m:rPr>
                    <m:t>⊤</m:t>
                  </m:r>
                </m:sup>
              </m:sSup>
              <m:r>
                <m:t>Σ</m:t>
              </m:r>
              <m:r>
                <m:t>w</m:t>
              </m:r>
            </m:e>
          </m:rad>
          <m:r>
            <m:rPr>
              <m:sty m:val="p"/>
            </m:rPr>
            <m:t>,</m:t>
          </m:r>
          <m:r>
            <m:t> </m:t>
          </m:r>
          <m:r>
            <m:t>i</m:t>
          </m:r>
          <m:r>
            <m:rPr>
              <m:sty m:val="p"/>
            </m:rPr>
            <m:t>=</m:t>
          </m:r>
          <m:r>
            <m:t>1</m:t>
          </m:r>
          <m:r>
            <m:rPr>
              <m:sty m:val="p"/>
            </m:rPr>
            <m:t>,</m:t>
          </m:r>
          <m:r>
            <m:rPr>
              <m:sty m:val="p"/>
            </m:rPr>
            <m:t>…</m:t>
          </m:r>
          <m:r>
            <m:rPr>
              <m:sty m:val="p"/>
            </m:rPr>
            <m:t>,</m:t>
          </m:r>
          <m:r>
            <m:t>N</m:t>
          </m:r>
        </m:oMath>
      </m:oMathPara>
    </w:p>
    <w:p>
      <w:pPr>
        <w:pStyle w:val="FirstParagraph"/>
      </w:pPr>
      <w:r>
        <w:t xml:space="preserve">Nghiệm được tìm qua bài toán lồi tương đương ở mục 2.2.2, giải bằng thuật toán L-BFGS-B với điểm xuất phát là tỷ trọng nghịch đảo độ biến động. Sau đó danh mục được đưa qua thiết kế hai tầng ở mục 3.3.</w:t>
      </w:r>
    </w:p>
    <w:p>
      <w:pPr>
        <w:pStyle w:val="BodyText"/>
      </w:pPr>
      <w:r>
        <w:rPr>
          <w:bCs/>
          <w:b/>
        </w:rPr>
        <w:t xml:space="preserve">Hierarchical Risk Parity.</w:t>
      </w:r>
      <w:r>
        <w:t xml:space="preserve"> </w:t>
      </w:r>
      <w:r>
        <w:t xml:space="preserve">Theo López de Prado (2016), các lớp được gom cụm phân cấp theo liên kết đơn trên khoảng cách tương quan, sắp xếp lại theo thứ tự lá của cây, rồi phân bổ đệ quy giữa hai nhánh tỷ lệ nghịch với phương sai của từng nhánh. HRP không cần nghịch đảo ma trận hiệp phương sai. Với 4 lớp phi tiền mặt, hai lớp cổ phiếu thường được gom vào một cụm và vàng, trái phiếu vào cụm còn lại.</w:t>
      </w:r>
    </w:p>
    <w:p>
      <w:pPr>
        <w:pStyle w:val="BodyText"/>
      </w:pPr>
      <w:r>
        <w:rPr>
          <w:bCs/>
          <w:b/>
        </w:rPr>
        <w:t xml:space="preserve">Markowitz.</w:t>
      </w:r>
      <w:r>
        <w:t xml:space="preserve"> </w:t>
      </w:r>
      <w:r>
        <w:t xml:space="preserve">Bài toán trung bình–phương sai có hệ số ngại rủi ro δ = 2,5, cộng thêm chi phí giao dịch của việc thay đổi tỷ trọng:</w:t>
      </w:r>
    </w:p>
    <w:p>
      <w:pPr>
        <w:pStyle w:val="BodyText"/>
      </w:pPr>
      <m:oMathPara>
        <m:oMathParaPr>
          <m:jc m:val="center"/>
        </m:oMathParaPr>
        <m:oMath>
          <m:limLow>
            <m:e>
              <m:r>
                <m:rPr>
                  <m:sty m:val="p"/>
                </m:rPr>
                <m:t>max</m:t>
              </m:r>
            </m:e>
            <m:lim>
              <m:r>
                <m:t>w</m:t>
              </m:r>
            </m:lim>
          </m:limLow>
          <m:r>
            <m:t> </m:t>
          </m:r>
          <m:r>
            <m:t>k</m:t>
          </m:r>
          <m:d>
            <m:dPr>
              <m:begChr m:val="("/>
              <m:endChr m:val=")"/>
              <m:sepChr m:val=""/>
              <m:grow/>
            </m:dPr>
            <m:e>
              <m:sSup>
                <m:e>
                  <m:r>
                    <m:t>w</m:t>
                  </m:r>
                </m:e>
                <m:sup>
                  <m:r>
                    <m:rPr>
                      <m:sty m:val="p"/>
                    </m:rPr>
                    <m:t>⊤</m:t>
                  </m:r>
                </m:sup>
              </m:sSup>
              <m:r>
                <m:t>μ</m:t>
              </m:r>
              <m:r>
                <m:rPr>
                  <m:sty m:val="p"/>
                </m:rPr>
                <m:t>−</m:t>
              </m:r>
              <m:f>
                <m:fPr>
                  <m:type m:val="bar"/>
                </m:fPr>
                <m:num>
                  <m:r>
                    <m:t>δ</m:t>
                  </m:r>
                </m:num>
                <m:den>
                  <m:r>
                    <m:t>2</m:t>
                  </m:r>
                </m:den>
              </m:f>
              <m:sSup>
                <m:e>
                  <m:r>
                    <m:t>w</m:t>
                  </m:r>
                </m:e>
                <m:sup>
                  <m:r>
                    <m:rPr>
                      <m:sty m:val="p"/>
                    </m:rPr>
                    <m:t>⊤</m:t>
                  </m:r>
                </m:sup>
              </m:sSup>
              <m:r>
                <m:t>Σ</m:t>
              </m:r>
              <m:r>
                <m:t>w</m:t>
              </m:r>
            </m:e>
          </m:d>
          <m:r>
            <m:rPr>
              <m:sty m:val="p"/>
            </m:rPr>
            <m:t>−</m:t>
          </m:r>
          <m:nary>
            <m:naryPr>
              <m:chr m:val="∑"/>
              <m:limLoc m:val="undOvr"/>
              <m:subHide m:val="off"/>
              <m:supHide m:val="on"/>
            </m:naryPr>
            <m:sub>
              <m:r>
                <m:t>i</m:t>
              </m:r>
            </m:sub>
            <m:sup>
              <m:r>
                <m:t>​</m:t>
              </m:r>
            </m:sup>
            <m:e>
              <m:sSub>
                <m:e>
                  <m:r>
                    <m:t>c</m:t>
                  </m:r>
                </m:e>
                <m:sub>
                  <m:r>
                    <m:t>i</m:t>
                  </m:r>
                </m:sub>
              </m:sSub>
            </m:e>
          </m:nary>
          <m:r>
            <m:rPr>
              <m:sty m:val="p"/>
            </m:rPr>
            <m:t>|</m:t>
          </m:r>
          <m:sSub>
            <m:e>
              <m:r>
                <m:t>w</m:t>
              </m:r>
            </m:e>
            <m:sub>
              <m:r>
                <m:t>i</m:t>
              </m:r>
            </m:sub>
          </m:sSub>
          <m:r>
            <m:rPr>
              <m:sty m:val="p"/>
            </m:rPr>
            <m:t>−</m:t>
          </m:r>
          <m:sSubSup>
            <m:e>
              <m:r>
                <m:t>w</m:t>
              </m:r>
            </m:e>
            <m:sub>
              <m:r>
                <m:t>i</m:t>
              </m:r>
            </m:sub>
            <m:sup>
              <m:r>
                <m:t>p</m:t>
              </m:r>
              <m:r>
                <m:t>r</m:t>
              </m:r>
              <m:r>
                <m:t>e</m:t>
              </m:r>
              <m:r>
                <m:t>v</m:t>
              </m:r>
            </m:sup>
          </m:sSubSup>
          <m:r>
            <m:rPr>
              <m:sty m:val="p"/>
            </m:rPr>
            <m:t>|</m:t>
          </m:r>
          <m:r>
            <m:rPr>
              <m:sty m:val="p"/>
            </m:rPr>
            <m:t>−</m:t>
          </m:r>
          <m:sSub>
            <m:e>
              <m:r>
                <m:t>c</m:t>
              </m:r>
            </m:e>
            <m:sub>
              <m:r>
                <m:t>c</m:t>
              </m:r>
              <m:r>
                <m:t>a</m:t>
              </m:r>
              <m:r>
                <m:t>s</m:t>
              </m:r>
              <m:r>
                <m:t>h</m:t>
              </m:r>
            </m:sub>
          </m:sSub>
          <m:d>
            <m:dPr>
              <m:begChr m:val="|"/>
              <m:endChr m:val="|"/>
              <m:sepChr m:val=""/>
              <m:grow/>
            </m:dPr>
            <m:e>
              <m:d>
                <m:dPr>
                  <m:begChr m:val="("/>
                  <m:endChr m:val=")"/>
                  <m:sepChr m:val=""/>
                  <m:grow/>
                </m:dPr>
                <m:e>
                  <m:r>
                    <m:t>1</m:t>
                  </m:r>
                  <m:r>
                    <m:rPr>
                      <m:sty m:val="p"/>
                    </m:rPr>
                    <m:t>−</m:t>
                  </m:r>
                  <m:sSup>
                    <m:e>
                      <m:r>
                        <m:rPr>
                          <m:sty m:val="b"/>
                        </m:rPr>
                        <m:t>1</m:t>
                      </m:r>
                    </m:e>
                    <m:sup>
                      <m:r>
                        <m:rPr>
                          <m:sty m:val="p"/>
                        </m:rPr>
                        <m:t>⊤</m:t>
                      </m:r>
                    </m:sup>
                  </m:sSup>
                  <m:r>
                    <m:t>w</m:t>
                  </m:r>
                </m:e>
              </m:d>
              <m:r>
                <m:rPr>
                  <m:sty m:val="p"/>
                </m:rPr>
                <m:t>−</m:t>
              </m:r>
              <m:sSubSup>
                <m:e>
                  <m:r>
                    <m:t>w</m:t>
                  </m:r>
                </m:e>
                <m:sub>
                  <m:r>
                    <m:t>c</m:t>
                  </m:r>
                  <m:r>
                    <m:t>a</m:t>
                  </m:r>
                  <m:r>
                    <m:t>s</m:t>
                  </m:r>
                  <m:r>
                    <m:t>h</m:t>
                  </m:r>
                </m:sub>
                <m:sup>
                  <m:r>
                    <m:t>p</m:t>
                  </m:r>
                  <m:r>
                    <m:t>r</m:t>
                  </m:r>
                  <m:r>
                    <m:t>e</m:t>
                  </m:r>
                  <m:r>
                    <m:t>v</m:t>
                  </m:r>
                </m:sup>
              </m:sSubSup>
            </m:e>
          </m:d>
        </m:oMath>
      </m:oMathPara>
    </w:p>
    <w:p>
      <w:pPr>
        <w:pStyle w:val="FirstParagraph"/>
      </w:pPr>
      <w:r>
        <w:t xml:space="preserve">với các ràng buộc w ≥ 0, w</w:t>
      </w:r>
      <w:r>
        <w:rPr>
          <w:vertAlign w:val="subscript"/>
        </w:rPr>
        <w:t xml:space="preserve">i</w:t>
      </w:r>
      <w:r>
        <w:t xml:space="preserve"> </w:t>
      </w:r>
      <w:r>
        <w:t xml:space="preserve">≤ 50%, tổng tỷ trọng phi tiền mặt ≤ 1 (phần còn lại là tiền mặt) và tổng nhóm rủi ro nằm trong dải khẩu vị. Trong đó μ là lợi nhuận vượt trội so với tiền mặt cùng kỳ hạn, k là số tháng giữ đến lần tái cân bằng sau (1, 3 hoặc 12) và c</w:t>
      </w:r>
      <w:r>
        <w:rPr>
          <w:vertAlign w:val="subscript"/>
        </w:rPr>
        <w:t xml:space="preserve">i</w:t>
      </w:r>
      <w:r>
        <w:t xml:space="preserve"> </w:t>
      </w:r>
      <w:r>
        <w:t xml:space="preserve">là phí giao dịch của lớp i. Nhân lợi ích kỳ vọng với k làm cho chi phí giao dịch một lần được so sánh với lợi ích của cả kỳ nắm giữ: nhà đầu tư dài hạn sẵn sàng chịu phí để đổi tỷ trọng hơn nhà đầu tư tái cân bằng hằng tháng. Giá trị δ = 2,5 nằm ở giữa khoảng thường dùng trong thực hành và được kiểm tra với 1,5 và 4 trong phân tích độ nhạy. Bài toán lồi, được giải bằng thư viện cvxpy (Diamond và Boyd, 2016) với bộ giải Clarabel (Goulart và Chen, 2024) nên nghiệm là duy nhất và tái lập được.</w:t>
      </w:r>
    </w:p>
    <w:p>
      <w:pPr>
        <w:pStyle w:val="BodyText"/>
      </w:pPr>
      <w:r>
        <w:rPr>
          <w:bCs/>
          <w:b/>
        </w:rPr>
        <w:t xml:space="preserve">Black–Litterman.</w:t>
      </w:r>
      <w:r>
        <w:t xml:space="preserve"> </w:t>
      </w:r>
      <w:r>
        <w:t xml:space="preserve">Điểm xuất phát (tiên nghiệm) là lợi nhuận cân bằng ngược từ danh mục phân bổ đều trên mọi lớp kể cả tiền mặt, π = δΣw</w:t>
      </w:r>
      <w:r>
        <w:rPr>
          <w:vertAlign w:val="subscript"/>
        </w:rPr>
        <w:t xml:space="preserve">EW</w:t>
      </w:r>
      <w:r>
        <w:t xml:space="preserve">, đo so với tiền mặt. Mô hình dự báo cung cấp quan điểm tuyệt đối Q cho từng lớp (dự báo lợi nhuận tháng tới trừ lãi tiền mặt), nhưng chỉ với lớp có kỹ năng dự báo dương ngoài mẫu tính đến thời điểm quyết định. Lợi nhuận hậu nghiệm:</w:t>
      </w:r>
    </w:p>
    <w:p>
      <w:pPr>
        <w:pStyle w:val="BodyText"/>
      </w:pPr>
      <m:oMathPara>
        <m:oMathParaPr>
          <m:jc m:val="center"/>
        </m:oMathParaPr>
        <m:oMath>
          <m:sSub>
            <m:e>
              <m:r>
                <m:t>μ</m:t>
              </m:r>
            </m:e>
            <m:sub>
              <m:r>
                <m:t>B</m:t>
              </m:r>
              <m:r>
                <m:t>L</m:t>
              </m:r>
            </m:sub>
          </m:sSub>
          <m:r>
            <m:rPr>
              <m:sty m:val="p"/>
            </m:rPr>
            <m:t>=</m:t>
          </m:r>
          <m:sSup>
            <m:e>
              <m:d>
                <m:dPr>
                  <m:begChr m:val="["/>
                  <m:endChr m:val="]"/>
                  <m:sepChr m:val=""/>
                  <m:grow/>
                </m:dPr>
                <m:e>
                  <m:sSup>
                    <m:e>
                      <m:d>
                        <m:dPr>
                          <m:begChr m:val="("/>
                          <m:endChr m:val=")"/>
                          <m:sepChr m:val=""/>
                          <m:grow/>
                        </m:dPr>
                        <m:e>
                          <m:r>
                            <m:t>τ</m:t>
                          </m:r>
                          <m:r>
                            <m:t>Σ</m:t>
                          </m:r>
                        </m:e>
                      </m:d>
                    </m:e>
                    <m:sup>
                      <m:r>
                        <m:rPr>
                          <m:sty m:val="p"/>
                        </m:rPr>
                        <m:t>−</m:t>
                      </m:r>
                      <m:r>
                        <m:t>1</m:t>
                      </m:r>
                    </m:sup>
                  </m:sSup>
                  <m:r>
                    <m:rPr>
                      <m:sty m:val="p"/>
                    </m:rPr>
                    <m:t>+</m:t>
                  </m:r>
                  <m:sSup>
                    <m:e>
                      <m:r>
                        <m:t>P</m:t>
                      </m:r>
                    </m:e>
                    <m:sup>
                      <m:r>
                        <m:rPr>
                          <m:sty m:val="p"/>
                        </m:rPr>
                        <m:t>⊤</m:t>
                      </m:r>
                    </m:sup>
                  </m:sSup>
                  <m:sSup>
                    <m:e>
                      <m:r>
                        <m:t>Ω</m:t>
                      </m:r>
                    </m:e>
                    <m:sup>
                      <m:r>
                        <m:rPr>
                          <m:sty m:val="p"/>
                        </m:rPr>
                        <m:t>−</m:t>
                      </m:r>
                      <m:r>
                        <m:t>1</m:t>
                      </m:r>
                    </m:sup>
                  </m:sSup>
                  <m:r>
                    <m:t>P</m:t>
                  </m:r>
                </m:e>
              </m:d>
            </m:e>
            <m:sup>
              <m:r>
                <m:rPr>
                  <m:sty m:val="p"/>
                </m:rPr>
                <m:t>−</m:t>
              </m:r>
              <m:r>
                <m:t>1</m:t>
              </m:r>
            </m:sup>
          </m:sSup>
          <m:d>
            <m:dPr>
              <m:begChr m:val="["/>
              <m:endChr m:val="]"/>
              <m:sepChr m:val=""/>
              <m:grow/>
            </m:dPr>
            <m:e>
              <m:sSup>
                <m:e>
                  <m:d>
                    <m:dPr>
                      <m:begChr m:val="("/>
                      <m:endChr m:val=")"/>
                      <m:sepChr m:val=""/>
                      <m:grow/>
                    </m:dPr>
                    <m:e>
                      <m:r>
                        <m:t>τ</m:t>
                      </m:r>
                      <m:r>
                        <m:t>Σ</m:t>
                      </m:r>
                    </m:e>
                  </m:d>
                </m:e>
                <m:sup>
                  <m:r>
                    <m:rPr>
                      <m:sty m:val="p"/>
                    </m:rPr>
                    <m:t>−</m:t>
                  </m:r>
                  <m:r>
                    <m:t>1</m:t>
                  </m:r>
                </m:sup>
              </m:sSup>
              <m:r>
                <m:t>π</m:t>
              </m:r>
              <m:r>
                <m:rPr>
                  <m:sty m:val="p"/>
                </m:rPr>
                <m:t>+</m:t>
              </m:r>
              <m:sSup>
                <m:e>
                  <m:r>
                    <m:t>P</m:t>
                  </m:r>
                </m:e>
                <m:sup>
                  <m:r>
                    <m:rPr>
                      <m:sty m:val="p"/>
                    </m:rPr>
                    <m:t>⊤</m:t>
                  </m:r>
                </m:sup>
              </m:sSup>
              <m:sSup>
                <m:e>
                  <m:r>
                    <m:t>Ω</m:t>
                  </m:r>
                </m:e>
                <m:sup>
                  <m:r>
                    <m:rPr>
                      <m:sty m:val="p"/>
                    </m:rPr>
                    <m:t>−</m:t>
                  </m:r>
                  <m:r>
                    <m:t>1</m:t>
                  </m:r>
                </m:sup>
              </m:sSup>
              <m:r>
                <m:t>Q</m:t>
              </m:r>
            </m:e>
          </m:d>
          <m:r>
            <m:rPr>
              <m:sty m:val="p"/>
            </m:rPr>
            <m:t>,</m:t>
          </m:r>
          <m:r>
            <m:t>  </m:t>
          </m:r>
          <m:sSub>
            <m:e>
              <m:r>
                <m:t>Ω</m:t>
              </m:r>
            </m:e>
            <m:sub>
              <m:r>
                <m:t>k</m:t>
              </m:r>
              <m:r>
                <m:t>k</m:t>
              </m:r>
            </m:sub>
          </m:sSub>
          <m:r>
            <m:rPr>
              <m:sty m:val="p"/>
            </m:rPr>
            <m:t>=</m:t>
          </m:r>
          <m:f>
            <m:fPr>
              <m:type m:val="bar"/>
            </m:fPr>
            <m:num>
              <m:r>
                <m:t>1</m:t>
              </m:r>
              <m:r>
                <m:rPr>
                  <m:sty m:val="p"/>
                </m:rPr>
                <m:t>−</m:t>
              </m:r>
              <m:sSub>
                <m:e>
                  <m:r>
                    <m:t>c</m:t>
                  </m:r>
                </m:e>
                <m:sub>
                  <m:r>
                    <m:t>k</m:t>
                  </m:r>
                </m:sub>
              </m:sSub>
            </m:num>
            <m:den>
              <m:sSub>
                <m:e>
                  <m:r>
                    <m:t>c</m:t>
                  </m:r>
                </m:e>
                <m:sub>
                  <m:r>
                    <m:t>k</m:t>
                  </m:r>
                </m:sub>
              </m:sSub>
            </m:den>
          </m:f>
          <m:r>
            <m:t> </m:t>
          </m:r>
          <m:r>
            <m:t>τ</m:t>
          </m:r>
          <m:r>
            <m:t> </m:t>
          </m:r>
          <m:sSub>
            <m:e>
              <m:r>
                <m:t>Σ</m:t>
              </m:r>
            </m:e>
            <m:sub>
              <m:r>
                <m:t>k</m:t>
              </m:r>
              <m:r>
                <m:t>k</m:t>
              </m:r>
            </m:sub>
          </m:sSub>
        </m:oMath>
      </m:oMathPara>
    </w:p>
    <w:p>
      <w:pPr>
        <w:pStyle w:val="FirstParagraph"/>
      </w:pPr>
      <w:r>
        <w:t xml:space="preserve">với τ = 0,05 và P là ma trận chọn các lớp có quan điểm. Mức tin cậy c</w:t>
      </w:r>
      <w:r>
        <w:rPr>
          <w:vertAlign w:val="subscript"/>
        </w:rPr>
        <w:t xml:space="preserve">k</w:t>
      </w:r>
      <w:r>
        <w:t xml:space="preserve"> </w:t>
      </w:r>
      <w:r>
        <w:t xml:space="preserve">được suy ra từ kỹ năng dự báo ngoài mẫu đã quan sát của lớp k (mục 3.6.4): bằng 0 nếu R²</w:t>
      </w:r>
      <w:r>
        <w:rPr>
          <w:vertAlign w:val="subscript"/>
        </w:rPr>
        <w:t xml:space="preserve">OS</w:t>
      </w:r>
      <w:r>
        <w:t xml:space="preserve"> </w:t>
      </w:r>
      <w:r>
        <w:t xml:space="preserve">≤ 0 hoặc trọng số kết hợp tối ưu λ* ≤ 0, ngược lại bằng λ* (giới hạn tối đa 0,95). Như vậy một lớp chỉ nhận quan điểm khi mô hình đã dự báo tốt hơn trung bình lịch sử trong quá khứ, và quan điểm càng được tin khi dự báo càng có giá trị. Tiền gửi và trái phiếu không nhận quan điểm: tiền gửi có lợi nhuận biết trước, còn NAV quỹ trái phiếu được định giá trơn nên dễ dự báo nhưng không khai thác được bằng giao dịch. Khi không lớp nào có kỹ năng, μ</w:t>
      </w:r>
      <w:r>
        <w:rPr>
          <w:vertAlign w:val="subscript"/>
        </w:rPr>
        <w:t xml:space="preserve">BL</w:t>
      </w:r>
      <w:r>
        <w:t xml:space="preserve"> </w:t>
      </w:r>
      <w:r>
        <w:t xml:space="preserve">= π và BL cho danh mục gần với phân bổ đều. μ</w:t>
      </w:r>
      <w:r>
        <w:rPr>
          <w:vertAlign w:val="subscript"/>
        </w:rPr>
        <w:t xml:space="preserve">BL</w:t>
      </w:r>
      <w:r>
        <w:t xml:space="preserve"> </w:t>
      </w:r>
      <w:r>
        <w:t xml:space="preserve">sau đó được đưa vào cùng bài toán tối ưu như Markowitz, với cùng δ, ràng buộc và chi phí.</w:t>
      </w:r>
    </w:p>
    <w:p>
      <w:pPr>
        <w:pStyle w:val="BodyText"/>
      </w:pPr>
      <w:r>
        <w:rPr>
          <w:bCs/>
          <w:b/>
        </w:rPr>
        <w:t xml:space="preserve">MLP_MVO.</w:t>
      </w:r>
      <w:r>
        <w:t xml:space="preserve"> </w:t>
      </w:r>
      <w:r>
        <w:t xml:space="preserve">Lợi nhuận kỳ vọng của mỗi lớp là dự báo của mạng nơ-ron MLP trừ lãi tiền mặt cùng kỳ hạn, dùng trực tiếp trong bài toán tối ưu như Markowitz. Với trái phiếu, dự báo được thay bằng trung bình lịch sử để nhất quán với BL. Đây là cách dùng dự báo trực tiếp, không qua bộ lọc kỹ năng và không có điểm neo, đối lập với cách dùng gián tiếp qua tiên nghiệm của BL.</w:t>
      </w:r>
    </w:p>
    <w:p>
      <w:pPr>
        <w:pStyle w:val="BodyText"/>
      </w:pPr>
      <w:r>
        <w:rPr>
          <w:bCs/>
          <w:b/>
        </w:rPr>
        <w:t xml:space="preserve">Học tăng cường (RL).</w:t>
      </w:r>
      <w:r>
        <w:t xml:space="preserve"> </w:t>
      </w:r>
      <w:r>
        <w:t xml:space="preserve">Một contextual bandit (Lattimore và Szepesvári, 2020) chọn tổng tỷ trọng nhóm rủi ro ở sàn, giữa hoặc trần của dải khẩu vị; bên trong mỗi nhóm, tỷ trọng chia đều. Trạng thái thị trường gồm 4 trường hợp, theo động lượng 3 tháng và độ biến động 6 tháng trung bình các lớp cao hay thấp hơn trung vị (trung vị tính trên dữ liệu huấn luyện tại thời điểm quyết định). Giá trị của mỗi hành động trong mỗi trạng thái là hữu dụng trung bình–phương sai của phần thưởng quá khứ, trung bình trừ δ/2 nhân phương sai, trên cửa sổ mở rộng; tác tử chọn hành động có giá trị cao nhất cho trạng thái hiện tại. Khi chưa đủ 12 tháng huấn luyện, tác tử chọn điểm giữa dải. Vì quyết định không ảnh hưởng đến trạng thái tiếp theo, đây là bài toán bandit chứ không phải học tăng cường đầy đủ (mục 2.4.4), nên kết quả RL chỉ báo cáo ở phụ lục (giả thuyết H4).</w:t>
      </w:r>
    </w:p>
    <w:bookmarkEnd w:id="70"/>
    <w:bookmarkStart w:id="75" w:name="mô-hình-dự-báo-học-máy"/>
    <w:p>
      <w:pPr>
        <w:pStyle w:val="Heading2"/>
      </w:pPr>
      <w:r>
        <w:t xml:space="preserve">3.6 Mô hình dự báo học máy</w:t>
      </w:r>
    </w:p>
    <w:bookmarkStart w:id="71" w:name="biến-mục-tiêu-chuẩn-hóa"/>
    <w:p>
      <w:pPr>
        <w:pStyle w:val="Heading3"/>
      </w:pPr>
      <w:r>
        <w:t xml:space="preserve">3.6.1 Biến mục tiêu chuẩn hóa</w:t>
      </w:r>
    </w:p>
    <w:p>
      <w:pPr>
        <w:pStyle w:val="FirstParagraph"/>
      </w:pPr>
      <w:r>
        <w:t xml:space="preserve">Các mã trong mẫu có độ biến động rất khác nhau: cổ phiếu bất động sản riêng lẻ dao động 30–50%/năm, quỹ trái phiếu dưới 3%. Nếu dự báo trực tiếp lợi nhuận, hàm mất mát sẽ bị các mã biến động mạnh chi phối. Vì vậy biến mục tiêu được chuẩn hóa theo từng mã:</w:t>
      </w:r>
    </w:p>
    <w:p>
      <w:pPr>
        <w:pStyle w:val="BodyText"/>
      </w:pPr>
      <m:oMathPara>
        <m:oMathParaPr>
          <m:jc m:val="center"/>
        </m:oMathParaPr>
        <m:oMath>
          <m:sSub>
            <m:e>
              <m:r>
                <m:t>z</m:t>
              </m:r>
            </m:e>
            <m:sub>
              <m:r>
                <m:t>i</m:t>
              </m:r>
              <m:r>
                <m:rPr>
                  <m:sty m:val="p"/>
                </m:rPr>
                <m:t>,</m:t>
              </m:r>
              <m:r>
                <m:t>t</m:t>
              </m:r>
              <m:r>
                <m:rPr>
                  <m:sty m:val="p"/>
                </m:rPr>
                <m:t>+</m:t>
              </m:r>
              <m:r>
                <m:t>1</m:t>
              </m:r>
            </m:sub>
          </m:sSub>
          <m:r>
            <m:rPr>
              <m:sty m:val="p"/>
            </m:rPr>
            <m:t>=</m:t>
          </m:r>
          <m:f>
            <m:fPr>
              <m:type m:val="bar"/>
            </m:fPr>
            <m:num>
              <m:sSub>
                <m:e>
                  <m:r>
                    <m:t>r</m:t>
                  </m:r>
                </m:e>
                <m:sub>
                  <m:r>
                    <m:t>i</m:t>
                  </m:r>
                  <m:r>
                    <m:rPr>
                      <m:sty m:val="p"/>
                    </m:rPr>
                    <m:t>,</m:t>
                  </m:r>
                  <m:r>
                    <m:t>t</m:t>
                  </m:r>
                  <m:r>
                    <m:rPr>
                      <m:sty m:val="p"/>
                    </m:rPr>
                    <m:t>+</m:t>
                  </m:r>
                  <m:r>
                    <m:t>1</m:t>
                  </m:r>
                </m:sub>
              </m:sSub>
              <m:r>
                <m:rPr>
                  <m:sty m:val="p"/>
                </m:rPr>
                <m:t>−</m:t>
              </m:r>
              <m:sSub>
                <m:e>
                  <m:r>
                    <m:t>m</m:t>
                  </m:r>
                </m:e>
                <m:sub>
                  <m:r>
                    <m:t>i</m:t>
                  </m:r>
                  <m:r>
                    <m:rPr>
                      <m:sty m:val="p"/>
                    </m:rPr>
                    <m:t>,</m:t>
                  </m:r>
                  <m:r>
                    <m:t>t</m:t>
                  </m:r>
                </m:sub>
              </m:sSub>
            </m:num>
            <m:den>
              <m:sSub>
                <m:e>
                  <m:r>
                    <m:t>σ</m:t>
                  </m:r>
                </m:e>
                <m:sub>
                  <m:r>
                    <m:t>i</m:t>
                  </m:r>
                  <m:r>
                    <m:rPr>
                      <m:sty m:val="p"/>
                    </m:rPr>
                    <m:t>,</m:t>
                  </m:r>
                  <m:r>
                    <m:t>t</m:t>
                  </m:r>
                </m:sub>
              </m:sSub>
            </m:den>
          </m:f>
          <m:r>
            <m:rPr>
              <m:sty m:val="p"/>
            </m:rPr>
            <m:t>,</m:t>
          </m:r>
          <m:r>
            <m:t>  </m:t>
          </m:r>
          <m:sSub>
            <m:e>
              <m:acc>
                <m:accPr>
                  <m:chr m:val="̂"/>
                </m:accPr>
                <m:e>
                  <m:r>
                    <m:t>r</m:t>
                  </m:r>
                </m:e>
              </m:acc>
            </m:e>
            <m:sub>
              <m:r>
                <m:t>i</m:t>
              </m:r>
              <m:r>
                <m:rPr>
                  <m:sty m:val="p"/>
                </m:rPr>
                <m:t>,</m:t>
              </m:r>
              <m:r>
                <m:t>t</m:t>
              </m:r>
              <m:r>
                <m:rPr>
                  <m:sty m:val="p"/>
                </m:rPr>
                <m:t>+</m:t>
              </m:r>
              <m:r>
                <m:t>1</m:t>
              </m:r>
            </m:sub>
          </m:sSub>
          <m:r>
            <m:rPr>
              <m:sty m:val="p"/>
            </m:rPr>
            <m:t>=</m:t>
          </m:r>
          <m:sSub>
            <m:e>
              <m:r>
                <m:t>m</m:t>
              </m:r>
            </m:e>
            <m:sub>
              <m:r>
                <m:t>i</m:t>
              </m:r>
              <m:r>
                <m:rPr>
                  <m:sty m:val="p"/>
                </m:rPr>
                <m:t>,</m:t>
              </m:r>
              <m:r>
                <m:t>t</m:t>
              </m:r>
            </m:sub>
          </m:sSub>
          <m:r>
            <m:rPr>
              <m:sty m:val="p"/>
            </m:rPr>
            <m:t>+</m:t>
          </m:r>
          <m:sSub>
            <m:e>
              <m:r>
                <m:t>σ</m:t>
              </m:r>
            </m:e>
            <m:sub>
              <m:r>
                <m:t>i</m:t>
              </m:r>
              <m:r>
                <m:rPr>
                  <m:sty m:val="p"/>
                </m:rPr>
                <m:t>,</m:t>
              </m:r>
              <m:r>
                <m:t>t</m:t>
              </m:r>
            </m:sub>
          </m:sSub>
          <m:d>
            <m:dPr>
              <m:begChr m:val="("/>
              <m:endChr m:val=")"/>
              <m:sepChr m:val=""/>
              <m:grow/>
            </m:dPr>
            <m:e>
              <m:acc>
                <m:accPr>
                  <m:chr m:val="̂"/>
                </m:accPr>
                <m:e>
                  <m:r>
                    <m:t>g</m:t>
                  </m:r>
                </m:e>
              </m:acc>
              <m:d>
                <m:dPr>
                  <m:begChr m:val="("/>
                  <m:endChr m:val=")"/>
                  <m:sepChr m:val=""/>
                  <m:grow/>
                </m:dPr>
                <m:e>
                  <m:sSub>
                    <m:e>
                      <m:r>
                        <m:t>x</m:t>
                      </m:r>
                    </m:e>
                    <m:sub>
                      <m:r>
                        <m:t>i</m:t>
                      </m:r>
                      <m:r>
                        <m:rPr>
                          <m:sty m:val="p"/>
                        </m:rPr>
                        <m:t>,</m:t>
                      </m:r>
                      <m:r>
                        <m:t>t</m:t>
                      </m:r>
                    </m:sub>
                  </m:sSub>
                </m:e>
              </m:d>
              <m:r>
                <m:rPr>
                  <m:sty m:val="p"/>
                </m:rPr>
                <m:t>−</m:t>
              </m:r>
              <m:sSub>
                <m:e>
                  <m:acc>
                    <m:accPr>
                      <m:chr m:val="‾"/>
                    </m:accPr>
                    <m:e>
                      <m:r>
                        <m:t>g</m:t>
                      </m:r>
                    </m:e>
                  </m:acc>
                </m:e>
                <m:sub>
                  <m:r>
                    <m:t>t</m:t>
                  </m:r>
                  <m:r>
                    <m:t>r</m:t>
                  </m:r>
                  <m:r>
                    <m:t>a</m:t>
                  </m:r>
                  <m:r>
                    <m:t>i</m:t>
                  </m:r>
                  <m:r>
                    <m:t>n</m:t>
                  </m:r>
                </m:sub>
              </m:sSub>
            </m:e>
          </m:d>
        </m:oMath>
      </m:oMathPara>
    </w:p>
    <w:p>
      <w:pPr>
        <w:pStyle w:val="FirstParagraph"/>
      </w:pPr>
      <w:r>
        <w:t xml:space="preserve">trong đó m</w:t>
      </w:r>
      <w:r>
        <w:rPr>
          <w:vertAlign w:val="subscript"/>
        </w:rPr>
        <w:t xml:space="preserve">i,t</w:t>
      </w:r>
      <w:r>
        <w:t xml:space="preserve"> </w:t>
      </w:r>
      <w:r>
        <w:t xml:space="preserve">là trung bình lịch sử (cửa sổ mở rộng) và σ</w:t>
      </w:r>
      <w:r>
        <w:rPr>
          <w:vertAlign w:val="subscript"/>
        </w:rPr>
        <w:t xml:space="preserve">i,t</w:t>
      </w:r>
      <w:r>
        <w:t xml:space="preserve"> </w:t>
      </w:r>
      <w:r>
        <w:t xml:space="preserve">là độ lệch chuẩn EWMA (chu kỳ bán rã 12 tháng) đến tháng t. Trung bình của từng lớp nằm ngoài mô hình, nên mô hình chỉ học phần lệch do tín hiệu và không bị phạt vì mức lợi nhuận trung bình khác nhau giữa các lớp. Dự báo được trừ đi mức trung bình của hàm dự báo trên mẫu huấn luyện, do đó một mô hình không tìm được tín hiệu (dự báo một hằng số) sẽ cho đúng dự báo chuẩn là trung bình lịch sử. Thiết kế này bảo đảm so sánh với trung bình lịch sử là công bằng: mọi khác biệt về R²</w:t>
      </w:r>
      <w:r>
        <w:rPr>
          <w:vertAlign w:val="subscript"/>
        </w:rPr>
        <w:t xml:space="preserve">OS</w:t>
      </w:r>
      <w:r>
        <w:t xml:space="preserve"> </w:t>
      </w:r>
      <w:r>
        <w:t xml:space="preserve">đến từ tín hiệu chứ không từ việc ước lượng mức trung bình. Tiền gửi không được dự báo vì lợi nhuận đã biết trước.</w:t>
      </w:r>
    </w:p>
    <w:p>
      <w:pPr>
        <w:pStyle w:val="BodyText"/>
      </w:pPr>
      <w:r>
        <w:t xml:space="preserve">Mẫu huấn luyện gộp các mã đại diện của bốn lớp phi tiền mặt (ETF, các mã BĐS của rổ, vàng point-in-time, quỹ trái phiếu), nên mỗi tháng đóng góp nhiều quan sát. Dự báo cho lớp BĐS là trung bình dự báo của các mã trong rổ.</w:t>
      </w:r>
    </w:p>
    <w:bookmarkEnd w:id="71"/>
    <w:bookmarkStart w:id="72" w:name="ba-mô-hình"/>
    <w:p>
      <w:pPr>
        <w:pStyle w:val="Heading3"/>
      </w:pPr>
      <w:r>
        <w:t xml:space="preserve">3.6.2 Ba mô hình</w:t>
      </w:r>
    </w:p>
    <w:p>
      <w:pPr>
        <w:pStyle w:val="FirstParagraph"/>
      </w:pPr>
      <w:r>
        <w:t xml:space="preserve">Cả ba mô hình dùng chung 7 biến đầu vào ở mục 3.2.4, cùng biến mục tiêu và cùng cửa sổ huấn luyện mở rộng.</w:t>
      </w:r>
    </w:p>
    <w:p>
      <w:pPr>
        <w:pStyle w:val="TableCaption"/>
      </w:pPr>
      <w:r>
        <w:t xml:space="preserve">Bảng 3.9. Cấu hình mô hình học máy</w:t>
      </w:r>
    </w:p>
    <w:tbl>
      <w:tblPr>
        <w:tblStyle w:val="Table"/>
        <w:tblW w:type="pct" w:w="5000"/>
        <w:jc w:val="center"/>
        <w:tblLook w:firstRow="1" w:lastRow="0" w:firstColumn="0" w:lastColumn="0" w:noHBand="0" w:noVBand="0" w:val="0020"/>
        <w:tblCaption w:val="Bảng 3.9. Cấu hình mô hình học máy"/>
      </w:tblPr>
      <w:tblGrid>
        <w:gridCol w:w="817"/>
        <w:gridCol w:w="2514"/>
        <w:gridCol w:w="2514"/>
        <w:gridCol w:w="2074"/>
      </w:tblGrid>
      <w:tr>
        <w:trPr>
          <w:tblHeader w:val="true"/>
        </w:trPr>
        <w:tc>
          <w:tcPr/>
          <w:p>
            <w:pPr>
              <w:pStyle w:val="Compact"/>
              <w:jc w:val="center"/>
            </w:pPr>
            <w:r>
              <w:rPr>
                <w:b/>
              </w:rPr>
              <w:t xml:space="preserve">Mô hình</w:t>
            </w:r>
          </w:p>
        </w:tc>
        <w:tc>
          <w:tcPr/>
          <w:p>
            <w:pPr>
              <w:pStyle w:val="Compact"/>
              <w:jc w:val="center"/>
            </w:pPr>
            <w:r>
              <w:rPr>
                <w:b/>
              </w:rPr>
              <w:t xml:space="preserve">Cấu trúc</w:t>
            </w:r>
          </w:p>
        </w:tc>
        <w:tc>
          <w:tcPr/>
          <w:p>
            <w:pPr>
              <w:pStyle w:val="Compact"/>
              <w:jc w:val="center"/>
            </w:pPr>
            <w:r>
              <w:rPr>
                <w:b/>
              </w:rPr>
              <w:t xml:space="preserve">Chọn siêu tham số</w:t>
            </w:r>
          </w:p>
        </w:tc>
        <w:tc>
          <w:tcPr/>
          <w:p>
            <w:pPr>
              <w:pStyle w:val="Compact"/>
              <w:jc w:val="center"/>
            </w:pPr>
            <w:r>
              <w:rPr>
                <w:b/>
              </w:rPr>
              <w:t xml:space="preserve">Vai trò</w:t>
            </w:r>
          </w:p>
        </w:tc>
      </w:tr>
      <w:tr>
        <w:trPr>
          <w:cantSplit/>
        </w:trPr>
        <w:tc>
          <w:tcPr/>
          <w:p>
            <w:pPr>
              <w:pStyle w:val="Compact"/>
              <w:jc w:val="left"/>
            </w:pPr>
            <w:r>
              <w:t xml:space="preserve">Elastic Net</w:t>
            </w:r>
          </w:p>
        </w:tc>
        <w:tc>
          <w:tcPr/>
          <w:p>
            <w:pPr>
              <w:pStyle w:val="Compact"/>
              <w:jc w:val="left"/>
            </w:pPr>
            <w:r>
              <w:t xml:space="preserve">Hồi quy tuyến tính phạt L1 + L2</w:t>
            </w:r>
          </w:p>
        </w:tc>
        <w:tc>
          <w:tcPr/>
          <w:p>
            <w:pPr>
              <w:pStyle w:val="Compact"/>
              <w:jc w:val="left"/>
            </w:pPr>
            <w:r>
              <w:t xml:space="preserve">Đường 100 giá trị α × l1_ratio {0,1; 0,5; 0,9; 1}, CV theo thời gian, chọn lại mỗi tháng</w:t>
            </w:r>
          </w:p>
        </w:tc>
        <w:tc>
          <w:tcPr/>
          <w:p>
            <w:pPr>
              <w:pStyle w:val="Compact"/>
              <w:jc w:val="left"/>
            </w:pPr>
            <w:r>
              <w:t xml:space="preserve">Nguồn quan điểm chính cho BL</w:t>
            </w:r>
          </w:p>
        </w:tc>
      </w:tr>
      <w:tr>
        <w:trPr>
          <w:cantSplit/>
        </w:trPr>
        <w:tc>
          <w:tcPr/>
          <w:p>
            <w:pPr>
              <w:pStyle w:val="Compact"/>
              <w:jc w:val="left"/>
            </w:pPr>
            <w:r>
              <w:t xml:space="preserve">LightGBM</w:t>
            </w:r>
          </w:p>
        </w:tc>
        <w:tc>
          <w:tcPr/>
          <w:p>
            <w:pPr>
              <w:pStyle w:val="Compact"/>
              <w:jc w:val="left"/>
            </w:pPr>
            <w:r>
              <w:t xml:space="preserve">Cây tăng cường gradient, lưới nông (độ sâu 1–3, 2–7 lá)</w:t>
            </w:r>
          </w:p>
        </w:tc>
        <w:tc>
          <w:tcPr/>
          <w:p>
            <w:pPr>
              <w:pStyle w:val="Compact"/>
              <w:jc w:val="left"/>
            </w:pPr>
            <w:r>
              <w:t xml:space="preserve">CV theo thời gian, quy tắc 1-SE, chọn lại mỗi 12 tháng</w:t>
            </w:r>
          </w:p>
        </w:tc>
        <w:tc>
          <w:tcPr/>
          <w:p>
            <w:pPr>
              <w:pStyle w:val="Compact"/>
              <w:jc w:val="left"/>
            </w:pPr>
            <w:r>
              <w:t xml:space="preserve">Nguồn quan điểm đối chiếu (H2)</w:t>
            </w:r>
          </w:p>
        </w:tc>
      </w:tr>
      <w:tr>
        <w:trPr>
          <w:cantSplit/>
        </w:trPr>
        <w:tc>
          <w:tcPr/>
          <w:p>
            <w:pPr>
              <w:pStyle w:val="Compact"/>
              <w:jc w:val="left"/>
            </w:pPr>
            <w:r>
              <w:t xml:space="preserve">MLP</w:t>
            </w:r>
          </w:p>
        </w:tc>
        <w:tc>
          <w:tcPr/>
          <w:p>
            <w:pPr>
              <w:pStyle w:val="Compact"/>
              <w:jc w:val="left"/>
            </w:pPr>
            <w:r>
              <w:t xml:space="preserve">1 lớp ẩn 8 nơ-ron ReLU, phạt L2 α = 1, Adam, batch 32</w:t>
            </w:r>
          </w:p>
        </w:tc>
        <w:tc>
          <w:tcPr/>
          <w:p>
            <w:pPr>
              <w:pStyle w:val="Compact"/>
              <w:jc w:val="left"/>
            </w:pPr>
            <w:r>
              <w:t xml:space="preserve">Dừng sớm theo thời gian (20% tháng cuối, patience 20), trung bình 5 seed</w:t>
            </w:r>
          </w:p>
        </w:tc>
        <w:tc>
          <w:tcPr/>
          <w:p>
            <w:pPr>
              <w:pStyle w:val="Compact"/>
              <w:jc w:val="left"/>
            </w:pPr>
            <w:r>
              <w:t xml:space="preserve">Dự báo trực tiếp cho MLP_MVO (mở rộng)</w:t>
            </w:r>
          </w:p>
        </w:tc>
      </w:tr>
    </w:tbl>
    <w:p>
      <w:pPr>
        <w:pStyle w:val="BodyText"/>
        <w:spacing w:before="200"/>
      </w:pPr>
      <w:r>
        <w:rPr>
          <w:bCs/>
          <w:b/>
        </w:rPr>
        <w:t xml:space="preserve">Elastic Net</w:t>
      </w:r>
      <w:r>
        <w:t xml:space="preserve"> </w:t>
      </w:r>
      <w:r>
        <w:t xml:space="preserve">được ước lượng bằng ElasticNetCV của scikit-learn trên toàn bộ đường 100 giá trị α cho mỗi l1_ratio, chọn cặp tham số có sai số kiểm định chéo nhỏ nhất. Mô hình được ước lượng lại ở mỗi tháng quyết định.</w:t>
      </w:r>
    </w:p>
    <w:p>
      <w:pPr>
        <w:pStyle w:val="BodyText"/>
      </w:pPr>
      <w:r>
        <w:rPr>
          <w:bCs/>
          <w:b/>
        </w:rPr>
        <w:t xml:space="preserve">LightGBM</w:t>
      </w:r>
      <w:r>
        <w:t xml:space="preserve"> </w:t>
      </w:r>
      <w:r>
        <w:t xml:space="preserve">dùng lưới 84 cấu hình nông: độ sâu tối đa 1, 2 hoặc 3; số lá 2, 3, 5 hoặc 7 (không vượt 2^độ sâu); hệ số học 0,01 hoặc 0,05; số quan sát tối thiểu mỗi lá 20, 40 hoặc 80; phạt L2 bằng 1 hoặc 10. Các tham số cố định gồm tỷ lệ lấy mẫu dòng và cột 0,7, tối đa 600 cây với dừng sớm sau 50 vòng không cải thiện trên tập kiểm tra. Trong các cấu hình nằm trong một sai số chuẩn so với cấu hình tốt nhất, quy tắc 1-SE chọn cấu hình đơn giản nhất theo thứ tự ưu tiên: độ sâu nhỏ, ít lá, nhiều quan sát mỗi lá, phạt mạnh, ít cây. Siêu tham số được chọn lại mỗi 12 tháng và giữ nguyên giữa hai lần chọn.</w:t>
      </w:r>
    </w:p>
    <w:p>
      <w:pPr>
        <w:pStyle w:val="BodyText"/>
      </w:pPr>
      <w:r>
        <w:rPr>
          <w:bCs/>
          <w:b/>
        </w:rPr>
        <w:t xml:space="preserve">MLP</w:t>
      </w:r>
      <w:r>
        <w:t xml:space="preserve"> </w:t>
      </w:r>
      <w:r>
        <w:t xml:space="preserve">có một lớp ẩn 8 nơ-ron và phạt L2 mạnh. Để dừng sớm mà không rò rỉ thông tin thời gian, 20% số tháng cuối của mẫu huấn luyện được tách làm tập kiểm tra; mạng được huấn luyện từng epoch trên phần còn lại cho đến khi sai số kiểm tra không giảm trong 20 epoch liên tiếp (tối đa 300 epoch), rồi huấn luyện lại trên toàn bộ mẫu đúng số epoch tốt nhất. Dự báo cuối cùng là trung bình của 5 mạng với 5 seed khác nhau để giảm phương sai do khởi tạo ngẫu nhiên.</w:t>
      </w:r>
    </w:p>
    <w:p>
      <w:pPr>
        <w:pStyle w:val="BodyText"/>
      </w:pPr>
      <w:r>
        <w:t xml:space="preserve">Mô hình được giữ ở mức đơn giản có chủ đích. Với khoảng 100 tháng và vài mã mỗi tháng, mẫu huấn luyện chỉ có vài trăm đến hơn một nghìn dòng với tỷ lệ tín hiệu/nhiễu rất thấp; Gu, Kelly và Xiu (2020) cũng cho thấy mạng nông hoạt động tốt hơn mạng sâu trong dự báo lợi nhuận. Quy tắc 1-SE (Hastie, Tibshirani và Friedman, 2009) chọn cấu hình đơn giản nhất có sai số CV nằm trong một sai số chuẩn so với cấu hình tốt nhất. Dấu kỳ vọng của từng biến được định trước theo lý thuyết (Bảng 3.6) và so với hệ số Elastic Net ước lượng ở Chương 4.</w:t>
      </w:r>
    </w:p>
    <w:bookmarkEnd w:id="72"/>
    <w:bookmarkStart w:id="73" w:name="quy-trình-dự-báo-ngoài-mẫu"/>
    <w:p>
      <w:pPr>
        <w:pStyle w:val="Heading3"/>
      </w:pPr>
      <w:r>
        <w:t xml:space="preserve">3.6.3 Quy trình dự báo ngoài mẫu</w:t>
      </w:r>
    </w:p>
    <w:p>
      <w:pPr>
        <w:pStyle w:val="FirstParagraph"/>
      </w:pPr>
      <w:r>
        <w:t xml:space="preserve">Tại mỗi tháng quyết định d (từ khi có ít nhất 12 tháng huấn luyện), mô hình được huấn luyện trên mọi dòng có nhãn đã biết (t ≤ d − 1, tức lợi nhuận tháng t + 1 ≤ d đã quan sát được) rồi dự báo cho tháng d + 1. Kiểm định chéo để chọn siêu tham số dùng các khối tháng liên tiếp ở cuối mẫu huấn luyện làm tập kiểm tra (3 khối, mỗi khối 6 tháng); tập huấn luyện của mỗi khối là toàn bộ các tháng trước đó, bỏ đi 1 tháng sát tập kiểm tra (purge) để nhãn lợi nhuận 1 tháng không chồng lấn. Vì tập huấn luyện luôn nằm trước tập kiểm tra, không cần thêm khoảng cách embargo. Chuỗi dự báo này được dùng chung cho đánh giá kỹ năng và cho backtest BL/MLP_MVO, nên không có hai quy trình huấn luyện khác nhau.</w:t>
      </w:r>
    </w:p>
    <w:bookmarkEnd w:id="73"/>
    <w:bookmarkStart w:id="74" w:name="đánh-giá-kỹ-năng-dự-báo"/>
    <w:p>
      <w:pPr>
        <w:pStyle w:val="Heading3"/>
      </w:pPr>
      <w:r>
        <w:t xml:space="preserve">3.6.4 Đánh giá kỹ năng dự báo</w:t>
      </w:r>
    </w:p>
    <w:p>
      <w:pPr>
        <w:pStyle w:val="FirstParagraph"/>
      </w:pPr>
      <w:r>
        <w:t xml:space="preserve">Thước đo chính là R² ngoài mẫu theo từng lớp (Campbell và Thompson, 2008), so với dự báo chuẩn là trung bình lịch sử:</w:t>
      </w:r>
    </w:p>
    <w:p>
      <w:pPr>
        <w:pStyle w:val="BodyText"/>
      </w:pPr>
      <m:oMathPara>
        <m:oMathParaPr>
          <m:jc m:val="center"/>
        </m:oMathParaPr>
        <m:oMath>
          <m:sSubSup>
            <m:e>
              <m:r>
                <m:t>R</m:t>
              </m:r>
            </m:e>
            <m:sub>
              <m:r>
                <m:t>O</m:t>
              </m:r>
              <m:r>
                <m:t>S</m:t>
              </m:r>
            </m:sub>
            <m:sup>
              <m:r>
                <m:t>2</m:t>
              </m:r>
            </m:sup>
          </m:sSubSup>
          <m:r>
            <m:rPr>
              <m:sty m:val="p"/>
            </m:rPr>
            <m:t>=</m:t>
          </m:r>
          <m:r>
            <m:t>1</m:t>
          </m:r>
          <m:r>
            <m:rPr>
              <m:sty m:val="p"/>
            </m:rPr>
            <m:t>−</m:t>
          </m:r>
          <m:f>
            <m:fPr>
              <m:type m:val="bar"/>
            </m:fPr>
            <m:num>
              <m:nary>
                <m:naryPr>
                  <m:chr m:val="∑"/>
                  <m:limLoc m:val="undOvr"/>
                  <m:subHide m:val="off"/>
                  <m:supHide m:val="on"/>
                </m:naryPr>
                <m:sub>
                  <m:r>
                    <m:t>t</m:t>
                  </m:r>
                </m:sub>
                <m:sup>
                  <m:r>
                    <m:t>​</m:t>
                  </m:r>
                </m:sup>
                <m:e>
                  <m:sSup>
                    <m:e>
                      <m:d>
                        <m:dPr>
                          <m:begChr m:val="("/>
                          <m:endChr m:val=")"/>
                          <m:sepChr m:val=""/>
                          <m:grow/>
                        </m:dPr>
                        <m:e>
                          <m:sSub>
                            <m:e>
                              <m:r>
                                <m:t>r</m:t>
                              </m:r>
                            </m:e>
                            <m:sub>
                              <m:r>
                                <m:t>t</m:t>
                              </m:r>
                              <m:r>
                                <m:rPr>
                                  <m:sty m:val="p"/>
                                </m:rPr>
                                <m:t>+</m:t>
                              </m:r>
                              <m:r>
                                <m:t>1</m:t>
                              </m:r>
                            </m:sub>
                          </m:sSub>
                          <m:r>
                            <m:rPr>
                              <m:sty m:val="p"/>
                            </m:rPr>
                            <m:t>−</m:t>
                          </m:r>
                          <m:sSub>
                            <m:e>
                              <m:acc>
                                <m:accPr>
                                  <m:chr m:val="̂"/>
                                </m:accPr>
                                <m:e>
                                  <m:r>
                                    <m:t>r</m:t>
                                  </m:r>
                                </m:e>
                              </m:acc>
                            </m:e>
                            <m:sub>
                              <m:r>
                                <m:t>t</m:t>
                              </m:r>
                              <m:r>
                                <m:rPr>
                                  <m:sty m:val="p"/>
                                </m:rPr>
                                <m:t>+</m:t>
                              </m:r>
                              <m:r>
                                <m:t>1</m:t>
                              </m:r>
                            </m:sub>
                          </m:sSub>
                        </m:e>
                      </m:d>
                    </m:e>
                    <m:sup>
                      <m:r>
                        <m:t>2</m:t>
                      </m:r>
                    </m:sup>
                  </m:sSup>
                </m:e>
              </m:nary>
            </m:num>
            <m:den>
              <m:nary>
                <m:naryPr>
                  <m:chr m:val="∑"/>
                  <m:limLoc m:val="undOvr"/>
                  <m:subHide m:val="off"/>
                  <m:supHide m:val="on"/>
                </m:naryPr>
                <m:sub>
                  <m:r>
                    <m:t>t</m:t>
                  </m:r>
                </m:sub>
                <m:sup>
                  <m:r>
                    <m:t>​</m:t>
                  </m:r>
                </m:sup>
                <m:e>
                  <m:sSup>
                    <m:e>
                      <m:d>
                        <m:dPr>
                          <m:begChr m:val="("/>
                          <m:endChr m:val=")"/>
                          <m:sepChr m:val=""/>
                          <m:grow/>
                        </m:dPr>
                        <m:e>
                          <m:sSub>
                            <m:e>
                              <m:r>
                                <m:t>r</m:t>
                              </m:r>
                            </m:e>
                            <m:sub>
                              <m:r>
                                <m:t>t</m:t>
                              </m:r>
                              <m:r>
                                <m:rPr>
                                  <m:sty m:val="p"/>
                                </m:rPr>
                                <m:t>+</m:t>
                              </m:r>
                              <m:r>
                                <m:t>1</m:t>
                              </m:r>
                            </m:sub>
                          </m:sSub>
                          <m:r>
                            <m:rPr>
                              <m:sty m:val="p"/>
                            </m:rPr>
                            <m:t>−</m:t>
                          </m:r>
                          <m:sSub>
                            <m:e>
                              <m:r>
                                <m:t>m</m:t>
                              </m:r>
                            </m:e>
                            <m:sub>
                              <m:r>
                                <m:t>t</m:t>
                              </m:r>
                            </m:sub>
                          </m:sSub>
                        </m:e>
                      </m:d>
                    </m:e>
                    <m:sup>
                      <m:r>
                        <m:t>2</m:t>
                      </m:r>
                    </m:sup>
                  </m:sSup>
                </m:e>
              </m:nary>
            </m:den>
          </m:f>
        </m:oMath>
      </m:oMathPara>
    </w:p>
    <w:p>
      <w:pPr>
        <w:pStyle w:val="FirstParagraph"/>
      </w:pPr>
      <w:r>
        <w:t xml:space="preserve">R²</w:t>
      </w:r>
      <w:r>
        <w:rPr>
          <w:vertAlign w:val="subscript"/>
        </w:rPr>
        <w:t xml:space="preserve">OS</w:t>
      </w:r>
      <w:r>
        <w:t xml:space="preserve"> </w:t>
      </w:r>
      <w:r>
        <w:t xml:space="preserve">&gt; 0 nghĩa là mô hình dự báo tốt hơn trung bình lịch sử. Ý nghĩa thống kê được kiểm định bằng Clark–West (2007), phù hợp cho mô hình lồng nhau, với sai số chuẩn Newey–West (độ trễ 2). Bổ sung thêm rank IC (tương quan hạng Spearman giữa dự báo và lợi nhuận thực giữa các lớp trong cùng tháng) và tỷ lệ dự báo đúng chiều so với trung bình lịch sử. Luận văn không dùng RMSE gộp các mã vì nó bị chi phối bởi mã biến động mạnh.</w:t>
      </w:r>
    </w:p>
    <w:p>
      <w:pPr>
        <w:pStyle w:val="BodyText"/>
      </w:pPr>
      <w:r>
        <w:t xml:space="preserve">Trọng số kết hợp tối ưu λ* giữa dự báo và trung bình lịch sử (dùng làm mức tin cậy của quan điểm BL ở mục 3.5) được tính trên các tháng ngoài mẫu đã có kết quả tại thời điểm quyết định (tối thiểu 12 tháng):</w:t>
      </w:r>
    </w:p>
    <w:p>
      <w:pPr>
        <w:pStyle w:val="BodyText"/>
      </w:pPr>
      <m:oMathPara>
        <m:oMathParaPr>
          <m:jc m:val="center"/>
        </m:oMathParaPr>
        <m:oMath>
          <m:sSup>
            <m:e>
              <m:r>
                <m:t>λ</m:t>
              </m:r>
            </m:e>
            <m:sup>
              <m:r>
                <m:rPr>
                  <m:sty m:val="p"/>
                </m:rPr>
                <m:t>*</m:t>
              </m:r>
            </m:sup>
          </m:sSup>
          <m:r>
            <m:rPr>
              <m:sty m:val="p"/>
            </m:rPr>
            <m:t>=</m:t>
          </m:r>
          <m:r>
            <m:rPr>
              <m:sty m:val="p"/>
            </m:rPr>
            <m:t>arg</m:t>
          </m:r>
          <m:limLow>
            <m:e>
              <m:r>
                <m:rPr>
                  <m:sty m:val="p"/>
                </m:rPr>
                <m:t>min</m:t>
              </m:r>
            </m:e>
            <m:lim>
              <m:r>
                <m:t>λ</m:t>
              </m:r>
            </m:lim>
          </m:limLow>
          <m:nary>
            <m:naryPr>
              <m:chr m:val="∑"/>
              <m:limLoc m:val="undOvr"/>
              <m:subHide m:val="off"/>
              <m:supHide m:val="on"/>
            </m:naryPr>
            <m:sub>
              <m:r>
                <m:t>t</m:t>
              </m:r>
            </m:sub>
            <m:sup>
              <m:r>
                <m:t>​</m:t>
              </m:r>
            </m:sup>
            <m:e>
              <m:sSup>
                <m:e>
                  <m:d>
                    <m:dPr>
                      <m:begChr m:val="("/>
                      <m:endChr m:val=")"/>
                      <m:sepChr m:val=""/>
                      <m:grow/>
                    </m:dPr>
                    <m:e>
                      <m:sSub>
                        <m:e>
                          <m:r>
                            <m:t>r</m:t>
                          </m:r>
                        </m:e>
                        <m:sub>
                          <m:r>
                            <m:t>t</m:t>
                          </m:r>
                          <m:r>
                            <m:rPr>
                              <m:sty m:val="p"/>
                            </m:rPr>
                            <m:t>+</m:t>
                          </m:r>
                          <m:r>
                            <m:t>1</m:t>
                          </m:r>
                        </m:sub>
                      </m:sSub>
                      <m:r>
                        <m:rPr>
                          <m:sty m:val="p"/>
                        </m:rPr>
                        <m:t>−</m:t>
                      </m:r>
                      <m:d>
                        <m:dPr>
                          <m:begChr m:val="["/>
                          <m:endChr m:val="]"/>
                          <m:sepChr m:val=""/>
                          <m:grow/>
                        </m:dPr>
                        <m:e>
                          <m:d>
                            <m:dPr>
                              <m:begChr m:val="("/>
                              <m:endChr m:val=")"/>
                              <m:sepChr m:val=""/>
                              <m:grow/>
                            </m:dPr>
                            <m:e>
                              <m:r>
                                <m:t>1</m:t>
                              </m:r>
                              <m:r>
                                <m:rPr>
                                  <m:sty m:val="p"/>
                                </m:rPr>
                                <m:t>−</m:t>
                              </m:r>
                              <m:r>
                                <m:t>λ</m:t>
                              </m:r>
                            </m:e>
                          </m:d>
                          <m:sSub>
                            <m:e>
                              <m:r>
                                <m:t>m</m:t>
                              </m:r>
                            </m:e>
                            <m:sub>
                              <m:r>
                                <m:t>t</m:t>
                              </m:r>
                            </m:sub>
                          </m:sSub>
                          <m:r>
                            <m:rPr>
                              <m:sty m:val="p"/>
                            </m:rPr>
                            <m:t>+</m:t>
                          </m:r>
                          <m:r>
                            <m:t>λ</m:t>
                          </m:r>
                          <m:sSub>
                            <m:e>
                              <m:acc>
                                <m:accPr>
                                  <m:chr m:val="̂"/>
                                </m:accPr>
                                <m:e>
                                  <m:r>
                                    <m:t>r</m:t>
                                  </m:r>
                                </m:e>
                              </m:acc>
                            </m:e>
                            <m:sub>
                              <m:r>
                                <m:t>t</m:t>
                              </m:r>
                              <m:r>
                                <m:rPr>
                                  <m:sty m:val="p"/>
                                </m:rPr>
                                <m:t>+</m:t>
                              </m:r>
                              <m:r>
                                <m:t>1</m:t>
                              </m:r>
                            </m:sub>
                          </m:sSub>
                        </m:e>
                      </m:d>
                    </m:e>
                  </m:d>
                </m:e>
                <m:sup>
                  <m:r>
                    <m:t>2</m:t>
                  </m:r>
                </m:sup>
              </m:sSup>
            </m:e>
          </m:nary>
          <m:r>
            <m:rPr>
              <m:sty m:val="p"/>
            </m:rPr>
            <m:t>=</m:t>
          </m:r>
          <m:f>
            <m:fPr>
              <m:type m:val="bar"/>
            </m:fPr>
            <m:num>
              <m:nary>
                <m:naryPr>
                  <m:chr m:val="∑"/>
                  <m:limLoc m:val="undOvr"/>
                  <m:subHide m:val="off"/>
                  <m:supHide m:val="on"/>
                </m:naryPr>
                <m:sub>
                  <m:r>
                    <m:t>t</m:t>
                  </m:r>
                </m:sub>
                <m:sup>
                  <m:r>
                    <m:t>​</m:t>
                  </m:r>
                </m:sup>
                <m:e>
                  <m:d>
                    <m:dPr>
                      <m:begChr m:val="("/>
                      <m:endChr m:val=")"/>
                      <m:sepChr m:val=""/>
                      <m:grow/>
                    </m:dPr>
                    <m:e>
                      <m:sSub>
                        <m:e>
                          <m:r>
                            <m:t>r</m:t>
                          </m:r>
                        </m:e>
                        <m:sub>
                          <m:r>
                            <m:t>t</m:t>
                          </m:r>
                          <m:r>
                            <m:rPr>
                              <m:sty m:val="p"/>
                            </m:rPr>
                            <m:t>+</m:t>
                          </m:r>
                          <m:r>
                            <m:t>1</m:t>
                          </m:r>
                        </m:sub>
                      </m:sSub>
                      <m:r>
                        <m:rPr>
                          <m:sty m:val="p"/>
                        </m:rPr>
                        <m:t>−</m:t>
                      </m:r>
                      <m:sSub>
                        <m:e>
                          <m:r>
                            <m:t>m</m:t>
                          </m:r>
                        </m:e>
                        <m:sub>
                          <m:r>
                            <m:t>t</m:t>
                          </m:r>
                        </m:sub>
                      </m:sSub>
                    </m:e>
                  </m:d>
                </m:e>
              </m:nary>
              <m:d>
                <m:dPr>
                  <m:begChr m:val="("/>
                  <m:endChr m:val=")"/>
                  <m:sepChr m:val=""/>
                  <m:grow/>
                </m:dPr>
                <m:e>
                  <m:sSub>
                    <m:e>
                      <m:acc>
                        <m:accPr>
                          <m:chr m:val="̂"/>
                        </m:accPr>
                        <m:e>
                          <m:r>
                            <m:t>r</m:t>
                          </m:r>
                        </m:e>
                      </m:acc>
                    </m:e>
                    <m:sub>
                      <m:r>
                        <m:t>t</m:t>
                      </m:r>
                      <m:r>
                        <m:rPr>
                          <m:sty m:val="p"/>
                        </m:rPr>
                        <m:t>+</m:t>
                      </m:r>
                      <m:r>
                        <m:t>1</m:t>
                      </m:r>
                    </m:sub>
                  </m:sSub>
                  <m:r>
                    <m:rPr>
                      <m:sty m:val="p"/>
                    </m:rPr>
                    <m:t>−</m:t>
                  </m:r>
                  <m:sSub>
                    <m:e>
                      <m:r>
                        <m:t>m</m:t>
                      </m:r>
                    </m:e>
                    <m:sub>
                      <m:r>
                        <m:t>t</m:t>
                      </m:r>
                    </m:sub>
                  </m:sSub>
                </m:e>
              </m:d>
            </m:num>
            <m:den>
              <m:nary>
                <m:naryPr>
                  <m:chr m:val="∑"/>
                  <m:limLoc m:val="undOvr"/>
                  <m:subHide m:val="off"/>
                  <m:supHide m:val="on"/>
                </m:naryPr>
                <m:sub>
                  <m:r>
                    <m:t>t</m:t>
                  </m:r>
                </m:sub>
                <m:sup>
                  <m:r>
                    <m:t>​</m:t>
                  </m:r>
                </m:sup>
                <m:e>
                  <m:sSup>
                    <m:e>
                      <m:d>
                        <m:dPr>
                          <m:begChr m:val="("/>
                          <m:endChr m:val=")"/>
                          <m:sepChr m:val=""/>
                          <m:grow/>
                        </m:dPr>
                        <m:e>
                          <m:sSub>
                            <m:e>
                              <m:acc>
                                <m:accPr>
                                  <m:chr m:val="̂"/>
                                </m:accPr>
                                <m:e>
                                  <m:r>
                                    <m:t>r</m:t>
                                  </m:r>
                                </m:e>
                              </m:acc>
                            </m:e>
                            <m:sub>
                              <m:r>
                                <m:t>t</m:t>
                              </m:r>
                              <m:r>
                                <m:rPr>
                                  <m:sty m:val="p"/>
                                </m:rPr>
                                <m:t>+</m:t>
                              </m:r>
                              <m:r>
                                <m:t>1</m:t>
                              </m:r>
                            </m:sub>
                          </m:sSub>
                          <m:r>
                            <m:rPr>
                              <m:sty m:val="p"/>
                            </m:rPr>
                            <m:t>−</m:t>
                          </m:r>
                          <m:sSub>
                            <m:e>
                              <m:r>
                                <m:t>m</m:t>
                              </m:r>
                            </m:e>
                            <m:sub>
                              <m:r>
                                <m:t>t</m:t>
                              </m:r>
                            </m:sub>
                          </m:sSub>
                        </m:e>
                      </m:d>
                    </m:e>
                    <m:sup>
                      <m:r>
                        <m:t>2</m:t>
                      </m:r>
                    </m:sup>
                  </m:sSup>
                </m:e>
              </m:nary>
            </m:den>
          </m:f>
        </m:oMath>
      </m:oMathPara>
    </w:p>
    <w:p>
      <w:pPr>
        <w:pStyle w:val="FirstParagraph"/>
      </w:pPr>
      <w:r>
        <w:t xml:space="preserve">λ* là hệ số hồi quy của phần lợi nhuận thực vượt trung bình lịch sử lên phần dự báo vượt trung bình lịch sử. λ* = 1 nghĩa là dự báo nên được dùng nguyên vẹn; λ* = 0 nghĩa là dự báo không có giá trị; 0 &lt; λ* &lt; 1 nghĩa là dự báo có thông tin nhưng quá</w:t>
      </w:r>
      <w:r>
        <w:t xml:space="preserve"> </w:t>
      </w:r>
      <w:r>
        <w:t xml:space="preserve">“</w:t>
      </w:r>
      <w:r>
        <w:t xml:space="preserve">tự tin</w:t>
      </w:r>
      <w:r>
        <w:t xml:space="preserve">”</w:t>
      </w:r>
      <w:r>
        <w:t xml:space="preserve"> </w:t>
      </w:r>
      <w:r>
        <w:t xml:space="preserve">và nên được co về trung bình. Cách hiểu này khớp với ý nghĩa của mức tin cậy trong Black–Litterman ở mục 2.3: với một quan điểm đơn lẻ, lợi nhuận hậu nghiệm dịch chuyển từ điểm cân bằng về phía dự báo đúng một tỷ lệ bằng mức tin cậy.</w:t>
      </w:r>
    </w:p>
    <w:bookmarkEnd w:id="74"/>
    <w:bookmarkEnd w:id="75"/>
    <w:bookmarkStart w:id="84" w:name="thiết-kế-kiểm-định-lịch-sử-backtest"/>
    <w:p>
      <w:pPr>
        <w:pStyle w:val="Heading2"/>
      </w:pPr>
      <w:r>
        <w:t xml:space="preserve">3.7 Thiết kế kiểm định lịch sử (backtest)</w:t>
      </w:r>
    </w:p>
    <w:bookmarkStart w:id="79" w:name="quy-trình-walk-forward"/>
    <w:p>
      <w:pPr>
        <w:pStyle w:val="Heading3"/>
      </w:pPr>
      <w:r>
        <w:t xml:space="preserve">3.7.1 Quy trình walk-forward</w:t>
      </w:r>
    </w:p>
    <w:p>
      <w:pPr>
        <w:pStyle w:val="FirstParagraph"/>
      </w:pPr>
      <w:r>
        <w:t xml:space="preserve">Mọi phương pháp chạy qua cùng một bộ máy backtest (Hình 3.3). Tại cuối mỗi tháng quyết định d, chỉ dùng thông tin đến hết tháng d:</w:t>
      </w:r>
    </w:p>
    <w:p>
      <w:pPr>
        <w:numPr>
          <w:ilvl w:val="0"/>
          <w:numId w:val="1011"/>
        </w:numPr>
      </w:pPr>
      <w:r>
        <w:t xml:space="preserve">Lớp phi tiền mặt đủ điều kiện khi có ít nhất 24 tháng lợi nhuận đến d.</w:t>
      </w:r>
    </w:p>
    <w:p>
      <w:pPr>
        <w:numPr>
          <w:ilvl w:val="0"/>
          <w:numId w:val="1011"/>
        </w:numPr>
      </w:pPr>
      <w:r>
        <w:t xml:space="preserve">Ước lượng hiệp phương sai theo mục 3.4 trên toàn bộ lịch sử đến d.</w:t>
      </w:r>
    </w:p>
    <w:p>
      <w:pPr>
        <w:numPr>
          <w:ilvl w:val="0"/>
          <w:numId w:val="1011"/>
        </w:numPr>
      </w:pPr>
      <w:r>
        <w:t xml:space="preserve">Tính tỷ trọng mục tiêu theo phương pháp (mục 3.5); tiền gửi nhận phần dư.</w:t>
      </w:r>
    </w:p>
    <w:p>
      <w:pPr>
        <w:numPr>
          <w:ilvl w:val="0"/>
          <w:numId w:val="1011"/>
        </w:numPr>
      </w:pPr>
      <w:r>
        <w:t xml:space="preserve">Nếu d là tháng tái cân bằng, đưa danh mục về tỷ trọng mục tiêu và trừ phí; nếu không, tỷ trọng trôi theo giá.</w:t>
      </w:r>
    </w:p>
    <w:p>
      <w:pPr>
        <w:numPr>
          <w:ilvl w:val="0"/>
          <w:numId w:val="1011"/>
        </w:numPr>
      </w:pPr>
      <w:r>
        <w:t xml:space="preserve">Ghi nhận lợi nhuận danh mục của tháng d + 1.</w:t>
      </w:r>
    </w:p>
    <w:p>
      <w:pPr>
        <w:pStyle w:val="CaptionedFigure"/>
      </w:pPr>
      <w:r>
        <w:drawing>
          <wp:inline>
            <wp:extent cx="5753100" cy="2374295"/>
            <wp:effectExtent b="0" l="0" r="0" t="0"/>
            <wp:docPr descr="Hình 3.3. Quy trình walk-forward tại mỗi tháng quyết định" title="" id="77" name="Picture"/>
            <a:graphic>
              <a:graphicData uri="http://schemas.openxmlformats.org/drawingml/2006/picture">
                <pic:pic>
                  <pic:nvPicPr>
                    <pic:cNvPr descr="img/h3_walkforward.png" id="78" name="Picture"/>
                    <pic:cNvPicPr>
                      <a:picLocks noChangeArrowheads="1" noChangeAspect="1"/>
                    </pic:cNvPicPr>
                  </pic:nvPicPr>
                  <pic:blipFill>
                    <a:blip r:embed="rId76"/>
                    <a:stretch>
                      <a:fillRect/>
                    </a:stretch>
                  </pic:blipFill>
                  <pic:spPr bwMode="auto">
                    <a:xfrm>
                      <a:off x="0" y="0"/>
                      <a:ext cx="5753100" cy="2374295"/>
                    </a:xfrm>
                    <a:prstGeom prst="rect">
                      <a:avLst/>
                    </a:prstGeom>
                    <a:noFill/>
                    <a:ln w="9525">
                      <a:noFill/>
                      <a:headEnd/>
                      <a:tailEnd/>
                    </a:ln>
                  </pic:spPr>
                </pic:pic>
              </a:graphicData>
            </a:graphic>
          </wp:inline>
        </w:drawing>
      </w:r>
    </w:p>
    <w:p>
      <w:pPr>
        <w:pStyle w:val="ImageCaption"/>
      </w:pPr>
      <w:r>
        <w:t xml:space="preserve">Hình 3.3. Quy trình walk-forward tại mỗi tháng quyết định</w:t>
      </w:r>
    </w:p>
    <w:p>
      <w:pPr>
        <w:pStyle w:val="SourceNote"/>
      </w:pPr>
      <w:r>
        <w:t xml:space="preserve">Nguồn: Tác giả thiết kế.</w:t>
      </w:r>
    </w:p>
    <w:p>
      <w:pPr>
        <w:pStyle w:val="BodyText"/>
      </w:pPr>
      <w:r>
        <w:t xml:space="preserve">Giữa hai lần tái cân bằng, tỷ trọng của mỗi lớp thay đổi theo lợi nhuận tương đối của nó:</w:t>
      </w:r>
    </w:p>
    <w:p>
      <w:pPr>
        <w:pStyle w:val="BodyText"/>
      </w:pPr>
      <m:oMathPara>
        <m:oMathParaPr>
          <m:jc m:val="center"/>
        </m:oMathParaPr>
        <m:oMath>
          <m:sSubSup>
            <m:e>
              <m:r>
                <m:t>w</m:t>
              </m:r>
            </m:e>
            <m:sub>
              <m:r>
                <m:t>i</m:t>
              </m:r>
              <m:r>
                <m:rPr>
                  <m:sty m:val="p"/>
                </m:rPr>
                <m:t>,</m:t>
              </m:r>
              <m:r>
                <m:t>t</m:t>
              </m:r>
              <m:r>
                <m:rPr>
                  <m:sty m:val="p"/>
                </m:rPr>
                <m:t>+</m:t>
              </m:r>
              <m:r>
                <m:t>1</m:t>
              </m:r>
            </m:sub>
            <m:sup>
              <m:r>
                <m:t>d</m:t>
              </m:r>
              <m:r>
                <m:t>r</m:t>
              </m:r>
              <m:r>
                <m:t>i</m:t>
              </m:r>
              <m:r>
                <m:t>f</m:t>
              </m:r>
              <m:r>
                <m:t>t</m:t>
              </m:r>
            </m:sup>
          </m:sSubSup>
          <m:r>
            <m:rPr>
              <m:sty m:val="p"/>
            </m:rPr>
            <m:t>=</m:t>
          </m:r>
          <m:f>
            <m:fPr>
              <m:type m:val="bar"/>
            </m:fPr>
            <m:num>
              <m:sSub>
                <m:e>
                  <m:r>
                    <m:t>w</m:t>
                  </m:r>
                </m:e>
                <m:sub>
                  <m:r>
                    <m:t>i</m:t>
                  </m:r>
                  <m:r>
                    <m:rPr>
                      <m:sty m:val="p"/>
                    </m:rPr>
                    <m:t>,</m:t>
                  </m:r>
                  <m:r>
                    <m:t>t</m:t>
                  </m:r>
                </m:sub>
              </m:sSub>
              <m:r>
                <m:t> </m:t>
              </m:r>
              <m:d>
                <m:dPr>
                  <m:begChr m:val="("/>
                  <m:endChr m:val=")"/>
                  <m:sepChr m:val=""/>
                  <m:grow/>
                </m:dPr>
                <m:e>
                  <m:r>
                    <m:t>1</m:t>
                  </m:r>
                  <m:r>
                    <m:rPr>
                      <m:sty m:val="p"/>
                    </m:rPr>
                    <m:t>+</m:t>
                  </m:r>
                  <m:sSub>
                    <m:e>
                      <m:r>
                        <m:t>r</m:t>
                      </m:r>
                    </m:e>
                    <m:sub>
                      <m:r>
                        <m:t>i</m:t>
                      </m:r>
                      <m:r>
                        <m:rPr>
                          <m:sty m:val="p"/>
                        </m:rPr>
                        <m:t>,</m:t>
                      </m:r>
                      <m:r>
                        <m:t>t</m:t>
                      </m:r>
                      <m:r>
                        <m:rPr>
                          <m:sty m:val="p"/>
                        </m:rPr>
                        <m:t>+</m:t>
                      </m:r>
                      <m:r>
                        <m:t>1</m:t>
                      </m:r>
                    </m:sub>
                  </m:sSub>
                </m:e>
              </m:d>
            </m:num>
            <m:den>
              <m:r>
                <m:t>1</m:t>
              </m:r>
              <m:r>
                <m:rPr>
                  <m:sty m:val="p"/>
                </m:rPr>
                <m:t>+</m:t>
              </m:r>
              <m:sSub>
                <m:e>
                  <m:r>
                    <m:t>r</m:t>
                  </m:r>
                </m:e>
                <m:sub>
                  <m:r>
                    <m:t>p</m:t>
                  </m:r>
                  <m:r>
                    <m:rPr>
                      <m:sty m:val="p"/>
                    </m:rPr>
                    <m:t>,</m:t>
                  </m:r>
                  <m:r>
                    <m:t>t</m:t>
                  </m:r>
                  <m:r>
                    <m:rPr>
                      <m:sty m:val="p"/>
                    </m:rPr>
                    <m:t>+</m:t>
                  </m:r>
                  <m:r>
                    <m:t>1</m:t>
                  </m:r>
                </m:sub>
              </m:sSub>
            </m:den>
          </m:f>
          <m:r>
            <m:rPr>
              <m:sty m:val="p"/>
            </m:rPr>
            <m:t>,</m:t>
          </m:r>
          <m:r>
            <m:t>  </m:t>
          </m:r>
          <m:sSub>
            <m:e>
              <m:r>
                <m:t>r</m:t>
              </m:r>
            </m:e>
            <m:sub>
              <m:r>
                <m:t>p</m:t>
              </m:r>
              <m:r>
                <m:rPr>
                  <m:sty m:val="p"/>
                </m:rPr>
                <m:t>,</m:t>
              </m:r>
              <m:r>
                <m:t>t</m:t>
              </m:r>
              <m:r>
                <m:rPr>
                  <m:sty m:val="p"/>
                </m:rPr>
                <m:t>+</m:t>
              </m:r>
              <m:r>
                <m:t>1</m:t>
              </m:r>
            </m:sub>
          </m:sSub>
          <m:r>
            <m:rPr>
              <m:sty m:val="p"/>
            </m:rPr>
            <m:t>=</m:t>
          </m:r>
          <m:nary>
            <m:naryPr>
              <m:chr m:val="∑"/>
              <m:limLoc m:val="undOvr"/>
              <m:subHide m:val="off"/>
              <m:supHide m:val="on"/>
            </m:naryPr>
            <m:sub>
              <m:r>
                <m:t>i</m:t>
              </m:r>
            </m:sub>
            <m:sup>
              <m:r>
                <m:t>​</m:t>
              </m:r>
            </m:sup>
            <m:e>
              <m:sSub>
                <m:e>
                  <m:r>
                    <m:t>w</m:t>
                  </m:r>
                </m:e>
                <m:sub>
                  <m:r>
                    <m:t>i</m:t>
                  </m:r>
                  <m:r>
                    <m:rPr>
                      <m:sty m:val="p"/>
                    </m:rPr>
                    <m:t>,</m:t>
                  </m:r>
                  <m:r>
                    <m:t>t</m:t>
                  </m:r>
                </m:sub>
              </m:sSub>
            </m:e>
          </m:nary>
          <m:r>
            <m:t> </m:t>
          </m:r>
          <m:sSub>
            <m:e>
              <m:r>
                <m:t>r</m:t>
              </m:r>
            </m:e>
            <m:sub>
              <m:r>
                <m:t>i</m:t>
              </m:r>
              <m:r>
                <m:rPr>
                  <m:sty m:val="p"/>
                </m:rPr>
                <m:t>,</m:t>
              </m:r>
              <m:r>
                <m:t>t</m:t>
              </m:r>
              <m:r>
                <m:rPr>
                  <m:sty m:val="p"/>
                </m:rPr>
                <m:t>+</m:t>
              </m:r>
              <m:r>
                <m:t>1</m:t>
              </m:r>
            </m:sub>
          </m:sSub>
        </m:oMath>
      </m:oMathPara>
    </w:p>
    <w:p>
      <w:pPr>
        <w:pStyle w:val="FirstParagraph"/>
      </w:pPr>
      <w:r>
        <w:t xml:space="preserve">Lãi tiền gửi và phần lãi trái phiếu của tháng t dùng lãi suất cuối tháng t − 1, nên mọi biến tại thời điểm quyết định đều đã biết. Bộ kiểm thử tự động của pipeline kiểm tra rò rỉ thông tin tương lai (look-ahead), kể cả với giá vàng point-in-time: dữ liệu sau tháng quyết định bị xáo trộn và kiểm thử xác nhận tỷ trọng, biến đầu vào và dự báo tại tháng đó không đổi.</w:t>
      </w:r>
    </w:p>
    <w:bookmarkEnd w:id="79"/>
    <w:bookmarkStart w:id="80" w:name="kịch-bản-và-giai-đoạn-kiểm-tra"/>
    <w:p>
      <w:pPr>
        <w:pStyle w:val="Heading3"/>
      </w:pPr>
      <w:r>
        <w:t xml:space="preserve">3.7.2 Kịch bản và giai đoạn kiểm tra</w:t>
      </w:r>
    </w:p>
    <w:p>
      <w:pPr>
        <w:pStyle w:val="FirstParagraph"/>
      </w:pPr>
      <w:r>
        <w:t xml:space="preserve">Mỗi phương pháp chạy trên 9 kịch bản = 3 khẩu vị rủi ro × 3 khung thời gian. Khung thời gian chỉ thay đổi tần suất tái cân bằng và kỳ hạn của phần tiền mặt; ước lượng hiệp phương sai dùng chung.</w:t>
      </w:r>
    </w:p>
    <w:p>
      <w:pPr>
        <w:pStyle w:val="TableCaption"/>
      </w:pPr>
      <w:r>
        <w:t xml:space="preserve">Bảng 3.10. Khung thời gian đầu tư</w:t>
      </w:r>
    </w:p>
    <w:tbl>
      <w:tblPr>
        <w:tblStyle w:val="Table"/>
        <w:tblW w:type="pct" w:w="5000"/>
        <w:jc w:val="center"/>
        <w:tblLook w:firstRow="1" w:lastRow="0" w:firstColumn="0" w:lastColumn="0" w:noHBand="0" w:noVBand="0" w:val="0020"/>
        <w:tblCaption w:val="Bảng 3.10. Khung thời gian đầu tư"/>
      </w:tblPr>
      <w:tblGrid>
        <w:gridCol w:w="1335"/>
        <w:gridCol w:w="1335"/>
        <w:gridCol w:w="2862"/>
        <w:gridCol w:w="2385"/>
      </w:tblGrid>
      <w:tr>
        <w:trPr>
          <w:tblHeader w:val="true"/>
        </w:trPr>
        <w:tc>
          <w:tcPr/>
          <w:p>
            <w:pPr>
              <w:pStyle w:val="Compact"/>
              <w:jc w:val="center"/>
            </w:pPr>
            <w:r>
              <w:rPr>
                <w:b/>
              </w:rPr>
              <w:t xml:space="preserve">Khung thời gian</w:t>
            </w:r>
          </w:p>
        </w:tc>
        <w:tc>
          <w:tcPr/>
          <w:p>
            <w:pPr>
              <w:pStyle w:val="Compact"/>
              <w:jc w:val="center"/>
            </w:pPr>
            <w:r>
              <w:rPr>
                <w:b/>
              </w:rPr>
              <w:t xml:space="preserve">Tái cân bằng</w:t>
            </w:r>
          </w:p>
        </w:tc>
        <w:tc>
          <w:tcPr/>
          <w:p>
            <w:pPr>
              <w:pStyle w:val="Compact"/>
              <w:jc w:val="center"/>
            </w:pPr>
            <w:r>
              <w:rPr>
                <w:b/>
              </w:rPr>
              <w:t xml:space="preserve">Số lần tái cân bằng trong giai đoạn kiểm tra</w:t>
            </w:r>
          </w:p>
        </w:tc>
        <w:tc>
          <w:tcPr/>
          <w:p>
            <w:pPr>
              <w:pStyle w:val="Compact"/>
              <w:jc w:val="center"/>
            </w:pPr>
            <w:r>
              <w:rPr>
                <w:b/>
              </w:rPr>
              <w:t xml:space="preserve">Kỳ hạn tiền gửi của phần tiền mặt</w:t>
            </w:r>
          </w:p>
        </w:tc>
      </w:tr>
      <w:tr>
        <w:trPr>
          <w:cantSplit/>
        </w:trPr>
        <w:tc>
          <w:tcPr/>
          <w:p>
            <w:pPr>
              <w:pStyle w:val="Compact"/>
              <w:jc w:val="left"/>
            </w:pPr>
            <w:r>
              <w:t xml:space="preserve">Ngắn hạn</w:t>
            </w:r>
          </w:p>
        </w:tc>
        <w:tc>
          <w:tcPr/>
          <w:p>
            <w:pPr>
              <w:pStyle w:val="Compact"/>
              <w:jc w:val="left"/>
            </w:pPr>
            <w:r>
              <w:t xml:space="preserve">Hằng tháng</w:t>
            </w:r>
          </w:p>
        </w:tc>
        <w:tc>
          <w:tcPr/>
          <w:p>
            <w:pPr>
              <w:pStyle w:val="Compact"/>
              <w:jc w:val="left"/>
            </w:pPr>
            <w:r>
              <w:t xml:space="preserve">102</w:t>
            </w:r>
          </w:p>
        </w:tc>
        <w:tc>
          <w:tcPr/>
          <w:p>
            <w:pPr>
              <w:pStyle w:val="Compact"/>
              <w:jc w:val="left"/>
            </w:pPr>
            <w:r>
              <w:t xml:space="preserve">1 tháng</w:t>
            </w:r>
          </w:p>
        </w:tc>
      </w:tr>
      <w:tr>
        <w:trPr>
          <w:cantSplit/>
        </w:trPr>
        <w:tc>
          <w:tcPr/>
          <w:p>
            <w:pPr>
              <w:pStyle w:val="Compact"/>
              <w:jc w:val="left"/>
            </w:pPr>
            <w:r>
              <w:t xml:space="preserve">Trung hạn</w:t>
            </w:r>
          </w:p>
        </w:tc>
        <w:tc>
          <w:tcPr/>
          <w:p>
            <w:pPr>
              <w:pStyle w:val="Compact"/>
              <w:jc w:val="left"/>
            </w:pPr>
            <w:r>
              <w:t xml:space="preserve">3 tháng/lần</w:t>
            </w:r>
          </w:p>
        </w:tc>
        <w:tc>
          <w:tcPr/>
          <w:p>
            <w:pPr>
              <w:pStyle w:val="Compact"/>
              <w:jc w:val="left"/>
            </w:pPr>
            <w:r>
              <w:t xml:space="preserve">34</w:t>
            </w:r>
          </w:p>
        </w:tc>
        <w:tc>
          <w:tcPr/>
          <w:p>
            <w:pPr>
              <w:pStyle w:val="Compact"/>
              <w:jc w:val="left"/>
            </w:pPr>
            <w:r>
              <w:t xml:space="preserve">3 tháng</w:t>
            </w:r>
          </w:p>
        </w:tc>
      </w:tr>
      <w:tr>
        <w:trPr>
          <w:cantSplit/>
        </w:trPr>
        <w:tc>
          <w:tcPr/>
          <w:p>
            <w:pPr>
              <w:pStyle w:val="Compact"/>
              <w:jc w:val="left"/>
            </w:pPr>
            <w:r>
              <w:t xml:space="preserve">Dài hạn</w:t>
            </w:r>
          </w:p>
        </w:tc>
        <w:tc>
          <w:tcPr/>
          <w:p>
            <w:pPr>
              <w:pStyle w:val="Compact"/>
              <w:jc w:val="left"/>
            </w:pPr>
            <w:r>
              <w:t xml:space="preserve">12 tháng/lần</w:t>
            </w:r>
          </w:p>
        </w:tc>
        <w:tc>
          <w:tcPr/>
          <w:p>
            <w:pPr>
              <w:pStyle w:val="Compact"/>
              <w:jc w:val="left"/>
            </w:pPr>
            <w:r>
              <w:t xml:space="preserve">9</w:t>
            </w:r>
          </w:p>
        </w:tc>
        <w:tc>
          <w:tcPr/>
          <w:p>
            <w:pPr>
              <w:pStyle w:val="Compact"/>
              <w:jc w:val="left"/>
            </w:pPr>
            <w:r>
              <w:t xml:space="preserve">12 tháng</w:t>
            </w:r>
          </w:p>
        </w:tc>
      </w:tr>
    </w:tbl>
    <w:p>
      <w:pPr>
        <w:pStyle w:val="BodyText"/>
        <w:spacing w:before="200"/>
      </w:pPr>
      <w:r>
        <w:t xml:space="preserve">Kịch bản chính dùng cho kiểm định là Cân bằng / Trung hạn, đại diện cho nhà đầu tư điển hình và có số lần tái cân bằng vừa đủ để các phương pháp thể hiện khác biệt. Giai đoạn kiểm tra bắt đầu khi có đủ 24 tháng lịch sử: tháng quyết định đầu tiên là 01/2018 và lợi nhuận được ghi nhận từ 02/2018 đến 07/2026, tổng cộng 102 tháng. Giai đoạn này bao gồm đợt điều chỉnh 2018, cú sốc COVID-19 2020, bùng nổ 2021, khủng hoảng trái phiếu doanh nghiệp và bất động sản 2022 và đợt tăng giá vàng 2024–2025, nên đủ đa dạng để đánh giá phương pháp trong nhiều trạng thái thị trường.</w:t>
      </w:r>
    </w:p>
    <w:p>
      <w:pPr>
        <w:pStyle w:val="BodyText"/>
      </w:pPr>
      <w:r>
        <w:t xml:space="preserve">Mốc 24 tháng được chọn vì hai lý do kỹ thuật. Thứ nhất, ước lượng ma trận hiệp phương sai 4×4 cần đủ quan sát để các hệ số tương quan không quá nhiễu; với 24 tháng và chu kỳ bán rã 18 tháng, số quan sát hiệu dụng khoảng 22. Thứ hai, mô hình học máy cần tối thiểu 12 tháng huấn luyện, và Black–Litterman cần thêm 12 tháng dự báo ngoài mẫu đã có kết quả để đánh giá kỹ năng trước khi đưa quan điểm vào; vì vậy quan điểm đầu tiên chỉ xuất hiện vào giữa năm 2018. Kéo dài giai đoạn khởi động sẽ làm mất thêm mẫu kiểm tra vốn đã ngắn; rút ngắn sẽ làm ước lượng đầu giai đoạn kém tin cậy.</w:t>
      </w:r>
    </w:p>
    <w:p>
      <w:pPr>
        <w:pStyle w:val="BodyText"/>
      </w:pPr>
      <w:r>
        <w:t xml:space="preserve">Hệ quả của mốc này là 23 tháng đầu panel (02/2016–12/2017) chỉ dùng để ước lượng, không được tính vào hiệu quả. Đây là giai đoạn rất thuận lợi cho cổ phiếu: ETF tăng 14,3% trong 11 tháng năm 2016 và 59,1% năm 2017. Không tính giai đoạn này, lợi nhuận năm hóa của cổ phiếu trong giai đoạn kiểm tra chỉ còn 7,7% (so với 13,5% trên toàn mẫu), nên kết quả kiểm tra bất lợi cho các phương pháp giữ nhiều cổ phiếu và thuận lợi cho các phương pháp giữ nhiều vàng. Người đọc cần lưu ý điều này khi khái quát kết quả sang các giai đoạn khác: một giai đoạn kiểm tra bắt đầu trước đợt tăng 2017 có thể cho thứ hạng khác. Mô phỏng bootstrap ở mục 3.8.6, vốn lấy mẫu từ toàn bộ 126 tháng kể cả 2016–2017, là một cách kiểm tra gián tiếp ảnh hưởng của việc chọn mốc.</w:t>
      </w:r>
    </w:p>
    <w:bookmarkEnd w:id="80"/>
    <w:bookmarkStart w:id="81" w:name="chi-phí-giao-dịch"/>
    <w:p>
      <w:pPr>
        <w:pStyle w:val="Heading3"/>
      </w:pPr>
      <w:r>
        <w:t xml:space="preserve">3.7.3 Chi phí giao dịch</w:t>
      </w:r>
    </w:p>
    <w:p>
      <w:pPr>
        <w:pStyle w:val="FirstParagraph"/>
      </w:pPr>
      <w:r>
        <w:t xml:space="preserve">Phí tái cân bằng bằng tổng các thay đổi tỷ trọng nhân với phí của từng lớp:</w:t>
      </w:r>
    </w:p>
    <w:p>
      <w:pPr>
        <w:pStyle w:val="BodyText"/>
      </w:pPr>
      <m:oMathPara>
        <m:oMathParaPr>
          <m:jc m:val="center"/>
        </m:oMathParaPr>
        <m:oMath>
          <m:r>
            <m:t>T</m:t>
          </m:r>
          <m:sSub>
            <m:e>
              <m:r>
                <m:t>C</m:t>
              </m:r>
            </m:e>
            <m:sub>
              <m:r>
                <m:t>t</m:t>
              </m:r>
            </m:sub>
          </m:sSub>
          <m:r>
            <m:rPr>
              <m:sty m:val="p"/>
            </m:rPr>
            <m:t>=</m:t>
          </m:r>
          <m:nary>
            <m:naryPr>
              <m:chr m:val="∑"/>
              <m:limLoc m:val="undOvr"/>
              <m:subHide m:val="off"/>
              <m:supHide m:val="on"/>
            </m:naryPr>
            <m:sub>
              <m:r>
                <m:t>i</m:t>
              </m:r>
            </m:sub>
            <m:sup>
              <m:r>
                <m:t>​</m:t>
              </m:r>
            </m:sup>
            <m:e>
              <m:sSub>
                <m:e>
                  <m:r>
                    <m:t>c</m:t>
                  </m:r>
                </m:e>
                <m:sub>
                  <m:r>
                    <m:t>i</m:t>
                  </m:r>
                </m:sub>
              </m:sSub>
            </m:e>
          </m:nary>
          <m:d>
            <m:dPr>
              <m:begChr m:val="|"/>
              <m:endChr m:val="|"/>
              <m:sepChr m:val=""/>
              <m:grow/>
            </m:dPr>
            <m:e>
              <m:sSubSup>
                <m:e>
                  <m:r>
                    <m:t>w</m:t>
                  </m:r>
                </m:e>
                <m:sub>
                  <m:r>
                    <m:t>i</m:t>
                  </m:r>
                  <m:r>
                    <m:rPr>
                      <m:sty m:val="p"/>
                    </m:rPr>
                    <m:t>,</m:t>
                  </m:r>
                  <m:r>
                    <m:t>t</m:t>
                  </m:r>
                </m:sub>
                <m:sup>
                  <m:r>
                    <m:t>t</m:t>
                  </m:r>
                  <m:r>
                    <m:t>a</m:t>
                  </m:r>
                  <m:r>
                    <m:t>r</m:t>
                  </m:r>
                  <m:r>
                    <m:t>g</m:t>
                  </m:r>
                  <m:r>
                    <m:t>e</m:t>
                  </m:r>
                  <m:r>
                    <m:t>t</m:t>
                  </m:r>
                </m:sup>
              </m:sSubSup>
              <m:r>
                <m:rPr>
                  <m:sty m:val="p"/>
                </m:rPr>
                <m:t>−</m:t>
              </m:r>
              <m:sSubSup>
                <m:e>
                  <m:r>
                    <m:t>w</m:t>
                  </m:r>
                </m:e>
                <m:sub>
                  <m:r>
                    <m:t>i</m:t>
                  </m:r>
                  <m:r>
                    <m:rPr>
                      <m:sty m:val="p"/>
                    </m:rPr>
                    <m:t>,</m:t>
                  </m:r>
                  <m:r>
                    <m:t>t</m:t>
                  </m:r>
                </m:sub>
                <m:sup>
                  <m:r>
                    <m:t>d</m:t>
                  </m:r>
                  <m:r>
                    <m:t>r</m:t>
                  </m:r>
                  <m:r>
                    <m:t>i</m:t>
                  </m:r>
                  <m:r>
                    <m:t>f</m:t>
                  </m:r>
                  <m:r>
                    <m:t>t</m:t>
                  </m:r>
                </m:sup>
              </m:sSubSup>
            </m:e>
          </m:d>
        </m:oMath>
      </m:oMathPara>
    </w:p>
    <w:p>
      <w:pPr>
        <w:pStyle w:val="FirstParagraph"/>
      </w:pPr>
      <w:r>
        <w:t xml:space="preserve">với c = 0,20% cho cổ phiếu, ETF và cổ phiếu bất động sản (phí môi giới và thuế bán); 1,0% cho vàng SJC (xấp xỉ chênh lệch mua–bán của vàng miếng); 0,30% cho trái phiếu và tiền gửi (phí mua bán chứng chỉ quỹ và chi phí cơ hội khi rút tiền gửi). Lợi nhuận ròng của tháng tái cân bằng bằng lợi nhuận gộp trừ TC. Phần phí này cũng đi vào hàm mục tiêu của Markowitz, BL và MLP_MVO (mục 3.5), nên các phương pháp tối ưu tự cân nhắc giữa lợi ích của việc đổi tỷ trọng và chi phí của nó. Một biến thể dùng phí đồng nhất 0,15% cho mọi lớp được chạy trong phân tích độ nhạy.</w:t>
      </w:r>
    </w:p>
    <w:bookmarkEnd w:id="81"/>
    <w:bookmarkStart w:id="82" w:name="thước-đo-hiệu-quả"/>
    <w:p>
      <w:pPr>
        <w:pStyle w:val="Heading3"/>
      </w:pPr>
      <w:r>
        <w:t xml:space="preserve">3.7.4 Thước đo hiệu quả</w:t>
      </w:r>
    </w:p>
    <w:p>
      <w:pPr>
        <w:pStyle w:val="TableCaption"/>
      </w:pPr>
      <w:r>
        <w:t xml:space="preserve">Bảng 3.11. Thước đo hiệu quả danh mục</w:t>
      </w:r>
    </w:p>
    <w:tbl>
      <w:tblPr>
        <w:tblStyle w:val="Table"/>
        <w:tblW w:type="pct" w:w="5000"/>
        <w:jc w:val="center"/>
        <w:tblLook w:firstRow="1" w:lastRow="0" w:firstColumn="0" w:lastColumn="0" w:noHBand="0" w:noVBand="0" w:val="0020"/>
        <w:tblCaption w:val="Bảng 3.11. Thước đo hiệu quả danh mục"/>
      </w:tblPr>
      <w:tblGrid>
        <w:gridCol w:w="2457"/>
        <w:gridCol w:w="5462"/>
      </w:tblGrid>
      <w:tr>
        <w:trPr>
          <w:tblHeader w:val="true"/>
        </w:trPr>
        <w:tc>
          <w:tcPr/>
          <w:p>
            <w:pPr>
              <w:pStyle w:val="Compact"/>
              <w:jc w:val="center"/>
            </w:pPr>
            <w:r>
              <w:rPr>
                <w:b/>
              </w:rPr>
              <w:t xml:space="preserve">Thước đo</w:t>
            </w:r>
          </w:p>
        </w:tc>
        <w:tc>
          <w:tcPr/>
          <w:p>
            <w:pPr>
              <w:pStyle w:val="Compact"/>
              <w:jc w:val="center"/>
            </w:pPr>
            <w:r>
              <w:rPr>
                <w:b/>
              </w:rPr>
              <w:t xml:space="preserve">Cách tính</w:t>
            </w:r>
          </w:p>
        </w:tc>
      </w:tr>
      <w:tr>
        <w:trPr>
          <w:cantSplit/>
        </w:trPr>
        <w:tc>
          <w:tcPr/>
          <w:p>
            <w:pPr>
              <w:pStyle w:val="Compact"/>
              <w:jc w:val="left"/>
            </w:pPr>
            <w:r>
              <w:t xml:space="preserve">Lợi nhuận năm hóa</w:t>
            </w:r>
          </w:p>
        </w:tc>
        <w:tc>
          <w:tcPr/>
          <w:p>
            <w:pPr>
              <w:pStyle w:val="Compact"/>
              <w:jc w:val="left"/>
            </w:pPr>
            <w:r>
              <w:t xml:space="preserve">(∏(1 + r</w:t>
            </w:r>
            <w:r>
              <w:rPr>
                <w:vertAlign w:val="subscript"/>
              </w:rPr>
              <w:t xml:space="preserve">t</w:t>
            </w:r>
            <w:r>
              <w:t xml:space="preserve">))^(12/T) − 1</w:t>
            </w:r>
          </w:p>
        </w:tc>
      </w:tr>
      <w:tr>
        <w:trPr>
          <w:cantSplit/>
        </w:trPr>
        <w:tc>
          <w:tcPr/>
          <w:p>
            <w:pPr>
              <w:pStyle w:val="Compact"/>
              <w:jc w:val="left"/>
            </w:pPr>
            <w:r>
              <w:t xml:space="preserve">Độ biến động năm hóa</w:t>
            </w:r>
          </w:p>
        </w:tc>
        <w:tc>
          <w:tcPr/>
          <w:p>
            <w:pPr>
              <w:pStyle w:val="Compact"/>
              <w:jc w:val="left"/>
            </w:pPr>
            <w:r>
              <w:t xml:space="preserve">Độ lệch chuẩn tháng × √12</w:t>
            </w:r>
          </w:p>
        </w:tc>
      </w:tr>
      <w:tr>
        <w:trPr>
          <w:cantSplit/>
        </w:trPr>
        <w:tc>
          <w:tcPr/>
          <w:p>
            <w:pPr>
              <w:pStyle w:val="Compact"/>
              <w:jc w:val="left"/>
            </w:pPr>
            <w:r>
              <w:t xml:space="preserve">Sharpe</w:t>
            </w:r>
          </w:p>
        </w:tc>
        <w:tc>
          <w:tcPr/>
          <w:p>
            <w:pPr>
              <w:pStyle w:val="Compact"/>
              <w:jc w:val="left"/>
            </w:pPr>
            <w:r>
              <w:t xml:space="preserve">Trung bình lợi nhuận vượt trội / độ lệch chuẩn × √12; lãi phi rủi ro = lãi tiền gửi 12 tháng cuối tháng trước / 12</w:t>
            </w:r>
          </w:p>
        </w:tc>
      </w:tr>
      <w:tr>
        <w:trPr>
          <w:cantSplit/>
        </w:trPr>
        <w:tc>
          <w:tcPr/>
          <w:p>
            <w:pPr>
              <w:pStyle w:val="Compact"/>
              <w:jc w:val="left"/>
            </w:pPr>
            <w:r>
              <w:t xml:space="preserve">Sortino</w:t>
            </w:r>
          </w:p>
        </w:tc>
        <w:tc>
          <w:tcPr/>
          <w:p>
            <w:pPr>
              <w:pStyle w:val="Compact"/>
              <w:jc w:val="left"/>
            </w:pPr>
            <w:r>
              <w:t xml:space="preserve">Trung bình lợi nhuận vượt trội / căn trung bình bình phương phần vượt trội âm × √12</w:t>
            </w:r>
          </w:p>
        </w:tc>
      </w:tr>
      <w:tr>
        <w:trPr>
          <w:cantSplit/>
        </w:trPr>
        <w:tc>
          <w:tcPr/>
          <w:p>
            <w:pPr>
              <w:pStyle w:val="Compact"/>
              <w:jc w:val="left"/>
            </w:pPr>
            <w:r>
              <w:t xml:space="preserve">Calmar</w:t>
            </w:r>
          </w:p>
        </w:tc>
        <w:tc>
          <w:tcPr/>
          <w:p>
            <w:pPr>
              <w:pStyle w:val="Compact"/>
              <w:jc w:val="left"/>
            </w:pPr>
            <w:r>
              <w:t xml:space="preserve">Lợi nhuận năm hóa / trị tuyệt đối MDD</w:t>
            </w:r>
          </w:p>
        </w:tc>
      </w:tr>
      <w:tr>
        <w:trPr>
          <w:cantSplit/>
        </w:trPr>
        <w:tc>
          <w:tcPr/>
          <w:p>
            <w:pPr>
              <w:pStyle w:val="Compact"/>
              <w:jc w:val="left"/>
            </w:pPr>
            <w:r>
              <w:t xml:space="preserve">Sụt giảm tối đa (MDD)</w:t>
            </w:r>
          </w:p>
        </w:tc>
        <w:tc>
          <w:tcPr/>
          <w:p>
            <w:pPr>
              <w:pStyle w:val="Compact"/>
              <w:jc w:val="left"/>
            </w:pPr>
            <w:r>
              <w:t xml:space="preserve">Mức giảm lớn nhất từ đỉnh, tính cả điểm vốn ban đầu</w:t>
            </w:r>
          </w:p>
        </w:tc>
      </w:tr>
      <w:tr>
        <w:trPr>
          <w:cantSplit/>
        </w:trPr>
        <w:tc>
          <w:tcPr/>
          <w:p>
            <w:pPr>
              <w:pStyle w:val="Compact"/>
              <w:jc w:val="left"/>
            </w:pPr>
            <w:r>
              <w:t xml:space="preserve">VaR, CVaR 95%</w:t>
            </w:r>
          </w:p>
        </w:tc>
        <w:tc>
          <w:tcPr/>
          <w:p>
            <w:pPr>
              <w:pStyle w:val="Compact"/>
              <w:jc w:val="left"/>
            </w:pPr>
            <w:r>
              <w:t xml:space="preserve">Phân vị 5% của lợi nhuận tháng; trung bình các tháng thấp hơn phân vị đó</w:t>
            </w:r>
          </w:p>
        </w:tc>
      </w:tr>
      <w:tr>
        <w:trPr>
          <w:cantSplit/>
        </w:trPr>
        <w:tc>
          <w:tcPr/>
          <w:p>
            <w:pPr>
              <w:pStyle w:val="Compact"/>
              <w:jc w:val="left"/>
            </w:pPr>
            <w:r>
              <w:t xml:space="preserve">Turnover</w:t>
            </w:r>
          </w:p>
        </w:tc>
        <w:tc>
          <w:tcPr/>
          <w:p>
            <w:pPr>
              <w:pStyle w:val="Compact"/>
              <w:jc w:val="left"/>
            </w:pPr>
            <w:r>
              <w:t xml:space="preserve">Trung bình tổng giá trị tuyệt đối các thay đổi tỷ trọng mỗi lần tái cân bằng</w:t>
            </w:r>
          </w:p>
        </w:tc>
      </w:tr>
    </w:tbl>
    <w:p>
      <w:pPr>
        <w:pStyle w:val="BodyText"/>
        <w:spacing w:before="200"/>
      </w:pPr>
      <w:r>
        <w:t xml:space="preserve">Lãi suất phi rủi ro được chọn là lãi tiền gửi 12 tháng vì đây là lựa chọn thay thế an toàn phổ biến nhất của nhà đầu tư cá nhân Việt Nam. Với lựa chọn này, Sharpe của một danh mục đo mức lợi nhuận vượt trội so với việc gửi tiết kiệm trên mỗi đơn vị rủi ro chịu thêm.</w:t>
      </w:r>
    </w:p>
    <w:bookmarkEnd w:id="82"/>
    <w:bookmarkStart w:id="83" w:name="phân-tích-độ-nhạy"/>
    <w:p>
      <w:pPr>
        <w:pStyle w:val="Heading3"/>
      </w:pPr>
      <w:r>
        <w:t xml:space="preserve">3.7.5 Phân tích độ nhạy</w:t>
      </w:r>
    </w:p>
    <w:p>
      <w:pPr>
        <w:pStyle w:val="FirstParagraph"/>
      </w:pPr>
      <w:r>
        <w:t xml:space="preserve">Trên kịch bản chính, từng giả định được thay đổi một lần trong khi giữ nguyên các giả định khác:</w:t>
      </w:r>
    </w:p>
    <w:p>
      <w:pPr>
        <w:numPr>
          <w:ilvl w:val="0"/>
          <w:numId w:val="1012"/>
        </w:numPr>
      </w:pPr>
      <w:r>
        <w:rPr>
          <w:bCs/>
          <w:b/>
        </w:rPr>
        <w:t xml:space="preserve">Tham số tối ưu:</w:t>
      </w:r>
      <w:r>
        <w:t xml:space="preserve"> </w:t>
      </w:r>
      <w:r>
        <w:t xml:space="preserve">δ = 1,5 và 4.</w:t>
      </w:r>
    </w:p>
    <w:p>
      <w:pPr>
        <w:numPr>
          <w:ilvl w:val="0"/>
          <w:numId w:val="1012"/>
        </w:numPr>
      </w:pPr>
      <w:r>
        <w:rPr>
          <w:bCs/>
          <w:b/>
        </w:rPr>
        <w:t xml:space="preserve">Ước lượng hiệp phương sai:</w:t>
      </w:r>
      <w:r>
        <w:t xml:space="preserve"> </w:t>
      </w:r>
      <w:r>
        <w:t xml:space="preserve">chu kỳ bán rã EWMA 12 và 24 tháng; cửa sổ trượt 24 và 36 tháng với trọng số bằng nhau thay cho EWMA.</w:t>
      </w:r>
    </w:p>
    <w:p>
      <w:pPr>
        <w:numPr>
          <w:ilvl w:val="0"/>
          <w:numId w:val="1012"/>
        </w:numPr>
      </w:pPr>
      <w:r>
        <w:rPr>
          <w:bCs/>
          <w:b/>
        </w:rPr>
        <w:t xml:space="preserve">Lãi suất:</w:t>
      </w:r>
      <w:r>
        <w:t xml:space="preserve"> </w:t>
      </w:r>
      <w:r>
        <w:t xml:space="preserve">cộng thêm 0,5 và 1,0 điểm %/năm vào lãi tiền gửi (cả lãi phi rủi ro lẫn lợi nhuận phần tiền mặt), xấp xỉ lãi suất bình quân của các ngân hàng thương mại.</w:t>
      </w:r>
    </w:p>
    <w:p>
      <w:pPr>
        <w:numPr>
          <w:ilvl w:val="0"/>
          <w:numId w:val="1012"/>
        </w:numPr>
      </w:pPr>
      <w:r>
        <w:rPr>
          <w:bCs/>
          <w:b/>
        </w:rPr>
        <w:t xml:space="preserve">Phần tiền mặt:</w:t>
      </w:r>
      <w:r>
        <w:t xml:space="preserve"> </w:t>
      </w:r>
      <w:r>
        <w:t xml:space="preserve">tắt chênh lệch kỳ hạn (phần tiền mặt luôn hưởng lãi 12 tháng).</w:t>
      </w:r>
    </w:p>
    <w:p>
      <w:pPr>
        <w:numPr>
          <w:ilvl w:val="0"/>
          <w:numId w:val="1012"/>
        </w:numPr>
      </w:pPr>
      <w:r>
        <w:rPr>
          <w:bCs/>
          <w:b/>
        </w:rPr>
        <w:t xml:space="preserve">Chi phí:</w:t>
      </w:r>
      <w:r>
        <w:t xml:space="preserve"> </w:t>
      </w:r>
      <w:r>
        <w:t xml:space="preserve">phí đồng nhất 0,15% cho mọi lớp.</w:t>
      </w:r>
    </w:p>
    <w:p>
      <w:pPr>
        <w:numPr>
          <w:ilvl w:val="0"/>
          <w:numId w:val="1012"/>
        </w:numPr>
      </w:pPr>
      <w:r>
        <w:rPr>
          <w:bCs/>
          <w:b/>
        </w:rPr>
        <w:t xml:space="preserve">Dữ liệu vàng:</w:t>
      </w:r>
      <w:r>
        <w:t xml:space="preserve"> </w:t>
      </w:r>
      <w:r>
        <w:t xml:space="preserve">bỏ toàn bộ giá vàng dựng lại; vàng chỉ vào danh mục khi có đủ 24 tháng giá thật.</w:t>
      </w:r>
    </w:p>
    <w:p>
      <w:pPr>
        <w:numPr>
          <w:ilvl w:val="0"/>
          <w:numId w:val="1012"/>
        </w:numPr>
      </w:pPr>
      <w:r>
        <w:rPr>
          <w:bCs/>
          <w:b/>
        </w:rPr>
        <w:t xml:space="preserve">Tập tài sản:</w:t>
      </w:r>
      <w:r>
        <w:t xml:space="preserve"> </w:t>
      </w:r>
      <w:r>
        <w:t xml:space="preserve">bản 6 lớp gốc với VN-Index và ETF tách riêng.</w:t>
      </w:r>
    </w:p>
    <w:p>
      <w:pPr>
        <w:numPr>
          <w:ilvl w:val="0"/>
          <w:numId w:val="1012"/>
        </w:numPr>
      </w:pPr>
      <w:r>
        <w:rPr>
          <w:bCs/>
          <w:b/>
        </w:rPr>
        <w:t xml:space="preserve">Quan điểm BL:</w:t>
      </w:r>
      <w:r>
        <w:t xml:space="preserve"> </w:t>
      </w:r>
      <w:r>
        <w:t xml:space="preserve">cho phép quan điểm cho trái phiếu.</w:t>
      </w:r>
    </w:p>
    <w:p>
      <w:pPr>
        <w:pStyle w:val="FirstParagraph"/>
      </w:pPr>
      <w:r>
        <w:t xml:space="preserve">Kết quả được xem là vững nếu thứ hạng các phương pháp không đổi đáng kể qua các biến thể.</w:t>
      </w:r>
    </w:p>
    <w:bookmarkEnd w:id="83"/>
    <w:bookmarkEnd w:id="84"/>
    <w:bookmarkStart w:id="91" w:name="kiểm-định-thống-kê"/>
    <w:p>
      <w:pPr>
        <w:pStyle w:val="Heading2"/>
      </w:pPr>
      <w:r>
        <w:t xml:space="preserve">3.8 Kiểm định thống kê</w:t>
      </w:r>
    </w:p>
    <w:bookmarkStart w:id="85" w:name="giả-thuyết-và-họ-kiểm-định"/>
    <w:p>
      <w:pPr>
        <w:pStyle w:val="Heading3"/>
      </w:pPr>
      <w:r>
        <w:t xml:space="preserve">3.8.1 Giả thuyết và họ kiểm định</w:t>
      </w:r>
    </w:p>
    <w:p>
      <w:pPr>
        <w:pStyle w:val="FirstParagraph"/>
      </w:pPr>
      <w:r>
        <w:t xml:space="preserve">Các giả thuyết được phát biểu dưới dạng so sánh hệ số Sharpe giữa hai danh mục trên kịch bản chính (Cân bằng / Trung hạn). Mỗi giả thuyết tạo thành một họ kiểm định riêng để các cặp phụ không làm loãng các cặp chính.</w:t>
      </w:r>
    </w:p>
    <w:p>
      <w:pPr>
        <w:pStyle w:val="TableCaption"/>
      </w:pPr>
      <w:r>
        <w:t xml:space="preserve">Bảng 3.12. Giả thuyết nghiên cứu và các cặp so sánh</w:t>
      </w:r>
    </w:p>
    <w:tbl>
      <w:tblPr>
        <w:tblStyle w:val="Table"/>
        <w:tblW w:type="pct" w:w="5000"/>
        <w:jc w:val="center"/>
        <w:tblLook w:firstRow="1" w:lastRow="0" w:firstColumn="0" w:lastColumn="0" w:noHBand="0" w:noVBand="0" w:val="0020"/>
        <w:tblCaption w:val="Bảng 3.12. Giả thuyết nghiên cứu và các cặp so sánh"/>
      </w:tblPr>
      <w:tblGrid>
        <w:gridCol w:w="957"/>
        <w:gridCol w:w="3481"/>
        <w:gridCol w:w="3481"/>
      </w:tblGrid>
      <w:tr>
        <w:trPr>
          <w:tblHeader w:val="true"/>
        </w:trPr>
        <w:tc>
          <w:tcPr/>
          <w:p>
            <w:pPr>
              <w:pStyle w:val="Compact"/>
              <w:jc w:val="center"/>
            </w:pPr>
            <w:r>
              <w:rPr>
                <w:b/>
              </w:rPr>
              <w:t xml:space="preserve">Giả thuyết</w:t>
            </w:r>
          </w:p>
        </w:tc>
        <w:tc>
          <w:tcPr/>
          <w:p>
            <w:pPr>
              <w:pStyle w:val="Compact"/>
              <w:jc w:val="center"/>
            </w:pPr>
            <w:r>
              <w:rPr>
                <w:b/>
              </w:rPr>
              <w:t xml:space="preserve">Nội dung</w:t>
            </w:r>
          </w:p>
        </w:tc>
        <w:tc>
          <w:tcPr/>
          <w:p>
            <w:pPr>
              <w:pStyle w:val="Compact"/>
              <w:jc w:val="center"/>
            </w:pPr>
            <w:r>
              <w:rPr>
                <w:b/>
              </w:rPr>
              <w:t xml:space="preserve">Cặp so sánh</w:t>
            </w:r>
          </w:p>
        </w:tc>
      </w:tr>
      <w:tr>
        <w:trPr>
          <w:cantSplit/>
        </w:trPr>
        <w:tc>
          <w:tcPr/>
          <w:p>
            <w:pPr>
              <w:pStyle w:val="Compact"/>
              <w:jc w:val="left"/>
            </w:pPr>
            <w:r>
              <w:t xml:space="preserve">H1</w:t>
            </w:r>
          </w:p>
        </w:tc>
        <w:tc>
          <w:tcPr/>
          <w:p>
            <w:pPr>
              <w:pStyle w:val="Compact"/>
              <w:jc w:val="left"/>
            </w:pPr>
            <w:r>
              <w:t xml:space="preserve">Phương pháp tối ưu có Sharpe khác danh mục phân bổ đều</w:t>
            </w:r>
          </w:p>
        </w:tc>
        <w:tc>
          <w:tcPr/>
          <w:p>
            <w:pPr>
              <w:pStyle w:val="Compact"/>
              <w:jc w:val="left"/>
            </w:pPr>
            <w:r>
              <w:t xml:space="preserve">Markowitz, RP, HRP so với EW (3 cặp)</w:t>
            </w:r>
          </w:p>
        </w:tc>
      </w:tr>
      <w:tr>
        <w:trPr>
          <w:cantSplit/>
        </w:trPr>
        <w:tc>
          <w:tcPr/>
          <w:p>
            <w:pPr>
              <w:pStyle w:val="Compact"/>
              <w:jc w:val="left"/>
            </w:pPr>
            <w:r>
              <w:t xml:space="preserve">H2</w:t>
            </w:r>
          </w:p>
        </w:tc>
        <w:tc>
          <w:tcPr/>
          <w:p>
            <w:pPr>
              <w:pStyle w:val="Compact"/>
              <w:jc w:val="left"/>
            </w:pPr>
            <w:r>
              <w:t xml:space="preserve">Quan điểm học máy cải thiện Markowitz</w:t>
            </w:r>
          </w:p>
        </w:tc>
        <w:tc>
          <w:tcPr/>
          <w:p>
            <w:pPr>
              <w:pStyle w:val="Compact"/>
              <w:jc w:val="left"/>
            </w:pPr>
            <w:r>
              <w:t xml:space="preserve">BL–Elastic Net, BL–LightGBM so với Markowitz, và so chéo hai nguồn quan điểm (3 cặp)</w:t>
            </w:r>
          </w:p>
        </w:tc>
      </w:tr>
      <w:tr>
        <w:trPr>
          <w:cantSplit/>
        </w:trPr>
        <w:tc>
          <w:tcPr/>
          <w:p>
            <w:pPr>
              <w:pStyle w:val="Compact"/>
              <w:jc w:val="left"/>
            </w:pPr>
            <w:r>
              <w:t xml:space="preserve">H3</w:t>
            </w:r>
          </w:p>
        </w:tc>
        <w:tc>
          <w:tcPr/>
          <w:p>
            <w:pPr>
              <w:pStyle w:val="Compact"/>
              <w:jc w:val="left"/>
            </w:pPr>
            <w:r>
              <w:t xml:space="preserve">Danh mục 5 lớp tốt hơn danh mục 2 lớp cổ phiếu–trái phiếu</w:t>
            </w:r>
          </w:p>
        </w:tc>
        <w:tc>
          <w:tcPr/>
          <w:p>
            <w:pPr>
              <w:pStyle w:val="Compact"/>
              <w:jc w:val="left"/>
            </w:pPr>
            <w:r>
              <w:t xml:space="preserve">5 phương pháp chính, mỗi phương pháp chạy trên 5 lớp và 2 lớp (5 cặp)</w:t>
            </w:r>
          </w:p>
        </w:tc>
      </w:tr>
      <w:tr>
        <w:trPr>
          <w:cantSplit/>
        </w:trPr>
        <w:tc>
          <w:tcPr/>
          <w:p>
            <w:pPr>
              <w:pStyle w:val="Compact"/>
              <w:jc w:val="left"/>
            </w:pPr>
            <w:r>
              <w:t xml:space="preserve">H4 (phụ lục)</w:t>
            </w:r>
          </w:p>
        </w:tc>
        <w:tc>
          <w:tcPr/>
          <w:p>
            <w:pPr>
              <w:pStyle w:val="Compact"/>
              <w:jc w:val="left"/>
            </w:pPr>
            <w:r>
              <w:t xml:space="preserve">RL khác các phương pháp còn lại</w:t>
            </w:r>
          </w:p>
        </w:tc>
        <w:tc>
          <w:tcPr/>
          <w:p>
            <w:pPr>
              <w:pStyle w:val="Compact"/>
              <w:jc w:val="left"/>
            </w:pPr>
            <w:r>
              <w:t xml:space="preserve">RL so với 5 phương pháp chính (5 cặp)</w:t>
            </w:r>
          </w:p>
        </w:tc>
      </w:tr>
    </w:tbl>
    <w:p>
      <w:pPr>
        <w:pStyle w:val="BodyText"/>
        <w:spacing w:before="200"/>
      </w:pPr>
      <w:r>
        <w:t xml:space="preserve">MLP_MVO so với Markowitz được báo cáo như một họ mở rộng riêng. Với H3, danh mục 2 lớp được chạy qua đúng bộ máy backtest của danh mục 5 lớp (cùng giai đoạn, ước lượng, tần suất tái cân bằng, chi phí và dải khẩu vị), chỉ khác tập tài sản. Vì trong giai đoạn vàng tăng mạnh, H3 dễ trở thành phép so sánh</w:t>
      </w:r>
      <w:r>
        <w:t xml:space="preserve"> </w:t>
      </w:r>
      <w:r>
        <w:t xml:space="preserve">“</w:t>
      </w:r>
      <w:r>
        <w:t xml:space="preserve">có vàng và không có vàng</w:t>
      </w:r>
      <w:r>
        <w:t xml:space="preserve">”</w:t>
      </w:r>
      <w:r>
        <w:t xml:space="preserve">, nghiên cứu chạy thêm ba danh mục trung gian, mỗi danh mục thêm đúng một lớp vào cổ phiếu–trái phiếu (thêm vàng, thêm cổ phiếu BĐS, thêm tiền mặt), để xác định lớp nào tạo ra chênh lệch.</w:t>
      </w:r>
    </w:p>
    <w:bookmarkEnd w:id="85"/>
    <w:bookmarkStart w:id="86" w:name="kiểm-định-chênh-lệch-sharpe-1"/>
    <w:p>
      <w:pPr>
        <w:pStyle w:val="Heading3"/>
      </w:pPr>
      <w:r>
        <w:t xml:space="preserve">3.8.2 Kiểm định chênh lệch Sharpe</w:t>
      </w:r>
    </w:p>
    <w:p>
      <w:pPr>
        <w:pStyle w:val="FirstParagraph"/>
      </w:pPr>
      <w:r>
        <w:t xml:space="preserve">Kiểm định Jobson–Korkie (1981) có hiệu chỉnh Memmel (2003) giả định lợi nhuận độc lập và phân phối chuẩn, điều không phù hợp với lợi nhuận tháng có đuôi dày và tự tương quan của các tài sản Việt Nam (mục 4.1). Kiểm định chính vì vậy là phương pháp của Ledoit và Wolf (2008). Gọi υ = (μ</w:t>
      </w:r>
      <w:r>
        <w:rPr>
          <w:vertAlign w:val="subscript"/>
        </w:rPr>
        <w:t xml:space="preserve">A</w:t>
      </w:r>
      <w:r>
        <w:t xml:space="preserve">, μ</w:t>
      </w:r>
      <w:r>
        <w:rPr>
          <w:vertAlign w:val="subscript"/>
        </w:rPr>
        <w:t xml:space="preserve">B</w:t>
      </w:r>
      <w:r>
        <w:t xml:space="preserve">, E[r</w:t>
      </w:r>
      <w:r>
        <w:rPr>
          <w:vertAlign w:val="subscript"/>
        </w:rPr>
        <w:t xml:space="preserve">A</w:t>
      </w:r>
      <w:r>
        <w:t xml:space="preserve">²], E[r</w:t>
      </w:r>
      <w:r>
        <w:rPr>
          <w:vertAlign w:val="subscript"/>
        </w:rPr>
        <w:t xml:space="preserve">B</w:t>
      </w:r>
      <w:r>
        <w:t xml:space="preserve">²]) là véc-tơ mô-men của hai chuỗi lợi nhuận vượt trội; chênh lệch Sharpe là hàm f(υ) của véc-tơ này, và sai số chuẩn theo phương pháp delta là:</w:t>
      </w:r>
    </w:p>
    <w:p>
      <w:pPr>
        <w:pStyle w:val="BodyText"/>
      </w:pPr>
      <m:oMathPara>
        <m:oMathParaPr>
          <m:jc m:val="center"/>
        </m:oMathParaPr>
        <m:oMath>
          <m:r>
            <m:t>Δ</m:t>
          </m:r>
          <m:r>
            <m:t>S</m:t>
          </m:r>
          <m:r>
            <m:t>R</m:t>
          </m:r>
          <m:r>
            <m:rPr>
              <m:sty m:val="p"/>
            </m:rPr>
            <m:t>=</m:t>
          </m:r>
          <m:f>
            <m:fPr>
              <m:type m:val="bar"/>
            </m:fPr>
            <m:num>
              <m:sSub>
                <m:e>
                  <m:r>
                    <m:t>μ</m:t>
                  </m:r>
                </m:e>
                <m:sub>
                  <m:r>
                    <m:t>A</m:t>
                  </m:r>
                </m:sub>
              </m:sSub>
            </m:num>
            <m:den>
              <m:sSub>
                <m:e>
                  <m:r>
                    <m:t>σ</m:t>
                  </m:r>
                </m:e>
                <m:sub>
                  <m:r>
                    <m:t>A</m:t>
                  </m:r>
                </m:sub>
              </m:sSub>
            </m:den>
          </m:f>
          <m:r>
            <m:rPr>
              <m:sty m:val="p"/>
            </m:rPr>
            <m:t>−</m:t>
          </m:r>
          <m:f>
            <m:fPr>
              <m:type m:val="bar"/>
            </m:fPr>
            <m:num>
              <m:sSub>
                <m:e>
                  <m:r>
                    <m:t>μ</m:t>
                  </m:r>
                </m:e>
                <m:sub>
                  <m:r>
                    <m:t>B</m:t>
                  </m:r>
                </m:sub>
              </m:sSub>
            </m:num>
            <m:den>
              <m:sSub>
                <m:e>
                  <m:r>
                    <m:t>σ</m:t>
                  </m:r>
                </m:e>
                <m:sub>
                  <m:r>
                    <m:t>B</m:t>
                  </m:r>
                </m:sub>
              </m:sSub>
            </m:den>
          </m:f>
          <m:r>
            <m:rPr>
              <m:sty m:val="p"/>
            </m:rPr>
            <m:t>,</m:t>
          </m:r>
          <m:r>
            <m:t>  </m:t>
          </m:r>
          <m:r>
            <m:t>S</m:t>
          </m:r>
          <m:r>
            <m:t>E</m:t>
          </m:r>
          <m:d>
            <m:dPr>
              <m:begChr m:val="("/>
              <m:endChr m:val=")"/>
              <m:sepChr m:val=""/>
              <m:grow/>
            </m:dPr>
            <m:e>
              <m:r>
                <m:t>Δ</m:t>
              </m:r>
              <m:r>
                <m:t>S</m:t>
              </m:r>
              <m:r>
                <m:t>R</m:t>
              </m:r>
            </m:e>
          </m:d>
          <m:r>
            <m:rPr>
              <m:sty m:val="p"/>
            </m:rPr>
            <m:t>=</m:t>
          </m:r>
          <m:rad>
            <m:radPr>
              <m:degHide m:val="on"/>
            </m:radPr>
            <m:deg/>
            <m:e>
              <m:f>
                <m:fPr>
                  <m:type m:val="bar"/>
                </m:fPr>
                <m:num>
                  <m:r>
                    <m:rPr>
                      <m:sty m:val="p"/>
                    </m:rPr>
                    <m:t>∇</m:t>
                  </m:r>
                  <m:r>
                    <m:t>f</m:t>
                  </m:r>
                  <m:sSup>
                    <m:e>
                      <m:d>
                        <m:dPr>
                          <m:begChr m:val="("/>
                          <m:endChr m:val=")"/>
                          <m:sepChr m:val=""/>
                          <m:grow/>
                        </m:dPr>
                        <m:e>
                          <m:acc>
                            <m:accPr>
                              <m:chr m:val="̂"/>
                            </m:accPr>
                            <m:e>
                              <m:r>
                                <m:t>υ</m:t>
                              </m:r>
                            </m:e>
                          </m:acc>
                        </m:e>
                      </m:d>
                    </m:e>
                    <m:sup>
                      <m:r>
                        <m:rPr>
                          <m:sty m:val="p"/>
                        </m:rPr>
                        <m:t>⊤</m:t>
                      </m:r>
                    </m:sup>
                  </m:sSup>
                  <m:r>
                    <m:t> </m:t>
                  </m:r>
                  <m:acc>
                    <m:accPr>
                      <m:chr m:val="̂"/>
                    </m:accPr>
                    <m:e>
                      <m:r>
                        <m:t>Ψ</m:t>
                      </m:r>
                    </m:e>
                  </m:acc>
                  <m:r>
                    <m:t> </m:t>
                  </m:r>
                  <m:r>
                    <m:rPr>
                      <m:sty m:val="p"/>
                    </m:rPr>
                    <m:t>∇</m:t>
                  </m:r>
                  <m:r>
                    <m:t>f</m:t>
                  </m:r>
                  <m:d>
                    <m:dPr>
                      <m:begChr m:val="("/>
                      <m:endChr m:val=")"/>
                      <m:sepChr m:val=""/>
                      <m:grow/>
                    </m:dPr>
                    <m:e>
                      <m:acc>
                        <m:accPr>
                          <m:chr m:val="̂"/>
                        </m:accPr>
                        <m:e>
                          <m:r>
                            <m:t>υ</m:t>
                          </m:r>
                        </m:e>
                      </m:acc>
                    </m:e>
                  </m:d>
                </m:num>
                <m:den>
                  <m:r>
                    <m:t>T</m:t>
                  </m:r>
                </m:den>
              </m:f>
            </m:e>
          </m:rad>
        </m:oMath>
      </m:oMathPara>
    </w:p>
    <w:p>
      <w:pPr>
        <w:pStyle w:val="FirstParagraph"/>
      </w:pPr>
      <w:r>
        <w:t xml:space="preserve">trong đó Ψ là ma trận hiệp phương sai dài hạn của véc-tơ mô-men, ước lượng vững với phương sai thay đổi và tự tương quan. Giá trị p lấy từ studentized circular block bootstrap: chuỗi lợi nhuận của hai danh mục được lấy mẫu lại cùng nhau theo các khối 4 tháng liên tiếp (nối vòng ở cuối chuỗi), thống kê được chuẩn hóa bằng sai số chuẩn tính lại trên từng mẫu, với 4.999 lần lặp. Khoảng tin cậy 90% được tính từ phân phối bootstrap này. Jobson–Korkie–Memmel được giữ lại để đối chiếu.</w:t>
      </w:r>
    </w:p>
    <w:bookmarkEnd w:id="86"/>
    <w:bookmarkStart w:id="87" w:name="kiểm-soát-kiểm-định-bội"/>
    <w:p>
      <w:pPr>
        <w:pStyle w:val="Heading3"/>
      </w:pPr>
      <w:r>
        <w:t xml:space="preserve">3.8.3 Kiểm soát kiểm định bội</w:t>
      </w:r>
    </w:p>
    <w:p>
      <w:pPr>
        <w:pStyle w:val="FirstParagraph"/>
      </w:pPr>
      <w:r>
        <w:t xml:space="preserve">Trong mỗi họ, giá trị p được điều chỉnh bằng thủ tục Holm (1979) ở mức ý nghĩa α = 0,10. Sắp p tăng dần p_(1) ≤ … ≤ p_(m); bác bỏ H_(k) nếu p_(j) ≤ α/(m − j + 1) với mọi j ≤ k. Với họ 3 cặp, ngưỡng lần lượt là 0,033; 0,050 và 0,100; với họ 5 cặp là 0,020; 0,025; 0,033; 0,050 và 0,100. Để tham khảo, luận văn báo cáo thêm kết quả Holm trên toàn bộ các cặp H1 + H2 + H3 gộp chung (bảo thủ hơn).</w:t>
      </w:r>
    </w:p>
    <w:bookmarkEnd w:id="87"/>
    <w:bookmarkStart w:id="88" w:name="độ-mạnh-kiểm-định"/>
    <w:p>
      <w:pPr>
        <w:pStyle w:val="Heading3"/>
      </w:pPr>
      <w:r>
        <w:t xml:space="preserve">3.8.4 Độ mạnh kiểm định</w:t>
      </w:r>
    </w:p>
    <w:p>
      <w:pPr>
        <w:pStyle w:val="FirstParagraph"/>
      </w:pPr>
      <w:r>
        <w:t xml:space="preserve">Với 102 tháng, kiểm định chỉ phát hiện được chênh lệch Sharpe lớn. Mỗi cặp vì vậy được báo cáo kèm chênh lệch tối thiểu phát hiện được (MDE) ở α = 0,10 hai phía và độ mạnh 80%, khoảng tin cậy 90% và số tháng cần thiết để phát hiện chênh lệch 0,3:</w:t>
      </w:r>
    </w:p>
    <w:p>
      <w:pPr>
        <w:pStyle w:val="BodyText"/>
      </w:pPr>
      <m:oMathPara>
        <m:oMathParaPr>
          <m:jc m:val="center"/>
        </m:oMathParaPr>
        <m:oMath>
          <m:r>
            <m:t>M</m:t>
          </m:r>
          <m:r>
            <m:t>D</m:t>
          </m:r>
          <m:r>
            <m:t>E</m:t>
          </m:r>
          <m:r>
            <m:rPr>
              <m:sty m:val="p"/>
            </m:rPr>
            <m:t>=</m:t>
          </m:r>
          <m:d>
            <m:dPr>
              <m:begChr m:val="("/>
              <m:endChr m:val=")"/>
              <m:sepChr m:val=""/>
              <m:grow/>
            </m:dPr>
            <m:e>
              <m:sSub>
                <m:e>
                  <m:r>
                    <m:t>z</m:t>
                  </m:r>
                </m:e>
                <m:sub>
                  <m:r>
                    <m:t>0</m:t>
                  </m:r>
                  <m:r>
                    <m:rPr>
                      <m:sty m:val="p"/>
                    </m:rPr>
                    <m:t>,</m:t>
                  </m:r>
                  <m:r>
                    <m:t>95</m:t>
                  </m:r>
                </m:sub>
              </m:sSub>
              <m:r>
                <m:rPr>
                  <m:sty m:val="p"/>
                </m:rPr>
                <m:t>+</m:t>
              </m:r>
              <m:sSub>
                <m:e>
                  <m:r>
                    <m:t>z</m:t>
                  </m:r>
                </m:e>
                <m:sub>
                  <m:r>
                    <m:t>0</m:t>
                  </m:r>
                  <m:r>
                    <m:rPr>
                      <m:sty m:val="p"/>
                    </m:rPr>
                    <m:t>,</m:t>
                  </m:r>
                  <m:r>
                    <m:t>80</m:t>
                  </m:r>
                </m:sub>
              </m:sSub>
            </m:e>
          </m:d>
          <m:r>
            <m:rPr>
              <m:sty m:val="p"/>
            </m:rPr>
            <m:t>×</m:t>
          </m:r>
          <m:r>
            <m:t>S</m:t>
          </m:r>
          <m:r>
            <m:t>E</m:t>
          </m:r>
          <m:d>
            <m:dPr>
              <m:begChr m:val="("/>
              <m:endChr m:val=")"/>
              <m:sepChr m:val=""/>
              <m:grow/>
            </m:dPr>
            <m:e>
              <m:r>
                <m:t>Δ</m:t>
              </m:r>
              <m:r>
                <m:t>S</m:t>
              </m:r>
              <m:r>
                <m:t>R</m:t>
              </m:r>
            </m:e>
          </m:d>
          <m:r>
            <m:rPr>
              <m:sty m:val="p"/>
            </m:rPr>
            <m:t>,</m:t>
          </m:r>
          <m:r>
            <m:t>  </m:t>
          </m:r>
          <m:sSub>
            <m:e>
              <m:r>
                <m:t>T</m:t>
              </m:r>
            </m:e>
            <m:sub>
              <m:r>
                <m:t>0</m:t>
              </m:r>
              <m:r>
                <m:rPr>
                  <m:sty m:val="p"/>
                </m:rPr>
                <m:t>,</m:t>
              </m:r>
              <m:r>
                <m:t>3</m:t>
              </m:r>
            </m:sub>
          </m:sSub>
          <m:r>
            <m:rPr>
              <m:sty m:val="p"/>
            </m:rPr>
            <m:t>=</m:t>
          </m:r>
          <m:r>
            <m:t>T</m:t>
          </m:r>
          <m:sSup>
            <m:e>
              <m:d>
                <m:dPr>
                  <m:begChr m:val="("/>
                  <m:endChr m:val=")"/>
                  <m:sepChr m:val=""/>
                  <m:grow/>
                </m:dPr>
                <m:e>
                  <m:f>
                    <m:fPr>
                      <m:type m:val="bar"/>
                    </m:fPr>
                    <m:num>
                      <m:r>
                        <m:t>M</m:t>
                      </m:r>
                      <m:r>
                        <m:t>D</m:t>
                      </m:r>
                      <m:r>
                        <m:t>E</m:t>
                      </m:r>
                    </m:num>
                    <m:den>
                      <m:r>
                        <m:t>0</m:t>
                      </m:r>
                      <m:r>
                        <m:rPr>
                          <m:sty m:val="p"/>
                        </m:rPr>
                        <m:t>,</m:t>
                      </m:r>
                      <m:r>
                        <m:t>3</m:t>
                      </m:r>
                    </m:den>
                  </m:f>
                </m:e>
              </m:d>
            </m:e>
            <m:sup>
              <m:r>
                <m:t>2</m:t>
              </m:r>
            </m:sup>
          </m:sSup>
        </m:oMath>
      </m:oMathPara>
    </w:p>
    <w:p>
      <w:pPr>
        <w:pStyle w:val="FirstParagraph"/>
      </w:pPr>
      <w:r>
        <w:t xml:space="preserve">với z</w:t>
      </w:r>
      <w:r>
        <w:rPr>
          <w:vertAlign w:val="subscript"/>
        </w:rPr>
        <w:t xml:space="preserve">0,95</w:t>
      </w:r>
      <w:r>
        <w:t xml:space="preserve"> </w:t>
      </w:r>
      <w:r>
        <w:t xml:space="preserve">≈ 1,645 và z</w:t>
      </w:r>
      <w:r>
        <w:rPr>
          <w:vertAlign w:val="subscript"/>
        </w:rPr>
        <w:t xml:space="preserve">0,80</w:t>
      </w:r>
      <w:r>
        <w:t xml:space="preserve"> </w:t>
      </w:r>
      <w:r>
        <w:t xml:space="preserve">≈ 0,842, nên MDE xấp xỉ 2,5 lần sai số chuẩn. Công thức T</w:t>
      </w:r>
      <w:r>
        <w:rPr>
          <w:vertAlign w:val="subscript"/>
        </w:rPr>
        <w:t xml:space="preserve">0,3</w:t>
      </w:r>
      <w:r>
        <w:t xml:space="preserve"> </w:t>
      </w:r>
      <w:r>
        <w:t xml:space="preserve">dựa trên việc sai số chuẩn giảm theo căn bậc hai của số tháng. Khi không bác bỏ được giả thuyết không, kết luận là</w:t>
      </w:r>
      <w:r>
        <w:t xml:space="preserve"> </w:t>
      </w:r>
      <w:r>
        <w:t xml:space="preserve">“</w:t>
      </w:r>
      <w:r>
        <w:t xml:space="preserve">dữ liệu chưa đủ độ mạnh để phân biệt</w:t>
      </w:r>
      <w:r>
        <w:t xml:space="preserve">”</w:t>
      </w:r>
      <w:r>
        <w:t xml:space="preserve">, không phải</w:t>
      </w:r>
      <w:r>
        <w:t xml:space="preserve"> </w:t>
      </w:r>
      <w:r>
        <w:t xml:space="preserve">“</w:t>
      </w:r>
      <w:r>
        <w:t xml:space="preserve">hai phương pháp như nhau</w:t>
      </w:r>
      <w:r>
        <w:t xml:space="preserve">”</w:t>
      </w:r>
      <w:r>
        <w:t xml:space="preserve">.</w:t>
      </w:r>
    </w:p>
    <w:bookmarkEnd w:id="88"/>
    <w:bookmarkStart w:id="89" w:name="deflated-sharpe-ratio"/>
    <w:p>
      <w:pPr>
        <w:pStyle w:val="Heading3"/>
      </w:pPr>
      <w:r>
        <w:t xml:space="preserve">3.8.5 Deflated Sharpe Ratio</w:t>
      </w:r>
    </w:p>
    <w:p>
      <w:pPr>
        <w:pStyle w:val="FirstParagraph"/>
      </w:pPr>
      <w:r>
        <w:t xml:space="preserve">Trong quá trình xây dựng, nhiều cấu hình đã được thử, nên Sharpe cao nhất có thể chỉ là kết quả của việc chọn lọc. Deflated Sharpe Ratio (Bailey và López de Prado, 2014; công thức ở mục 2.5.3) ước lượng xác suất Sharpe thực dương sau khi điều chỉnh cho số cấu hình đã thử N, độ lệch và độ nhọn của lợi nhuận. Luận văn dùng N = 63 (7 phương pháp × 9 kịch bản) và N = 252 (4 vòng chỉnh sửa thiết kế × 63), tương ứng một ước tính thấp và một ước tính cao của số cấu hình thực sự đã được xem xét.</w:t>
      </w:r>
    </w:p>
    <w:bookmarkEnd w:id="89"/>
    <w:bookmarkStart w:id="90" w:name="mô-phỏng-bootstrap-và-phân-rã-đóng-góp"/>
    <w:p>
      <w:pPr>
        <w:pStyle w:val="Heading3"/>
      </w:pPr>
      <w:r>
        <w:t xml:space="preserve">3.8.6 Mô phỏng bootstrap và phân rã đóng góp</w:t>
      </w:r>
    </w:p>
    <w:p>
      <w:pPr>
        <w:pStyle w:val="FirstParagraph"/>
      </w:pPr>
      <w:r>
        <w:t xml:space="preserve">Kiểm định trên một lịch sử duy nhất không cho biết thứ hạng các phương pháp có ổn định hay không. Luận văn mô phỏng 1.000 lịch sử bằng stationary bootstrap (Politis và Romano, 1994; độ dài khối trung bình 6 tháng) trên lợi nhuận tháng của cả 5 lớp cùng lúc, kèm các biến kinh tế của đúng tháng được lấy mẫu, nên giữ được tương quan chéo và tự tương quan ngắn hạn. Trên mỗi lịch sử, 5 phương pháp chính chạy qua cùng bộ máy backtest, kể cả việc huấn luyện lại Elastic Net. Kết quả báo cáo gồm phân phối Sharpe ngoài mẫu, xác suất mỗi phương pháp đứng đầu và P(A &gt; B) cho các cặp H1, H2. Để giới hạn thời gian tính, BL trong mô phỏng dùng Elastic Net với siêu tham số cố định; MLP_MVO và RL không chạy trong mô phỏng.</w:t>
      </w:r>
    </w:p>
    <w:p>
      <w:pPr>
        <w:pStyle w:val="BodyText"/>
      </w:pPr>
      <w:r>
        <w:t xml:space="preserve">Cuối cùng, hiệu quả của từng phương pháp được phân rã theo hai cách. Cách thứ nhất phân rã lợi nhuận thành đóng góp của từng lớp tài sản, Σ</w:t>
      </w:r>
      <w:r>
        <w:rPr>
          <w:vertAlign w:val="subscript"/>
        </w:rPr>
        <w:t xml:space="preserve">t</w:t>
      </w:r>
      <w:r>
        <w:t xml:space="preserve"> </w:t>
      </w:r>
      <w:r>
        <w:t xml:space="preserve">w</w:t>
      </w:r>
      <w:r>
        <w:rPr>
          <w:vertAlign w:val="subscript"/>
        </w:rPr>
        <w:t xml:space="preserve">i,t</w:t>
      </w:r>
      <w:r>
        <w:t xml:space="preserve"> </w:t>
      </w:r>
      <w:r>
        <w:t xml:space="preserve">r</w:t>
      </w:r>
      <w:r>
        <w:rPr>
          <w:vertAlign w:val="subscript"/>
        </w:rPr>
        <w:t xml:space="preserve">i,t+1</w:t>
      </w:r>
      <w:r>
        <w:t xml:space="preserve"> </w:t>
      </w:r>
      <w:r>
        <w:t xml:space="preserve">chia cho tổng lợi nhuận danh mục trước phí. Cách thứ hai phân rã Sharpe thành ba hiệu ứng: hiệu ứng dải (Sharpe thực tế trừ Sharpe của cùng phương pháp khi không có dải khẩu vị), hiệu ứng chia trong nhóm (Sharpe thực tế trừ Sharpe của danh mục có cùng tỷ trọng ba nhóm rủi ro, phòng thủ và tiền mặt nhưng chia đều trong mỗi nhóm) và hiệu ứng chia nhóm (Sharpe của danh mục chia đều trong nhóm trừ Sharpe của Equal Weight cùng khẩu vị). Hai phân rã này giúp giải thích nguồn gốc của các chênh lệch hiệu quả ở Chương 4.</w:t>
      </w:r>
    </w:p>
    <w:bookmarkEnd w:id="90"/>
    <w:bookmarkEnd w:id="91"/>
    <w:bookmarkStart w:id="92" w:name="tóm-tắt-chương-1"/>
    <w:p>
      <w:pPr>
        <w:pStyle w:val="Heading2"/>
      </w:pPr>
      <w:r>
        <w:t xml:space="preserve">3.9 Tóm tắt chương</w:t>
      </w:r>
    </w:p>
    <w:p>
      <w:pPr>
        <w:pStyle w:val="FirstParagraph"/>
      </w:pPr>
      <w:r>
        <w:t xml:space="preserve">Chương 3 xây dựng một quy trình nghiên cứu thống nhất từ dữ liệu đến kiểm định. Dữ liệu gồm 5 lớp tài sản nhà đầu tư cá nhân Việt Nam tiếp cận được, giai đoạn 02/2016–07/2026, trong đó giá vàng SJC và rổ cổ phiếu bất động sản được dựng theo nguyên tắc point-in-time và được kiểm chứng. Khẩu vị rủi ro được thể hiện bằng dải tỷ trọng nhóm rủi ro và trần 50% mỗi lớp, áp dụng chung cho bảy phương pháp. Hiệp phương sai được ước lượng bằng EWMA kết hợp co Ledoit–Wolf, khử độ trơn cho trái phiếu. Ba mô hình học máy dự báo ngoài mẫu trên biến mục tiêu chuẩn hóa, và dự báo chỉ vào Black–Litterman khi có kỹ năng ngoài mẫu dương, với mức tin cậy bằng trọng số kết hợp tối ưu. Backtest walk-forward 102 tháng trên 9 kịch bản có tính chi phí theo lớp; chênh lệch Sharpe được kiểm định bằng Ledoit–Wolf (2008), điều chỉnh Holm theo họ giả thuyết, báo cáo độ mạnh, Deflated Sharpe và mô phỏng bootstrap. Chương 4 trình bày kết quả theo đúng trình tự này.</w:t>
      </w:r>
    </w:p>
    <w:bookmarkEnd w:id="92"/>
    <w:bookmarkEnd w:id="93"/>
    <w:bookmarkStart w:id="137" w:name="chương-4.-kết-quả-và-thảo-luận"/>
    <w:p>
      <w:pPr>
        <w:pStyle w:val="Heading1"/>
      </w:pPr>
      <w:r>
        <w:t xml:space="preserve">Chương 4. Kết quả và thảo luận</w:t>
      </w:r>
    </w:p>
    <w:p>
      <w:pPr>
        <w:pStyle w:val="FirstParagraph"/>
      </w:pPr>
      <w:r>
        <w:t xml:space="preserve">Chương này trình bày kết quả theo đúng trình tự của Chương 3. Mục 4.1 mô tả đặc điểm của năm lớp tài sản. Mục 4.2 đánh giá kỹ năng dự báo của ba mô hình học máy. Mục 4.3 và 4.4 so sánh hiệu quả của bảy phương pháp trên 9 kịch bản, theo năm và trong các giai đoạn khủng hoảng. Mục 4.5 trình bày kết quả kiểm định giả thuyết H1–H3. Mục 4.6 đánh giá độ vững. Mục 4.7 phân rã nguồn gốc hiệu quả. Mục 4.8 thảo luận kết quả trong mối liên hệ với lý thuyết và các nghiên cứu trước.</w:t>
      </w:r>
    </w:p>
    <w:bookmarkStart w:id="98" w:name="thống-kê-mô-tả-các-lớp-tài-sản"/>
    <w:p>
      <w:pPr>
        <w:pStyle w:val="Heading2"/>
      </w:pPr>
      <w:r>
        <w:t xml:space="preserve">4.1 Thống kê mô tả các lớp tài sản</w:t>
      </w:r>
    </w:p>
    <w:bookmarkStart w:id="97" w:name="lợi-nhuận-rủi-ro-và-phân-phối"/>
    <w:p>
      <w:pPr>
        <w:pStyle w:val="Heading3"/>
      </w:pPr>
      <w:r>
        <w:t xml:space="preserve">4.1.1 Lợi nhuận, rủi ro và phân phối</w:t>
      </w:r>
    </w:p>
    <w:p>
      <w:pPr>
        <w:pStyle w:val="TableCaption"/>
      </w:pPr>
      <w:r>
        <w:t xml:space="preserve">Bảng 4.1. Thống kê mô tả lợi nhuận tháng, 02/2016–07/2026 (126 tháng)</w:t>
      </w:r>
    </w:p>
    <w:tbl>
      <w:tblPr>
        <w:tblStyle w:val="Table"/>
        <w:tblW w:type="pct" w:w="5000"/>
        <w:jc w:val="center"/>
        <w:tblCellMar>
          <w:left w:w="45" w:type="dxa"/>
          <w:right w:w="45" w:type="dxa"/>
        </w:tblCellMar>
        <w:tblLook w:firstRow="1" w:lastRow="0" w:firstColumn="0" w:lastColumn="0" w:noHBand="0" w:noVBand="0" w:val="0020"/>
        <w:tblCaption w:val="Bảng 4.1. Thống kê mô tả lợi nhuận tháng, 02/2016–07/2026 (126 tháng)"/>
      </w:tblPr>
      <w:tblGrid>
        <w:gridCol w:w="1742"/>
        <w:gridCol w:w="1108"/>
        <w:gridCol w:w="871"/>
        <w:gridCol w:w="792"/>
        <w:gridCol w:w="712"/>
        <w:gridCol w:w="792"/>
        <w:gridCol w:w="792"/>
        <w:gridCol w:w="1108"/>
      </w:tblGrid>
      <w:tr>
        <w:trPr>
          <w:tblHeader w:val="true"/>
        </w:trPr>
        <w:tc>
          <w:tcPr/>
          <w:p>
            <w:pPr>
              <w:pStyle w:val="CompactSmall"/>
              <w:jc w:val="center"/>
            </w:pPr>
            <w:r>
              <w:rPr>
                <w:b/>
              </w:rPr>
              <w:t xml:space="preserve">Lớp tài sản</w:t>
            </w:r>
          </w:p>
        </w:tc>
        <w:tc>
          <w:tcPr/>
          <w:p>
            <w:pPr>
              <w:pStyle w:val="CompactSmall"/>
              <w:jc w:val="center"/>
            </w:pPr>
            <w:r>
              <w:rPr>
                <w:b/>
              </w:rPr>
              <w:t xml:space="preserve">Lợi nhuận năm hóa</w:t>
            </w:r>
          </w:p>
        </w:tc>
        <w:tc>
          <w:tcPr/>
          <w:p>
            <w:pPr>
              <w:pStyle w:val="CompactSmall"/>
              <w:jc w:val="center"/>
            </w:pPr>
            <w:r>
              <w:rPr>
                <w:b/>
              </w:rPr>
              <w:t xml:space="preserve">Độ biến động</w:t>
            </w:r>
          </w:p>
        </w:tc>
        <w:tc>
          <w:tcPr/>
          <w:p>
            <w:pPr>
              <w:pStyle w:val="CompactSmall"/>
              <w:jc w:val="center"/>
            </w:pPr>
            <w:r>
              <w:rPr>
                <w:b/>
              </w:rPr>
              <w:t xml:space="preserve">Sharpe</w:t>
            </w:r>
          </w:p>
        </w:tc>
        <w:tc>
          <w:tcPr/>
          <w:p>
            <w:pPr>
              <w:pStyle w:val="CompactSmall"/>
              <w:jc w:val="center"/>
            </w:pPr>
            <w:r>
              <w:rPr>
                <w:b/>
              </w:rPr>
              <w:t xml:space="preserve">Độ lệch</w:t>
            </w:r>
          </w:p>
        </w:tc>
        <w:tc>
          <w:tcPr/>
          <w:p>
            <w:pPr>
              <w:pStyle w:val="CompactSmall"/>
              <w:jc w:val="center"/>
            </w:pPr>
            <w:r>
              <w:rPr>
                <w:b/>
              </w:rPr>
              <w:t xml:space="preserve">Độ nhọn vượt</w:t>
            </w:r>
          </w:p>
        </w:tc>
        <w:tc>
          <w:tcPr/>
          <w:p>
            <w:pPr>
              <w:pStyle w:val="CompactSmall"/>
              <w:jc w:val="center"/>
            </w:pPr>
            <w:r>
              <w:rPr>
                <w:b/>
              </w:rPr>
              <w:t xml:space="preserve">MDD</w:t>
            </w:r>
          </w:p>
        </w:tc>
        <w:tc>
          <w:tcPr/>
          <w:p>
            <w:pPr>
              <w:pStyle w:val="CompactSmall"/>
              <w:jc w:val="center"/>
            </w:pPr>
            <w:r>
              <w:rPr>
                <w:b/>
              </w:rPr>
              <w:t xml:space="preserve">Tự tương quan bậc 1</w:t>
            </w:r>
          </w:p>
        </w:tc>
      </w:tr>
      <w:tr>
        <w:trPr>
          <w:cantSplit/>
        </w:trPr>
        <w:tc>
          <w:tcPr/>
          <w:p>
            <w:pPr>
              <w:pStyle w:val="CompactSmall"/>
              <w:jc w:val="left"/>
            </w:pPr>
            <w:r>
              <w:t xml:space="preserve">Cổ phiếu (E1VFVN30)</w:t>
            </w:r>
          </w:p>
        </w:tc>
        <w:tc>
          <w:tcPr/>
          <w:p>
            <w:pPr>
              <w:pStyle w:val="CompactSmall"/>
              <w:jc w:val="left"/>
            </w:pPr>
            <w:r>
              <w:t xml:space="preserve">13,52%</w:t>
            </w:r>
          </w:p>
        </w:tc>
        <w:tc>
          <w:tcPr/>
          <w:p>
            <w:pPr>
              <w:pStyle w:val="CompactSmall"/>
              <w:jc w:val="left"/>
            </w:pPr>
            <w:r>
              <w:t xml:space="preserve">20,28%</w:t>
            </w:r>
          </w:p>
        </w:tc>
        <w:tc>
          <w:tcPr/>
          <w:p>
            <w:pPr>
              <w:pStyle w:val="CompactSmall"/>
              <w:jc w:val="left"/>
            </w:pPr>
            <w:r>
              <w:t xml:space="preserve">0,44</w:t>
            </w:r>
          </w:p>
        </w:tc>
        <w:tc>
          <w:tcPr/>
          <w:p>
            <w:pPr>
              <w:pStyle w:val="CompactSmall"/>
              <w:jc w:val="left"/>
            </w:pPr>
            <w:r>
              <w:t xml:space="preserve">−0,37</w:t>
            </w:r>
          </w:p>
        </w:tc>
        <w:tc>
          <w:tcPr/>
          <w:p>
            <w:pPr>
              <w:pStyle w:val="CompactSmall"/>
              <w:jc w:val="left"/>
            </w:pPr>
            <w:r>
              <w:t xml:space="preserve">1,57</w:t>
            </w:r>
          </w:p>
        </w:tc>
        <w:tc>
          <w:tcPr/>
          <w:p>
            <w:pPr>
              <w:pStyle w:val="CompactSmall"/>
              <w:jc w:val="left"/>
            </w:pPr>
            <w:r>
              <w:t xml:space="preserve">−43,1%</w:t>
            </w:r>
          </w:p>
        </w:tc>
        <w:tc>
          <w:tcPr/>
          <w:p>
            <w:pPr>
              <w:pStyle w:val="CompactSmall"/>
              <w:jc w:val="left"/>
            </w:pPr>
            <w:r>
              <w:t xml:space="preserve">0,08</w:t>
            </w:r>
          </w:p>
        </w:tc>
      </w:tr>
      <w:tr>
        <w:trPr>
          <w:cantSplit/>
        </w:trPr>
        <w:tc>
          <w:tcPr/>
          <w:p>
            <w:pPr>
              <w:pStyle w:val="CompactSmall"/>
              <w:jc w:val="left"/>
            </w:pPr>
            <w:r>
              <w:t xml:space="preserve">Cổ phiếu BĐS (rổ)</w:t>
            </w:r>
          </w:p>
        </w:tc>
        <w:tc>
          <w:tcPr/>
          <w:p>
            <w:pPr>
              <w:pStyle w:val="CompactSmall"/>
              <w:jc w:val="left"/>
            </w:pPr>
            <w:r>
              <w:t xml:space="preserve">6,57%</w:t>
            </w:r>
          </w:p>
        </w:tc>
        <w:tc>
          <w:tcPr/>
          <w:p>
            <w:pPr>
              <w:pStyle w:val="CompactSmall"/>
              <w:jc w:val="left"/>
            </w:pPr>
            <w:r>
              <w:t xml:space="preserve">28,74%</w:t>
            </w:r>
          </w:p>
        </w:tc>
        <w:tc>
          <w:tcPr/>
          <w:p>
            <w:pPr>
              <w:pStyle w:val="CompactSmall"/>
              <w:jc w:val="left"/>
            </w:pPr>
            <w:r>
              <w:t xml:space="preserve">0,16</w:t>
            </w:r>
          </w:p>
        </w:tc>
        <w:tc>
          <w:tcPr/>
          <w:p>
            <w:pPr>
              <w:pStyle w:val="CompactSmall"/>
              <w:jc w:val="left"/>
            </w:pPr>
            <w:r>
              <w:t xml:space="preserve">−0,16</w:t>
            </w:r>
          </w:p>
        </w:tc>
        <w:tc>
          <w:tcPr/>
          <w:p>
            <w:pPr>
              <w:pStyle w:val="CompactSmall"/>
              <w:jc w:val="left"/>
            </w:pPr>
            <w:r>
              <w:t xml:space="preserve">1,92</w:t>
            </w:r>
          </w:p>
        </w:tc>
        <w:tc>
          <w:tcPr/>
          <w:p>
            <w:pPr>
              <w:pStyle w:val="CompactSmall"/>
              <w:jc w:val="left"/>
            </w:pPr>
            <w:r>
              <w:t xml:space="preserve">−72,6%</w:t>
            </w:r>
          </w:p>
        </w:tc>
        <w:tc>
          <w:tcPr/>
          <w:p>
            <w:pPr>
              <w:pStyle w:val="CompactSmall"/>
              <w:jc w:val="left"/>
            </w:pPr>
            <w:r>
              <w:t xml:space="preserve">0,17</w:t>
            </w:r>
          </w:p>
        </w:tc>
      </w:tr>
      <w:tr>
        <w:trPr>
          <w:cantSplit/>
        </w:trPr>
        <w:tc>
          <w:tcPr/>
          <w:p>
            <w:pPr>
              <w:pStyle w:val="CompactSmall"/>
              <w:jc w:val="left"/>
            </w:pPr>
            <w:r>
              <w:t xml:space="preserve">Vàng SJC (point-in-time)</w:t>
            </w:r>
          </w:p>
        </w:tc>
        <w:tc>
          <w:tcPr/>
          <w:p>
            <w:pPr>
              <w:pStyle w:val="CompactSmall"/>
              <w:jc w:val="left"/>
            </w:pPr>
            <w:r>
              <w:t xml:space="preserve">13,46%</w:t>
            </w:r>
          </w:p>
        </w:tc>
        <w:tc>
          <w:tcPr/>
          <w:p>
            <w:pPr>
              <w:pStyle w:val="CompactSmall"/>
              <w:jc w:val="left"/>
            </w:pPr>
            <w:r>
              <w:t xml:space="preserve">14,07%</w:t>
            </w:r>
          </w:p>
        </w:tc>
        <w:tc>
          <w:tcPr/>
          <w:p>
            <w:pPr>
              <w:pStyle w:val="CompactSmall"/>
              <w:jc w:val="left"/>
            </w:pPr>
            <w:r>
              <w:t xml:space="preserve">0,55</w:t>
            </w:r>
          </w:p>
        </w:tc>
        <w:tc>
          <w:tcPr/>
          <w:p>
            <w:pPr>
              <w:pStyle w:val="CompactSmall"/>
              <w:jc w:val="left"/>
            </w:pPr>
            <w:r>
              <w:t xml:space="preserve">0,87</w:t>
            </w:r>
          </w:p>
        </w:tc>
        <w:tc>
          <w:tcPr/>
          <w:p>
            <w:pPr>
              <w:pStyle w:val="CompactSmall"/>
              <w:jc w:val="left"/>
            </w:pPr>
            <w:r>
              <w:t xml:space="preserve">3,18</w:t>
            </w:r>
          </w:p>
        </w:tc>
        <w:tc>
          <w:tcPr/>
          <w:p>
            <w:pPr>
              <w:pStyle w:val="CompactSmall"/>
              <w:jc w:val="left"/>
            </w:pPr>
            <w:r>
              <w:t xml:space="preserve">−24,6%</w:t>
            </w:r>
          </w:p>
        </w:tc>
        <w:tc>
          <w:tcPr/>
          <w:p>
            <w:pPr>
              <w:pStyle w:val="CompactSmall"/>
              <w:jc w:val="left"/>
            </w:pPr>
            <w:r>
              <w:t xml:space="preserve">0,27</w:t>
            </w:r>
          </w:p>
        </w:tc>
      </w:tr>
      <w:tr>
        <w:trPr>
          <w:cantSplit/>
        </w:trPr>
        <w:tc>
          <w:tcPr/>
          <w:p>
            <w:pPr>
              <w:pStyle w:val="CompactSmall"/>
              <w:jc w:val="left"/>
            </w:pPr>
            <w:r>
              <w:t xml:space="preserve">Trái phiếu (NAV DCBF)</w:t>
            </w:r>
          </w:p>
        </w:tc>
        <w:tc>
          <w:tcPr/>
          <w:p>
            <w:pPr>
              <w:pStyle w:val="CompactSmall"/>
              <w:jc w:val="left"/>
            </w:pPr>
            <w:r>
              <w:t xml:space="preserve">8,62%</w:t>
            </w:r>
          </w:p>
        </w:tc>
        <w:tc>
          <w:tcPr/>
          <w:p>
            <w:pPr>
              <w:pStyle w:val="CompactSmall"/>
              <w:jc w:val="left"/>
            </w:pPr>
            <w:r>
              <w:t xml:space="preserve">2,37%</w:t>
            </w:r>
          </w:p>
        </w:tc>
        <w:tc>
          <w:tcPr/>
          <w:p>
            <w:pPr>
              <w:pStyle w:val="CompactSmall"/>
              <w:jc w:val="left"/>
            </w:pPr>
            <w:r>
              <w:t xml:space="preserve">1,01</w:t>
            </w:r>
          </w:p>
        </w:tc>
        <w:tc>
          <w:tcPr/>
          <w:p>
            <w:pPr>
              <w:pStyle w:val="CompactSmall"/>
              <w:jc w:val="left"/>
            </w:pPr>
            <w:r>
              <w:t xml:space="preserve">4,38</w:t>
            </w:r>
          </w:p>
        </w:tc>
        <w:tc>
          <w:tcPr/>
          <w:p>
            <w:pPr>
              <w:pStyle w:val="CompactSmall"/>
              <w:jc w:val="left"/>
            </w:pPr>
            <w:r>
              <w:t xml:space="preserve">29,03</w:t>
            </w:r>
          </w:p>
        </w:tc>
        <w:tc>
          <w:tcPr/>
          <w:p>
            <w:pPr>
              <w:pStyle w:val="CompactSmall"/>
              <w:jc w:val="left"/>
            </w:pPr>
            <w:r>
              <w:t xml:space="preserve">−1,8%</w:t>
            </w:r>
          </w:p>
        </w:tc>
        <w:tc>
          <w:tcPr/>
          <w:p>
            <w:pPr>
              <w:pStyle w:val="CompactSmall"/>
              <w:jc w:val="left"/>
            </w:pPr>
            <w:r>
              <w:t xml:space="preserve">0,11</w:t>
            </w:r>
          </w:p>
        </w:tc>
      </w:tr>
      <w:tr>
        <w:trPr>
          <w:cantSplit/>
        </w:trPr>
        <w:tc>
          <w:tcPr/>
          <w:p>
            <w:pPr>
              <w:pStyle w:val="CompactSmall"/>
              <w:jc w:val="left"/>
            </w:pPr>
            <w:r>
              <w:t xml:space="preserve">Tiền gửi 12 tháng</w:t>
            </w:r>
          </w:p>
        </w:tc>
        <w:tc>
          <w:tcPr/>
          <w:p>
            <w:pPr>
              <w:pStyle w:val="CompactSmall"/>
              <w:jc w:val="left"/>
            </w:pPr>
            <w:r>
              <w:t xml:space="preserve">6,09%</w:t>
            </w:r>
          </w:p>
        </w:tc>
        <w:tc>
          <w:tcPr/>
          <w:p>
            <w:pPr>
              <w:pStyle w:val="CompactSmall"/>
              <w:jc w:val="left"/>
            </w:pPr>
            <w:r>
              <w:t xml:space="preserve">0,24%</w:t>
            </w:r>
          </w:p>
        </w:tc>
        <w:tc>
          <w:tcPr/>
          <w:p>
            <w:pPr>
              <w:pStyle w:val="CompactSmall"/>
              <w:jc w:val="left"/>
            </w:pPr>
            <w:r>
              <w:t xml:space="preserve">–</w:t>
            </w:r>
          </w:p>
        </w:tc>
        <w:tc>
          <w:tcPr/>
          <w:p>
            <w:pPr>
              <w:pStyle w:val="CompactSmall"/>
              <w:jc w:val="left"/>
            </w:pPr>
            <w:r>
              <w:t xml:space="preserve">−0,28</w:t>
            </w:r>
          </w:p>
        </w:tc>
        <w:tc>
          <w:tcPr/>
          <w:p>
            <w:pPr>
              <w:pStyle w:val="CompactSmall"/>
              <w:jc w:val="left"/>
            </w:pPr>
            <w:r>
              <w:t xml:space="preserve">−1,05</w:t>
            </w:r>
          </w:p>
        </w:tc>
        <w:tc>
          <w:tcPr/>
          <w:p>
            <w:pPr>
              <w:pStyle w:val="CompactSmall"/>
              <w:jc w:val="left"/>
            </w:pPr>
            <w:r>
              <w:t xml:space="preserve">0,0%</w:t>
            </w:r>
          </w:p>
        </w:tc>
        <w:tc>
          <w:tcPr/>
          <w:p>
            <w:pPr>
              <w:pStyle w:val="CompactSmall"/>
              <w:jc w:val="left"/>
            </w:pPr>
            <w:r>
              <w:t xml:space="preserve">0,98</w:t>
            </w:r>
          </w:p>
        </w:tc>
      </w:tr>
      <w:tr>
        <w:trPr>
          <w:cantSplit/>
        </w:trPr>
        <w:tc>
          <w:tcPr/>
          <w:p>
            <w:pPr>
              <w:pStyle w:val="CompactSmall"/>
              <w:jc w:val="left"/>
            </w:pPr>
            <w:r>
              <w:t xml:space="preserve">VN-Index (tham chiếu)</w:t>
            </w:r>
          </w:p>
        </w:tc>
        <w:tc>
          <w:tcPr/>
          <w:p>
            <w:pPr>
              <w:pStyle w:val="CompactSmall"/>
              <w:jc w:val="left"/>
            </w:pPr>
            <w:r>
              <w:t xml:space="preserve">11,66%</w:t>
            </w:r>
          </w:p>
        </w:tc>
        <w:tc>
          <w:tcPr/>
          <w:p>
            <w:pPr>
              <w:pStyle w:val="CompactSmall"/>
              <w:jc w:val="left"/>
            </w:pPr>
            <w:r>
              <w:t xml:space="preserve">20,36%</w:t>
            </w:r>
          </w:p>
        </w:tc>
        <w:tc>
          <w:tcPr/>
          <w:p>
            <w:pPr>
              <w:pStyle w:val="CompactSmall"/>
              <w:jc w:val="left"/>
            </w:pPr>
            <w:r>
              <w:t xml:space="preserve">0,36</w:t>
            </w:r>
          </w:p>
        </w:tc>
        <w:tc>
          <w:tcPr/>
          <w:p>
            <w:pPr>
              <w:pStyle w:val="CompactSmall"/>
              <w:jc w:val="left"/>
            </w:pPr>
            <w:r>
              <w:t xml:space="preserve">−0,63</w:t>
            </w:r>
          </w:p>
        </w:tc>
        <w:tc>
          <w:tcPr/>
          <w:p>
            <w:pPr>
              <w:pStyle w:val="CompactSmall"/>
              <w:jc w:val="left"/>
            </w:pPr>
            <w:r>
              <w:t xml:space="preserve">2,43</w:t>
            </w:r>
          </w:p>
        </w:tc>
        <w:tc>
          <w:tcPr/>
          <w:p>
            <w:pPr>
              <w:pStyle w:val="CompactSmall"/>
              <w:jc w:val="left"/>
            </w:pPr>
            <w:r>
              <w:t xml:space="preserve">−43,6%</w:t>
            </w:r>
          </w:p>
        </w:tc>
        <w:tc>
          <w:tcPr/>
          <w:p>
            <w:pPr>
              <w:pStyle w:val="CompactSmall"/>
              <w:jc w:val="left"/>
            </w:pPr>
            <w:r>
              <w:t xml:space="preserve">0,03</w:t>
            </w:r>
          </w:p>
        </w:tc>
      </w:tr>
    </w:tbl>
    <w:p>
      <w:pPr>
        <w:pStyle w:val="BodyText"/>
        <w:spacing w:before="200"/>
      </w:pPr>
      <w:r>
        <w:rPr>
          <w:iCs/>
          <w:i/>
        </w:rPr>
        <w:t xml:space="preserve">Ghi chú: Sharpe tính trên lợi nhuận vượt trội so với lãi tiền gửi 12 tháng. Kiểm định Jarque–Bera bác bỏ phân phối chuẩn ở mức 1% cho mọi lớp rủi ro. Nguồn: tính toán của tác giả.</w:t>
      </w:r>
    </w:p>
    <w:p>
      <w:pPr>
        <w:pStyle w:val="CaptionedFigure"/>
      </w:pPr>
      <w:r>
        <w:drawing>
          <wp:inline>
            <wp:extent cx="5753100" cy="3104847"/>
            <wp:effectExtent b="0" l="0" r="0" t="0"/>
            <wp:docPr descr="Hình 4.1. Giá trị tích lũy của 1 đồng đầu tư vào từng lớp tài sản, 02/2016–07/2026" title="" id="95" name="Picture"/>
            <a:graphic>
              <a:graphicData uri="http://schemas.openxmlformats.org/drawingml/2006/picture">
                <pic:pic>
                  <pic:nvPicPr>
                    <pic:cNvPr descr="img/h4_assets.png" id="96" name="Picture"/>
                    <pic:cNvPicPr>
                      <a:picLocks noChangeArrowheads="1" noChangeAspect="1"/>
                    </pic:cNvPicPr>
                  </pic:nvPicPr>
                  <pic:blipFill>
                    <a:blip r:embed="rId94"/>
                    <a:stretch>
                      <a:fillRect/>
                    </a:stretch>
                  </pic:blipFill>
                  <pic:spPr bwMode="auto">
                    <a:xfrm>
                      <a:off x="0" y="0"/>
                      <a:ext cx="5753100" cy="3104847"/>
                    </a:xfrm>
                    <a:prstGeom prst="rect">
                      <a:avLst/>
                    </a:prstGeom>
                    <a:noFill/>
                    <a:ln w="9525">
                      <a:noFill/>
                      <a:headEnd/>
                      <a:tailEnd/>
                    </a:ln>
                  </pic:spPr>
                </pic:pic>
              </a:graphicData>
            </a:graphic>
          </wp:inline>
        </w:drawing>
      </w:r>
    </w:p>
    <w:p>
      <w:pPr>
        <w:pStyle w:val="ImageCaption"/>
      </w:pPr>
      <w:r>
        <w:t xml:space="preserve">Hình 4.1. Giá trị tích lũy của 1 đồng đầu tư vào từng lớp tài sản, 02/2016–07/2026</w:t>
      </w:r>
    </w:p>
    <w:p>
      <w:pPr>
        <w:pStyle w:val="SourceNote"/>
      </w:pPr>
      <w:r>
        <w:t xml:space="preserve">Nguồn: Tác giả tính toán từ dữ liệu nghiên cứu.</w:t>
      </w:r>
    </w:p>
    <w:p>
      <w:pPr>
        <w:pStyle w:val="BodyText"/>
      </w:pPr>
      <w:r>
        <w:t xml:space="preserve">Hình 4.1 cho thấy mỗi lớp tài sản có một</w:t>
      </w:r>
      <w:r>
        <w:t xml:space="preserve"> </w:t>
      </w:r>
      <w:r>
        <w:t xml:space="preserve">“</w:t>
      </w:r>
      <w:r>
        <w:t xml:space="preserve">câu chuyện</w:t>
      </w:r>
      <w:r>
        <w:t xml:space="preserve">”</w:t>
      </w:r>
      <w:r>
        <w:t xml:space="preserve"> </w:t>
      </w:r>
      <w:r>
        <w:t xml:space="preserve">riêng trong giai đoạn nghiên cứu. Cổ phiếu tăng mạnh năm 2017 và 2021 nhưng giảm sâu năm 2018 và 2022. Rổ cổ phiếu bất động sản tăng gần gấp bốn lần từ 2016 đến cuối 2021 rồi mất phần lớn giá trị trong năm 2022, đến giữa 2026 vẫn chưa trở lại đỉnh cũ. Vàng SJC gần như đi ngang đến 2019, tăng mạnh năm 2020, rồi bùng nổ trong 2024–2025. Trái phiếu và tiền gửi tăng đều đặn, gần như không có sụt giảm.</w:t>
      </w:r>
    </w:p>
    <w:p>
      <w:pPr>
        <w:pStyle w:val="TableCaption"/>
      </w:pPr>
      <w:r>
        <w:t xml:space="preserve">Bảng 4.2. Lợi nhuận theo năm của các lớp tài sản (%)</w:t>
      </w:r>
    </w:p>
    <w:tbl>
      <w:tblPr>
        <w:tblStyle w:val="Table"/>
        <w:tblW w:type="pct" w:w="5000"/>
        <w:jc w:val="center"/>
        <w:tblLook w:firstRow="1" w:lastRow="0" w:firstColumn="0" w:lastColumn="0" w:noHBand="0" w:noVBand="0" w:val="0020"/>
        <w:tblCaption w:val="Bảng 4.2. Lợi nhuận theo năm của các lớp tài sản (%)"/>
      </w:tblPr>
      <w:tblGrid>
        <w:gridCol w:w="1056"/>
        <w:gridCol w:w="1161"/>
        <w:gridCol w:w="1056"/>
        <w:gridCol w:w="950"/>
        <w:gridCol w:w="1056"/>
        <w:gridCol w:w="1267"/>
        <w:gridCol w:w="1372"/>
      </w:tblGrid>
      <w:tr>
        <w:trPr>
          <w:tblHeader w:val="true"/>
        </w:trPr>
        <w:tc>
          <w:tcPr/>
          <w:p>
            <w:pPr>
              <w:pStyle w:val="Compact"/>
              <w:jc w:val="center"/>
            </w:pPr>
            <w:r>
              <w:rPr>
                <w:b/>
              </w:rPr>
              <w:t xml:space="preserve">Năm</w:t>
            </w:r>
          </w:p>
        </w:tc>
        <w:tc>
          <w:tcPr/>
          <w:p>
            <w:pPr>
              <w:pStyle w:val="Compact"/>
              <w:jc w:val="center"/>
            </w:pPr>
            <w:r>
              <w:rPr>
                <w:b/>
              </w:rPr>
              <w:t xml:space="preserve">Cổ phiếu (ETF)</w:t>
            </w:r>
          </w:p>
        </w:tc>
        <w:tc>
          <w:tcPr/>
          <w:p>
            <w:pPr>
              <w:pStyle w:val="Compact"/>
              <w:jc w:val="center"/>
            </w:pPr>
            <w:r>
              <w:rPr>
                <w:b/>
              </w:rPr>
              <w:t xml:space="preserve">Cổ phiếu BĐS</w:t>
            </w:r>
          </w:p>
        </w:tc>
        <w:tc>
          <w:tcPr/>
          <w:p>
            <w:pPr>
              <w:pStyle w:val="Compact"/>
              <w:jc w:val="center"/>
            </w:pPr>
            <w:r>
              <w:rPr>
                <w:b/>
              </w:rPr>
              <w:t xml:space="preserve">Vàng SJC</w:t>
            </w:r>
          </w:p>
        </w:tc>
        <w:tc>
          <w:tcPr/>
          <w:p>
            <w:pPr>
              <w:pStyle w:val="Compact"/>
              <w:jc w:val="center"/>
            </w:pPr>
            <w:r>
              <w:rPr>
                <w:b/>
              </w:rPr>
              <w:t xml:space="preserve">Trái phiếu</w:t>
            </w:r>
          </w:p>
        </w:tc>
        <w:tc>
          <w:tcPr/>
          <w:p>
            <w:pPr>
              <w:pStyle w:val="Compact"/>
              <w:jc w:val="center"/>
            </w:pPr>
            <w:r>
              <w:rPr>
                <w:b/>
              </w:rPr>
              <w:t xml:space="preserve">Tiền gửi 12 tháng</w:t>
            </w:r>
          </w:p>
        </w:tc>
        <w:tc>
          <w:tcPr/>
          <w:p>
            <w:pPr>
              <w:pStyle w:val="Compact"/>
              <w:jc w:val="center"/>
            </w:pPr>
            <w:r>
              <w:rPr>
                <w:b/>
              </w:rPr>
              <w:t xml:space="preserve">VN-Index</w:t>
            </w:r>
          </w:p>
        </w:tc>
      </w:tr>
      <w:tr>
        <w:trPr>
          <w:cantSplit/>
        </w:trPr>
        <w:tc>
          <w:tcPr/>
          <w:p>
            <w:pPr>
              <w:pStyle w:val="Compact"/>
              <w:jc w:val="left"/>
            </w:pPr>
            <w:r>
              <w:t xml:space="preserve">2016¹</w:t>
            </w:r>
          </w:p>
        </w:tc>
        <w:tc>
          <w:tcPr/>
          <w:p>
            <w:pPr>
              <w:pStyle w:val="Compact"/>
              <w:jc w:val="left"/>
            </w:pPr>
            <w:r>
              <w:t xml:space="preserve">14,3</w:t>
            </w:r>
          </w:p>
        </w:tc>
        <w:tc>
          <w:tcPr/>
          <w:p>
            <w:pPr>
              <w:pStyle w:val="Compact"/>
              <w:jc w:val="left"/>
            </w:pPr>
            <w:r>
              <w:t xml:space="preserve">4,4</w:t>
            </w:r>
          </w:p>
        </w:tc>
        <w:tc>
          <w:tcPr/>
          <w:p>
            <w:pPr>
              <w:pStyle w:val="Compact"/>
              <w:jc w:val="left"/>
            </w:pPr>
            <w:r>
              <w:t xml:space="preserve">9,9</w:t>
            </w:r>
          </w:p>
        </w:tc>
        <w:tc>
          <w:tcPr/>
          <w:p>
            <w:pPr>
              <w:pStyle w:val="Compact"/>
              <w:jc w:val="left"/>
            </w:pPr>
            <w:r>
              <w:t xml:space="preserve">9,1</w:t>
            </w:r>
          </w:p>
        </w:tc>
        <w:tc>
          <w:tcPr/>
          <w:p>
            <w:pPr>
              <w:pStyle w:val="Compact"/>
              <w:jc w:val="left"/>
            </w:pPr>
            <w:r>
              <w:t xml:space="preserve">5,8</w:t>
            </w:r>
          </w:p>
        </w:tc>
        <w:tc>
          <w:tcPr/>
          <w:p>
            <w:pPr>
              <w:pStyle w:val="Compact"/>
              <w:jc w:val="left"/>
            </w:pPr>
            <w:r>
              <w:t xml:space="preserve">21,9</w:t>
            </w:r>
          </w:p>
        </w:tc>
      </w:tr>
      <w:tr>
        <w:trPr>
          <w:cantSplit/>
        </w:trPr>
        <w:tc>
          <w:tcPr/>
          <w:p>
            <w:pPr>
              <w:pStyle w:val="Compact"/>
              <w:jc w:val="left"/>
            </w:pPr>
            <w:r>
              <w:t xml:space="preserve">2017</w:t>
            </w:r>
          </w:p>
        </w:tc>
        <w:tc>
          <w:tcPr/>
          <w:p>
            <w:pPr>
              <w:pStyle w:val="Compact"/>
              <w:jc w:val="left"/>
            </w:pPr>
            <w:r>
              <w:t xml:space="preserve">59,1</w:t>
            </w:r>
          </w:p>
        </w:tc>
        <w:tc>
          <w:tcPr/>
          <w:p>
            <w:pPr>
              <w:pStyle w:val="Compact"/>
              <w:jc w:val="left"/>
            </w:pPr>
            <w:r>
              <w:t xml:space="preserve">39,2</w:t>
            </w:r>
          </w:p>
        </w:tc>
        <w:tc>
          <w:tcPr/>
          <w:p>
            <w:pPr>
              <w:pStyle w:val="Compact"/>
              <w:jc w:val="left"/>
            </w:pPr>
            <w:r>
              <w:t xml:space="preserve">0,9</w:t>
            </w:r>
          </w:p>
        </w:tc>
        <w:tc>
          <w:tcPr/>
          <w:p>
            <w:pPr>
              <w:pStyle w:val="Compact"/>
              <w:jc w:val="left"/>
            </w:pPr>
            <w:r>
              <w:t xml:space="preserve">16,0</w:t>
            </w:r>
          </w:p>
        </w:tc>
        <w:tc>
          <w:tcPr/>
          <w:p>
            <w:pPr>
              <w:pStyle w:val="Compact"/>
              <w:jc w:val="left"/>
            </w:pPr>
            <w:r>
              <w:t xml:space="preserve">6,7</w:t>
            </w:r>
          </w:p>
        </w:tc>
        <w:tc>
          <w:tcPr/>
          <w:p>
            <w:pPr>
              <w:pStyle w:val="Compact"/>
              <w:jc w:val="left"/>
            </w:pPr>
            <w:r>
              <w:t xml:space="preserve">48,0</w:t>
            </w:r>
          </w:p>
        </w:tc>
      </w:tr>
      <w:tr>
        <w:trPr>
          <w:cantSplit/>
        </w:trPr>
        <w:tc>
          <w:tcPr/>
          <w:p>
            <w:pPr>
              <w:pStyle w:val="Compact"/>
              <w:jc w:val="left"/>
            </w:pPr>
            <w:r>
              <w:t xml:space="preserve">2018</w:t>
            </w:r>
          </w:p>
        </w:tc>
        <w:tc>
          <w:tcPr/>
          <w:p>
            <w:pPr>
              <w:pStyle w:val="Compact"/>
              <w:jc w:val="left"/>
            </w:pPr>
            <w:r>
              <w:t xml:space="preserve">−11,6</w:t>
            </w:r>
          </w:p>
        </w:tc>
        <w:tc>
          <w:tcPr/>
          <w:p>
            <w:pPr>
              <w:pStyle w:val="Compact"/>
              <w:jc w:val="left"/>
            </w:pPr>
            <w:r>
              <w:t xml:space="preserve">11,1</w:t>
            </w:r>
          </w:p>
        </w:tc>
        <w:tc>
          <w:tcPr/>
          <w:p>
            <w:pPr>
              <w:pStyle w:val="Compact"/>
              <w:jc w:val="left"/>
            </w:pPr>
            <w:r>
              <w:t xml:space="preserve">−0,1</w:t>
            </w:r>
          </w:p>
        </w:tc>
        <w:tc>
          <w:tcPr/>
          <w:p>
            <w:pPr>
              <w:pStyle w:val="Compact"/>
              <w:jc w:val="left"/>
            </w:pPr>
            <w:r>
              <w:t xml:space="preserve">11,1</w:t>
            </w:r>
          </w:p>
        </w:tc>
        <w:tc>
          <w:tcPr/>
          <w:p>
            <w:pPr>
              <w:pStyle w:val="Compact"/>
              <w:jc w:val="left"/>
            </w:pPr>
            <w:r>
              <w:t xml:space="preserve">6,7</w:t>
            </w:r>
          </w:p>
        </w:tc>
        <w:tc>
          <w:tcPr/>
          <w:p>
            <w:pPr>
              <w:pStyle w:val="Compact"/>
              <w:jc w:val="left"/>
            </w:pPr>
            <w:r>
              <w:t xml:space="preserve">−9,3</w:t>
            </w:r>
          </w:p>
        </w:tc>
      </w:tr>
      <w:tr>
        <w:trPr>
          <w:cantSplit/>
        </w:trPr>
        <w:tc>
          <w:tcPr/>
          <w:p>
            <w:pPr>
              <w:pStyle w:val="Compact"/>
              <w:jc w:val="left"/>
            </w:pPr>
            <w:r>
              <w:t xml:space="preserve">2019</w:t>
            </w:r>
          </w:p>
        </w:tc>
        <w:tc>
          <w:tcPr/>
          <w:p>
            <w:pPr>
              <w:pStyle w:val="Compact"/>
              <w:jc w:val="left"/>
            </w:pPr>
            <w:r>
              <w:t xml:space="preserve">3,1</w:t>
            </w:r>
          </w:p>
        </w:tc>
        <w:tc>
          <w:tcPr/>
          <w:p>
            <w:pPr>
              <w:pStyle w:val="Compact"/>
              <w:jc w:val="left"/>
            </w:pPr>
            <w:r>
              <w:t xml:space="preserve">−0,7</w:t>
            </w:r>
          </w:p>
        </w:tc>
        <w:tc>
          <w:tcPr/>
          <w:p>
            <w:pPr>
              <w:pStyle w:val="Compact"/>
              <w:jc w:val="left"/>
            </w:pPr>
            <w:r>
              <w:t xml:space="preserve">16,7</w:t>
            </w:r>
          </w:p>
        </w:tc>
        <w:tc>
          <w:tcPr/>
          <w:p>
            <w:pPr>
              <w:pStyle w:val="Compact"/>
              <w:jc w:val="left"/>
            </w:pPr>
            <w:r>
              <w:t xml:space="preserve">9,1</w:t>
            </w:r>
          </w:p>
        </w:tc>
        <w:tc>
          <w:tcPr/>
          <w:p>
            <w:pPr>
              <w:pStyle w:val="Compact"/>
              <w:jc w:val="left"/>
            </w:pPr>
            <w:r>
              <w:t xml:space="preserve">7,0</w:t>
            </w:r>
          </w:p>
        </w:tc>
        <w:tc>
          <w:tcPr/>
          <w:p>
            <w:pPr>
              <w:pStyle w:val="Compact"/>
              <w:jc w:val="left"/>
            </w:pPr>
            <w:r>
              <w:t xml:space="preserve">7,7</w:t>
            </w:r>
          </w:p>
        </w:tc>
      </w:tr>
      <w:tr>
        <w:trPr>
          <w:cantSplit/>
        </w:trPr>
        <w:tc>
          <w:tcPr/>
          <w:p>
            <w:pPr>
              <w:pStyle w:val="Compact"/>
              <w:jc w:val="left"/>
            </w:pPr>
            <w:r>
              <w:t xml:space="preserve">2020</w:t>
            </w:r>
          </w:p>
        </w:tc>
        <w:tc>
          <w:tcPr/>
          <w:p>
            <w:pPr>
              <w:pStyle w:val="Compact"/>
              <w:jc w:val="left"/>
            </w:pPr>
            <w:r>
              <w:t xml:space="preserve">22,0</w:t>
            </w:r>
          </w:p>
        </w:tc>
        <w:tc>
          <w:tcPr/>
          <w:p>
            <w:pPr>
              <w:pStyle w:val="Compact"/>
              <w:jc w:val="left"/>
            </w:pPr>
            <w:r>
              <w:t xml:space="preserve">39,5</w:t>
            </w:r>
          </w:p>
        </w:tc>
        <w:tc>
          <w:tcPr/>
          <w:p>
            <w:pPr>
              <w:pStyle w:val="Compact"/>
              <w:jc w:val="left"/>
            </w:pPr>
            <w:r>
              <w:t xml:space="preserve">31,4</w:t>
            </w:r>
          </w:p>
        </w:tc>
        <w:tc>
          <w:tcPr/>
          <w:p>
            <w:pPr>
              <w:pStyle w:val="Compact"/>
              <w:jc w:val="left"/>
            </w:pPr>
            <w:r>
              <w:t xml:space="preserve">6,9</w:t>
            </w:r>
          </w:p>
        </w:tc>
        <w:tc>
          <w:tcPr/>
          <w:p>
            <w:pPr>
              <w:pStyle w:val="Compact"/>
              <w:jc w:val="left"/>
            </w:pPr>
            <w:r>
              <w:t xml:space="preserve">6,6</w:t>
            </w:r>
          </w:p>
        </w:tc>
        <w:tc>
          <w:tcPr/>
          <w:p>
            <w:pPr>
              <w:pStyle w:val="Compact"/>
              <w:jc w:val="left"/>
            </w:pPr>
            <w:r>
              <w:t xml:space="preserve">14,9</w:t>
            </w:r>
          </w:p>
        </w:tc>
      </w:tr>
      <w:tr>
        <w:trPr>
          <w:cantSplit/>
        </w:trPr>
        <w:tc>
          <w:tcPr/>
          <w:p>
            <w:pPr>
              <w:pStyle w:val="Compact"/>
              <w:jc w:val="left"/>
            </w:pPr>
            <w:r>
              <w:t xml:space="preserve">2021</w:t>
            </w:r>
          </w:p>
        </w:tc>
        <w:tc>
          <w:tcPr/>
          <w:p>
            <w:pPr>
              <w:pStyle w:val="Compact"/>
              <w:jc w:val="left"/>
            </w:pPr>
            <w:r>
              <w:t xml:space="preserve">43,5</w:t>
            </w:r>
          </w:p>
        </w:tc>
        <w:tc>
          <w:tcPr/>
          <w:p>
            <w:pPr>
              <w:pStyle w:val="Compact"/>
              <w:jc w:val="left"/>
            </w:pPr>
            <w:r>
              <w:t xml:space="preserve">95,9</w:t>
            </w:r>
          </w:p>
        </w:tc>
        <w:tc>
          <w:tcPr/>
          <w:p>
            <w:pPr>
              <w:pStyle w:val="Compact"/>
              <w:jc w:val="left"/>
            </w:pPr>
            <w:r>
              <w:t xml:space="preserve">9,8</w:t>
            </w:r>
          </w:p>
        </w:tc>
        <w:tc>
          <w:tcPr/>
          <w:p>
            <w:pPr>
              <w:pStyle w:val="Compact"/>
              <w:jc w:val="left"/>
            </w:pPr>
            <w:r>
              <w:t xml:space="preserve">7,3</w:t>
            </w:r>
          </w:p>
        </w:tc>
        <w:tc>
          <w:tcPr/>
          <w:p>
            <w:pPr>
              <w:pStyle w:val="Compact"/>
              <w:jc w:val="left"/>
            </w:pPr>
            <w:r>
              <w:t xml:space="preserve">5,7</w:t>
            </w:r>
          </w:p>
        </w:tc>
        <w:tc>
          <w:tcPr/>
          <w:p>
            <w:pPr>
              <w:pStyle w:val="Compact"/>
              <w:jc w:val="left"/>
            </w:pPr>
            <w:r>
              <w:t xml:space="preserve">35,7</w:t>
            </w:r>
          </w:p>
        </w:tc>
      </w:tr>
      <w:tr>
        <w:trPr>
          <w:cantSplit/>
        </w:trPr>
        <w:tc>
          <w:tcPr/>
          <w:p>
            <w:pPr>
              <w:pStyle w:val="Compact"/>
              <w:jc w:val="left"/>
            </w:pPr>
            <w:r>
              <w:t xml:space="preserve">2022</w:t>
            </w:r>
          </w:p>
        </w:tc>
        <w:tc>
          <w:tcPr/>
          <w:p>
            <w:pPr>
              <w:pStyle w:val="Compact"/>
              <w:jc w:val="left"/>
            </w:pPr>
            <w:r>
              <w:t xml:space="preserve">−32,9</w:t>
            </w:r>
          </w:p>
        </w:tc>
        <w:tc>
          <w:tcPr/>
          <w:p>
            <w:pPr>
              <w:pStyle w:val="Compact"/>
              <w:jc w:val="left"/>
            </w:pPr>
            <w:r>
              <w:t xml:space="preserve">−69,1</w:t>
            </w:r>
          </w:p>
        </w:tc>
        <w:tc>
          <w:tcPr/>
          <w:p>
            <w:pPr>
              <w:pStyle w:val="Compact"/>
              <w:jc w:val="left"/>
            </w:pPr>
            <w:r>
              <w:t xml:space="preserve">8,5</w:t>
            </w:r>
          </w:p>
        </w:tc>
        <w:tc>
          <w:tcPr/>
          <w:p>
            <w:pPr>
              <w:pStyle w:val="Compact"/>
              <w:jc w:val="left"/>
            </w:pPr>
            <w:r>
              <w:t xml:space="preserve">4,4</w:t>
            </w:r>
          </w:p>
        </w:tc>
        <w:tc>
          <w:tcPr/>
          <w:p>
            <w:pPr>
              <w:pStyle w:val="Compact"/>
              <w:jc w:val="left"/>
            </w:pPr>
            <w:r>
              <w:t xml:space="preserve">6,1</w:t>
            </w:r>
          </w:p>
        </w:tc>
        <w:tc>
          <w:tcPr/>
          <w:p>
            <w:pPr>
              <w:pStyle w:val="Compact"/>
              <w:jc w:val="left"/>
            </w:pPr>
            <w:r>
              <w:t xml:space="preserve">−32,8</w:t>
            </w:r>
          </w:p>
        </w:tc>
      </w:tr>
      <w:tr>
        <w:trPr>
          <w:cantSplit/>
        </w:trPr>
        <w:tc>
          <w:tcPr/>
          <w:p>
            <w:pPr>
              <w:pStyle w:val="Compact"/>
              <w:jc w:val="left"/>
            </w:pPr>
            <w:r>
              <w:t xml:space="preserve">2023</w:t>
            </w:r>
          </w:p>
        </w:tc>
        <w:tc>
          <w:tcPr/>
          <w:p>
            <w:pPr>
              <w:pStyle w:val="Compact"/>
              <w:jc w:val="left"/>
            </w:pPr>
            <w:r>
              <w:t xml:space="preserve">12,1</w:t>
            </w:r>
          </w:p>
        </w:tc>
        <w:tc>
          <w:tcPr/>
          <w:p>
            <w:pPr>
              <w:pStyle w:val="Compact"/>
              <w:jc w:val="left"/>
            </w:pPr>
            <w:r>
              <w:t xml:space="preserve">14,4</w:t>
            </w:r>
          </w:p>
        </w:tc>
        <w:tc>
          <w:tcPr/>
          <w:p>
            <w:pPr>
              <w:pStyle w:val="Compact"/>
              <w:jc w:val="left"/>
            </w:pPr>
            <w:r>
              <w:t xml:space="preserve">9,0</w:t>
            </w:r>
          </w:p>
        </w:tc>
        <w:tc>
          <w:tcPr/>
          <w:p>
            <w:pPr>
              <w:pStyle w:val="Compact"/>
              <w:jc w:val="left"/>
            </w:pPr>
            <w:r>
              <w:t xml:space="preserve">9,0</w:t>
            </w:r>
          </w:p>
        </w:tc>
        <w:tc>
          <w:tcPr/>
          <w:p>
            <w:pPr>
              <w:pStyle w:val="Compact"/>
              <w:jc w:val="left"/>
            </w:pPr>
            <w:r>
              <w:t xml:space="preserve">6,6</w:t>
            </w:r>
          </w:p>
        </w:tc>
        <w:tc>
          <w:tcPr/>
          <w:p>
            <w:pPr>
              <w:pStyle w:val="Compact"/>
              <w:jc w:val="left"/>
            </w:pPr>
            <w:r>
              <w:t xml:space="preserve">12,2</w:t>
            </w:r>
          </w:p>
        </w:tc>
      </w:tr>
      <w:tr>
        <w:trPr>
          <w:cantSplit/>
        </w:trPr>
        <w:tc>
          <w:tcPr/>
          <w:p>
            <w:pPr>
              <w:pStyle w:val="Compact"/>
              <w:jc w:val="left"/>
            </w:pPr>
            <w:r>
              <w:t xml:space="preserve">2024</w:t>
            </w:r>
          </w:p>
        </w:tc>
        <w:tc>
          <w:tcPr/>
          <w:p>
            <w:pPr>
              <w:pStyle w:val="Compact"/>
              <w:jc w:val="left"/>
            </w:pPr>
            <w:r>
              <w:t xml:space="preserve">20,8</w:t>
            </w:r>
          </w:p>
        </w:tc>
        <w:tc>
          <w:tcPr/>
          <w:p>
            <w:pPr>
              <w:pStyle w:val="Compact"/>
              <w:jc w:val="left"/>
            </w:pPr>
            <w:r>
              <w:t xml:space="preserve">−11,5</w:t>
            </w:r>
          </w:p>
        </w:tc>
        <w:tc>
          <w:tcPr/>
          <w:p>
            <w:pPr>
              <w:pStyle w:val="Compact"/>
              <w:jc w:val="left"/>
            </w:pPr>
            <w:r>
              <w:t xml:space="preserve">14,8</w:t>
            </w:r>
          </w:p>
        </w:tc>
        <w:tc>
          <w:tcPr/>
          <w:p>
            <w:pPr>
              <w:pStyle w:val="Compact"/>
              <w:jc w:val="left"/>
            </w:pPr>
            <w:r>
              <w:t xml:space="preserve">7,0</w:t>
            </w:r>
          </w:p>
        </w:tc>
        <w:tc>
          <w:tcPr/>
          <w:p>
            <w:pPr>
              <w:pStyle w:val="Compact"/>
              <w:jc w:val="left"/>
            </w:pPr>
            <w:r>
              <w:t xml:space="preserve">4,7</w:t>
            </w:r>
          </w:p>
        </w:tc>
        <w:tc>
          <w:tcPr/>
          <w:p>
            <w:pPr>
              <w:pStyle w:val="Compact"/>
              <w:jc w:val="left"/>
            </w:pPr>
            <w:r>
              <w:t xml:space="preserve">12,1</w:t>
            </w:r>
          </w:p>
        </w:tc>
      </w:tr>
      <w:tr>
        <w:trPr>
          <w:cantSplit/>
        </w:trPr>
        <w:tc>
          <w:tcPr/>
          <w:p>
            <w:pPr>
              <w:pStyle w:val="Compact"/>
              <w:jc w:val="left"/>
            </w:pPr>
            <w:r>
              <w:t xml:space="preserve">2025</w:t>
            </w:r>
          </w:p>
        </w:tc>
        <w:tc>
          <w:tcPr/>
          <w:p>
            <w:pPr>
              <w:pStyle w:val="Compact"/>
              <w:jc w:val="left"/>
            </w:pPr>
            <w:r>
              <w:t xml:space="preserve">53,7</w:t>
            </w:r>
          </w:p>
        </w:tc>
        <w:tc>
          <w:tcPr/>
          <w:p>
            <w:pPr>
              <w:pStyle w:val="Compact"/>
              <w:jc w:val="left"/>
            </w:pPr>
            <w:r>
              <w:t xml:space="preserve">45,5</w:t>
            </w:r>
          </w:p>
        </w:tc>
        <w:tc>
          <w:tcPr/>
          <w:p>
            <w:pPr>
              <w:pStyle w:val="Compact"/>
              <w:jc w:val="left"/>
            </w:pPr>
            <w:r>
              <w:t xml:space="preserve">82,5</w:t>
            </w:r>
          </w:p>
        </w:tc>
        <w:tc>
          <w:tcPr/>
          <w:p>
            <w:pPr>
              <w:pStyle w:val="Compact"/>
              <w:jc w:val="left"/>
            </w:pPr>
            <w:r>
              <w:t xml:space="preserve">6,9</w:t>
            </w:r>
          </w:p>
        </w:tc>
        <w:tc>
          <w:tcPr/>
          <w:p>
            <w:pPr>
              <w:pStyle w:val="Compact"/>
              <w:jc w:val="left"/>
            </w:pPr>
            <w:r>
              <w:t xml:space="preserve">4,7</w:t>
            </w:r>
          </w:p>
        </w:tc>
        <w:tc>
          <w:tcPr/>
          <w:p>
            <w:pPr>
              <w:pStyle w:val="Compact"/>
              <w:jc w:val="left"/>
            </w:pPr>
            <w:r>
              <w:t xml:space="preserve">40,9</w:t>
            </w:r>
          </w:p>
        </w:tc>
      </w:tr>
      <w:tr>
        <w:trPr>
          <w:cantSplit/>
        </w:trPr>
        <w:tc>
          <w:tcPr/>
          <w:p>
            <w:pPr>
              <w:pStyle w:val="Compact"/>
              <w:jc w:val="left"/>
            </w:pPr>
            <w:r>
              <w:t xml:space="preserve">2026²</w:t>
            </w:r>
          </w:p>
        </w:tc>
        <w:tc>
          <w:tcPr/>
          <w:p>
            <w:pPr>
              <w:pStyle w:val="Compact"/>
              <w:jc w:val="left"/>
            </w:pPr>
            <w:r>
              <w:t xml:space="preserve">−6,6</w:t>
            </w:r>
          </w:p>
        </w:tc>
        <w:tc>
          <w:tcPr/>
          <w:p>
            <w:pPr>
              <w:pStyle w:val="Compact"/>
              <w:jc w:val="left"/>
            </w:pPr>
            <w:r>
              <w:t xml:space="preserve">−2,1</w:t>
            </w:r>
          </w:p>
        </w:tc>
        <w:tc>
          <w:tcPr/>
          <w:p>
            <w:pPr>
              <w:pStyle w:val="Compact"/>
              <w:jc w:val="left"/>
            </w:pPr>
            <w:r>
              <w:t xml:space="preserve">−7,8</w:t>
            </w:r>
          </w:p>
        </w:tc>
        <w:tc>
          <w:tcPr/>
          <w:p>
            <w:pPr>
              <w:pStyle w:val="Compact"/>
              <w:jc w:val="left"/>
            </w:pPr>
            <w:r>
              <w:t xml:space="preserve">4,1</w:t>
            </w:r>
          </w:p>
        </w:tc>
        <w:tc>
          <w:tcPr/>
          <w:p>
            <w:pPr>
              <w:pStyle w:val="Compact"/>
              <w:jc w:val="left"/>
            </w:pPr>
            <w:r>
              <w:t xml:space="preserve">3,3</w:t>
            </w:r>
          </w:p>
        </w:tc>
        <w:tc>
          <w:tcPr/>
          <w:p>
            <w:pPr>
              <w:pStyle w:val="Compact"/>
              <w:jc w:val="left"/>
            </w:pPr>
            <w:r>
              <w:t xml:space="preserve">−2,7</w:t>
            </w:r>
          </w:p>
        </w:tc>
      </w:tr>
    </w:tbl>
    <w:p>
      <w:pPr>
        <w:pStyle w:val="BodyText"/>
        <w:spacing w:before="200"/>
      </w:pPr>
      <w:r>
        <w:rPr>
          <w:iCs/>
          <w:i/>
        </w:rPr>
        <w:t xml:space="preserve">¹ 11 tháng (02–12/2016). ² 7 tháng (01–07/2026). Vàng SJC là chuỗi dùng để tính lợi nhuận thực hiện của danh mục (giá dựng lại trước 08/2022, giá thật sau đó). Nguồn: tính toán của tác giả.</w:t>
      </w:r>
    </w:p>
    <w:p>
      <w:pPr>
        <w:pStyle w:val="BodyText"/>
      </w:pPr>
      <w:r>
        <w:t xml:space="preserve">Bảng 4.2 cho thấy không lớp nào đứng đầu ổn định. Cổ phiếu là lớp tốt nhất trong 2017 và 2024, đứng thứ hai trong 2021 và 2025; rổ BĐS tốt nhất năm 2020 và 2021 nhưng kém nhất năm 2022 và 2024; vàng tốt nhất năm 2019 và 2025. Đáng chú ý, trong cả hai năm cổ phiếu giảm mạnh (2018 và 2022), vàng và trái phiếu đều không âm (trừ vàng giảm 0,1% năm 2018), cho thấy vai trò phòng thủ của hai lớp này. Tiền gửi luôn dương nhưng chưa bao giờ là lớp tốt nhất trong một năm đầy đủ.</w:t>
      </w:r>
    </w:p>
    <w:p>
      <w:pPr>
        <w:pStyle w:val="BodyText"/>
      </w:pPr>
      <w:r>
        <w:t xml:space="preserve">Bốn đặc điểm của Bảng 4.1 và 4.2 định hình kết quả phân bổ ở các mục sau.</w:t>
      </w:r>
    </w:p>
    <w:p>
      <w:pPr>
        <w:pStyle w:val="BodyText"/>
      </w:pPr>
      <w:r>
        <w:rPr>
          <w:bCs/>
          <w:b/>
        </w:rPr>
        <w:t xml:space="preserve">Thứ nhất, rủi ro không đi kèm lợi nhuận tương ứng.</w:t>
      </w:r>
      <w:r>
        <w:t xml:space="preserve"> </w:t>
      </w:r>
      <w:r>
        <w:t xml:space="preserve">Vàng SJC có lợi nhuận ngang cổ phiếu (13,5%/năm) nhưng độ biến động chỉ bằng hai phần ba và mức sụt giảm tối đa bằng một nửa. Rổ cổ phiếu bất động sản có độ biến động cao nhất (28,7%) nhưng lợi nhuận chỉ nhỉnh hơn tiền gửi, và đã mất 72,6% giá trị từ đỉnh trong đợt khủng hoảng 2022. Trong giai đoạn kiểm tra 02/2018–07/2026, chênh lệch này còn rõ hơn: cổ phiếu chỉ đạt 7,7%/năm (Sharpe 0,18), rổ bất động sản 1,8%/năm (Sharpe 0,02), trong khi vàng đạt 14,2%/năm (Sharpe 0,58) và trái phiếu 7,2%/năm. Giai đoạn kiểm tra bắt đầu ngay sau năm 2017, năm cổ phiếu tăng 59%, nên lợi nhuận cổ phiếu trong giai đoạn này thấp hơn nhiều so với toàn mẫu. Đây là bối cảnh quan trọng khi đọc kết quả: mọi phương pháp giữ nhiều cổ phiếu đều bất lợi trong giai đoạn kiểm tra.</w:t>
      </w:r>
    </w:p>
    <w:p>
      <w:pPr>
        <w:pStyle w:val="BodyText"/>
      </w:pPr>
      <w:r>
        <w:rPr>
          <w:bCs/>
          <w:b/>
        </w:rPr>
        <w:t xml:space="preserve">Thứ hai, tương quan giữa các lớp rất thấp, trừ hai lớp cổ phiếu.</w:t>
      </w:r>
    </w:p>
    <w:p>
      <w:pPr>
        <w:pStyle w:val="TableCaption"/>
      </w:pPr>
      <w:r>
        <w:t xml:space="preserve">Bảng 4.3. Ma trận tương quan lợi nhuận tháng, 02/2016–07/2026</w:t>
      </w:r>
    </w:p>
    <w:tbl>
      <w:tblPr>
        <w:tblStyle w:val="Table"/>
        <w:tblW w:type="pct" w:w="5000"/>
        <w:jc w:val="center"/>
        <w:tblLook w:firstRow="1" w:lastRow="0" w:firstColumn="0" w:lastColumn="0" w:noHBand="0" w:noVBand="0" w:val="0020"/>
        <w:tblCaption w:val="Bảng 4.3. Ma trận tương quan lợi nhuận tháng, 02/2016–07/2026"/>
      </w:tblPr>
      <w:tblGrid>
        <w:gridCol w:w="1428"/>
        <w:gridCol w:w="1298"/>
        <w:gridCol w:w="1298"/>
        <w:gridCol w:w="1298"/>
        <w:gridCol w:w="1298"/>
        <w:gridCol w:w="1298"/>
      </w:tblGrid>
      <w:tr>
        <w:trPr>
          <w:tblHeader w:val="true"/>
        </w:trPr>
        <w:tc>
          <w:tcPr/>
          <w:p>
            <w:pPr>
              <w:pStyle w:val="Compact"/>
            </w:pPr>
          </w:p>
        </w:tc>
        <w:tc>
          <w:tcPr/>
          <w:p>
            <w:pPr>
              <w:pStyle w:val="Compact"/>
              <w:jc w:val="center"/>
            </w:pPr>
            <w:r>
              <w:rPr>
                <w:b/>
              </w:rPr>
              <w:t xml:space="preserve">Cổ phiếu</w:t>
            </w:r>
          </w:p>
        </w:tc>
        <w:tc>
          <w:tcPr/>
          <w:p>
            <w:pPr>
              <w:pStyle w:val="Compact"/>
              <w:jc w:val="center"/>
            </w:pPr>
            <w:r>
              <w:rPr>
                <w:b/>
              </w:rPr>
              <w:t xml:space="preserve">Cổ phiếu BĐS</w:t>
            </w:r>
          </w:p>
        </w:tc>
        <w:tc>
          <w:tcPr/>
          <w:p>
            <w:pPr>
              <w:pStyle w:val="Compact"/>
              <w:jc w:val="center"/>
            </w:pPr>
            <w:r>
              <w:rPr>
                <w:b/>
              </w:rPr>
              <w:t xml:space="preserve">Vàng SJC</w:t>
            </w:r>
          </w:p>
        </w:tc>
        <w:tc>
          <w:tcPr/>
          <w:p>
            <w:pPr>
              <w:pStyle w:val="Compact"/>
              <w:jc w:val="center"/>
            </w:pPr>
            <w:r>
              <w:rPr>
                <w:b/>
              </w:rPr>
              <w:t xml:space="preserve">Trái phiếu</w:t>
            </w:r>
          </w:p>
        </w:tc>
        <w:tc>
          <w:tcPr/>
          <w:p>
            <w:pPr>
              <w:pStyle w:val="Compact"/>
              <w:jc w:val="center"/>
            </w:pPr>
            <w:r>
              <w:rPr>
                <w:b/>
              </w:rPr>
              <w:t xml:space="preserve">Tiền gửi</w:t>
            </w:r>
          </w:p>
        </w:tc>
      </w:tr>
      <w:tr>
        <w:trPr>
          <w:cantSplit/>
        </w:trPr>
        <w:tc>
          <w:tcPr/>
          <w:p>
            <w:pPr>
              <w:pStyle w:val="Compact"/>
              <w:jc w:val="left"/>
            </w:pPr>
            <w:r>
              <w:t xml:space="preserve">Cổ phiếu</w:t>
            </w:r>
          </w:p>
        </w:tc>
        <w:tc>
          <w:tcPr/>
          <w:p>
            <w:pPr>
              <w:pStyle w:val="Compact"/>
              <w:jc w:val="left"/>
            </w:pPr>
            <w:r>
              <w:t xml:space="preserve">1,00</w:t>
            </w:r>
          </w:p>
        </w:tc>
        <w:tc>
          <w:tcPr/>
          <w:p>
            <w:pPr>
              <w:pStyle w:val="Compact"/>
              <w:jc w:val="left"/>
            </w:pPr>
            <w:r>
              <w:t xml:space="preserve">0,63</w:t>
            </w:r>
          </w:p>
        </w:tc>
        <w:tc>
          <w:tcPr/>
          <w:p>
            <w:pPr>
              <w:pStyle w:val="Compact"/>
              <w:jc w:val="left"/>
            </w:pPr>
            <w:r>
              <w:t xml:space="preserve">0,09</w:t>
            </w:r>
          </w:p>
        </w:tc>
        <w:tc>
          <w:tcPr/>
          <w:p>
            <w:pPr>
              <w:pStyle w:val="Compact"/>
              <w:jc w:val="left"/>
            </w:pPr>
            <w:r>
              <w:t xml:space="preserve">0,09</w:t>
            </w:r>
          </w:p>
        </w:tc>
        <w:tc>
          <w:tcPr/>
          <w:p>
            <w:pPr>
              <w:pStyle w:val="Compact"/>
              <w:jc w:val="left"/>
            </w:pPr>
            <w:r>
              <w:t xml:space="preserve">−0,09</w:t>
            </w:r>
          </w:p>
        </w:tc>
      </w:tr>
      <w:tr>
        <w:trPr>
          <w:cantSplit/>
        </w:trPr>
        <w:tc>
          <w:tcPr/>
          <w:p>
            <w:pPr>
              <w:pStyle w:val="Compact"/>
              <w:jc w:val="left"/>
            </w:pPr>
            <w:r>
              <w:t xml:space="preserve">Cổ phiếu BĐS</w:t>
            </w:r>
          </w:p>
        </w:tc>
        <w:tc>
          <w:tcPr/>
          <w:p>
            <w:pPr>
              <w:pStyle w:val="Compact"/>
              <w:jc w:val="left"/>
            </w:pPr>
            <w:r>
              <w:t xml:space="preserve">0,63</w:t>
            </w:r>
          </w:p>
        </w:tc>
        <w:tc>
          <w:tcPr/>
          <w:p>
            <w:pPr>
              <w:pStyle w:val="Compact"/>
              <w:jc w:val="left"/>
            </w:pPr>
            <w:r>
              <w:t xml:space="preserve">1,00</w:t>
            </w:r>
          </w:p>
        </w:tc>
        <w:tc>
          <w:tcPr/>
          <w:p>
            <w:pPr>
              <w:pStyle w:val="Compact"/>
              <w:jc w:val="left"/>
            </w:pPr>
            <w:r>
              <w:t xml:space="preserve">0,02</w:t>
            </w:r>
          </w:p>
        </w:tc>
        <w:tc>
          <w:tcPr/>
          <w:p>
            <w:pPr>
              <w:pStyle w:val="Compact"/>
              <w:jc w:val="left"/>
            </w:pPr>
            <w:r>
              <w:t xml:space="preserve">0,19</w:t>
            </w:r>
          </w:p>
        </w:tc>
        <w:tc>
          <w:tcPr/>
          <w:p>
            <w:pPr>
              <w:pStyle w:val="Compact"/>
              <w:jc w:val="left"/>
            </w:pPr>
            <w:r>
              <w:t xml:space="preserve">−0,10</w:t>
            </w:r>
          </w:p>
        </w:tc>
      </w:tr>
      <w:tr>
        <w:trPr>
          <w:cantSplit/>
        </w:trPr>
        <w:tc>
          <w:tcPr/>
          <w:p>
            <w:pPr>
              <w:pStyle w:val="Compact"/>
              <w:jc w:val="left"/>
            </w:pPr>
            <w:r>
              <w:t xml:space="preserve">Vàng SJC</w:t>
            </w:r>
          </w:p>
        </w:tc>
        <w:tc>
          <w:tcPr/>
          <w:p>
            <w:pPr>
              <w:pStyle w:val="Compact"/>
              <w:jc w:val="left"/>
            </w:pPr>
            <w:r>
              <w:t xml:space="preserve">0,09</w:t>
            </w:r>
          </w:p>
        </w:tc>
        <w:tc>
          <w:tcPr/>
          <w:p>
            <w:pPr>
              <w:pStyle w:val="Compact"/>
              <w:jc w:val="left"/>
            </w:pPr>
            <w:r>
              <w:t xml:space="preserve">0,02</w:t>
            </w:r>
          </w:p>
        </w:tc>
        <w:tc>
          <w:tcPr/>
          <w:p>
            <w:pPr>
              <w:pStyle w:val="Compact"/>
              <w:jc w:val="left"/>
            </w:pPr>
            <w:r>
              <w:t xml:space="preserve">1,00</w:t>
            </w:r>
          </w:p>
        </w:tc>
        <w:tc>
          <w:tcPr/>
          <w:p>
            <w:pPr>
              <w:pStyle w:val="Compact"/>
              <w:jc w:val="left"/>
            </w:pPr>
            <w:r>
              <w:t xml:space="preserve">−0,02</w:t>
            </w:r>
          </w:p>
        </w:tc>
        <w:tc>
          <w:tcPr/>
          <w:p>
            <w:pPr>
              <w:pStyle w:val="Compact"/>
              <w:jc w:val="left"/>
            </w:pPr>
            <w:r>
              <w:t xml:space="preserve">−0,21</w:t>
            </w:r>
          </w:p>
        </w:tc>
      </w:tr>
      <w:tr>
        <w:trPr>
          <w:cantSplit/>
        </w:trPr>
        <w:tc>
          <w:tcPr/>
          <w:p>
            <w:pPr>
              <w:pStyle w:val="Compact"/>
              <w:jc w:val="left"/>
            </w:pPr>
            <w:r>
              <w:t xml:space="preserve">Trái phiếu</w:t>
            </w:r>
          </w:p>
        </w:tc>
        <w:tc>
          <w:tcPr/>
          <w:p>
            <w:pPr>
              <w:pStyle w:val="Compact"/>
              <w:jc w:val="left"/>
            </w:pPr>
            <w:r>
              <w:t xml:space="preserve">0,09</w:t>
            </w:r>
          </w:p>
        </w:tc>
        <w:tc>
          <w:tcPr/>
          <w:p>
            <w:pPr>
              <w:pStyle w:val="Compact"/>
              <w:jc w:val="left"/>
            </w:pPr>
            <w:r>
              <w:t xml:space="preserve">0,19</w:t>
            </w:r>
          </w:p>
        </w:tc>
        <w:tc>
          <w:tcPr/>
          <w:p>
            <w:pPr>
              <w:pStyle w:val="Compact"/>
              <w:jc w:val="left"/>
            </w:pPr>
            <w:r>
              <w:t xml:space="preserve">−0,02</w:t>
            </w:r>
          </w:p>
        </w:tc>
        <w:tc>
          <w:tcPr/>
          <w:p>
            <w:pPr>
              <w:pStyle w:val="Compact"/>
              <w:jc w:val="left"/>
            </w:pPr>
            <w:r>
              <w:t xml:space="preserve">1,00</w:t>
            </w:r>
          </w:p>
        </w:tc>
        <w:tc>
          <w:tcPr/>
          <w:p>
            <w:pPr>
              <w:pStyle w:val="Compact"/>
              <w:jc w:val="left"/>
            </w:pPr>
            <w:r>
              <w:t xml:space="preserve">0,06</w:t>
            </w:r>
          </w:p>
        </w:tc>
      </w:tr>
      <w:tr>
        <w:trPr>
          <w:cantSplit/>
        </w:trPr>
        <w:tc>
          <w:tcPr/>
          <w:p>
            <w:pPr>
              <w:pStyle w:val="Compact"/>
              <w:jc w:val="left"/>
            </w:pPr>
            <w:r>
              <w:t xml:space="preserve">Tiền gửi</w:t>
            </w:r>
          </w:p>
        </w:tc>
        <w:tc>
          <w:tcPr/>
          <w:p>
            <w:pPr>
              <w:pStyle w:val="Compact"/>
              <w:jc w:val="left"/>
            </w:pPr>
            <w:r>
              <w:t xml:space="preserve">−0,09</w:t>
            </w:r>
          </w:p>
        </w:tc>
        <w:tc>
          <w:tcPr/>
          <w:p>
            <w:pPr>
              <w:pStyle w:val="Compact"/>
              <w:jc w:val="left"/>
            </w:pPr>
            <w:r>
              <w:t xml:space="preserve">−0,10</w:t>
            </w:r>
          </w:p>
        </w:tc>
        <w:tc>
          <w:tcPr/>
          <w:p>
            <w:pPr>
              <w:pStyle w:val="Compact"/>
              <w:jc w:val="left"/>
            </w:pPr>
            <w:r>
              <w:t xml:space="preserve">−0,21</w:t>
            </w:r>
          </w:p>
        </w:tc>
        <w:tc>
          <w:tcPr/>
          <w:p>
            <w:pPr>
              <w:pStyle w:val="Compact"/>
              <w:jc w:val="left"/>
            </w:pPr>
            <w:r>
              <w:t xml:space="preserve">0,06</w:t>
            </w:r>
          </w:p>
        </w:tc>
        <w:tc>
          <w:tcPr/>
          <w:p>
            <w:pPr>
              <w:pStyle w:val="Compact"/>
              <w:jc w:val="left"/>
            </w:pPr>
            <w:r>
              <w:t xml:space="preserve">1,00</w:t>
            </w:r>
          </w:p>
        </w:tc>
      </w:tr>
    </w:tbl>
    <w:p>
      <w:pPr>
        <w:pStyle w:val="BodyText"/>
        <w:spacing w:before="200"/>
      </w:pPr>
      <w:r>
        <w:t xml:space="preserve">Tương quan giữa ETF và rổ bất động sản là 0,63, nhưng giữa vàng với cổ phiếu chỉ 0,09 và vàng với trái phiếu −0,02. Tương quan thấp của vàng với cổ phiếu khá ổn định qua thời gian: 0,15 trong giai đoạn trước 08/2022 (giá vàng có phần dựng lại) và 0,04 trong giai đoạn có giá vàng tháng thật, nên không phải là sản phẩm của cách dựng giá. Đây là cơ sở để kỳ vọng danh mục 5 lớp có lợi ích đa dạng hóa so với cổ phiếu–trái phiếu (H3), và phù hợp với kết luận vàng là tài sản trú ẩn tại Việt Nam của Le và Nguyen (2017). Ngược lại, tương quan cao giữa hai lớp cổ phiếu (0,61–0,67 ở cả hai giai đoạn) cho thấy cổ phiếu bất động sản không phải là một nguồn đa dạng hóa riêng biệt mà gần như là một phiên bản biến động mạnh hơn của thị trường cổ phiếu chung.</w:t>
      </w:r>
    </w:p>
    <w:p>
      <w:pPr>
        <w:pStyle w:val="BodyText"/>
      </w:pPr>
      <w:r>
        <w:rPr>
          <w:bCs/>
          <w:b/>
        </w:rPr>
        <w:t xml:space="preserve">Thứ ba, trái phiếu có Sharpe cao bất thường do định giá trơn.</w:t>
      </w:r>
      <w:r>
        <w:t xml:space="preserve"> </w:t>
      </w:r>
      <w:r>
        <w:t xml:space="preserve">NAV quỹ DCBF có độ biến động 2,4% và Sharpe 1,01, nhưng độ lệch 4,38 và độ nhọn vượt 29 cho thấy phân phối bị chi phối bởi vài tháng tăng đột biến (07/2017 và 01/2018). Trong giai đoạn kiểm tra, khi không còn hai tháng này, độ biến động của NAV chỉ còn 0,9%/năm, thấp hơn nhiều so với độ biến động thật của một danh mục trái phiếu có kỳ hạn trung bình. Đây là lý do trái phiếu được khử độ trơn trước khi ước lượng hiệp phương sai (mục 3.4) và được giới hạn ở 50% (mục 3.3); nếu không, các phương pháp dựa trên rủi ro sẽ dồn gần hết vốn vào lớp này.</w:t>
      </w:r>
    </w:p>
    <w:p>
      <w:pPr>
        <w:pStyle w:val="BodyText"/>
      </w:pPr>
      <w:r>
        <w:rPr>
          <w:bCs/>
          <w:b/>
        </w:rPr>
        <w:t xml:space="preserve">Thứ tư, lợi nhuận không phân phối chuẩn.</w:t>
      </w:r>
      <w:r>
        <w:t xml:space="preserve"> </w:t>
      </w:r>
      <w:r>
        <w:t xml:space="preserve">Mọi lớp rủi ro đều có đuôi dày và bị bác bỏ giả định chuẩn; vàng có tự tương quan 0,27. Hai điều này khiến kiểm định Jobson–Korkie–Memmel không phù hợp và biện minh cho việc dùng kiểm định Ledoit–Wolf (2008) với bootstrap khối.</w:t>
      </w:r>
    </w:p>
    <w:bookmarkEnd w:id="97"/>
    <w:bookmarkEnd w:id="98"/>
    <w:bookmarkStart w:id="106" w:name="kỹ-năng-dự-báo-của-mô-hình-học-máy"/>
    <w:p>
      <w:pPr>
        <w:pStyle w:val="Heading2"/>
      </w:pPr>
      <w:r>
        <w:t xml:space="preserve">4.2 Kỹ năng dự báo của mô hình học máy</w:t>
      </w:r>
    </w:p>
    <w:bookmarkStart w:id="102" w:name="kỹ-năng-theo-từng-lớp-tài-sản"/>
    <w:p>
      <w:pPr>
        <w:pStyle w:val="Heading3"/>
      </w:pPr>
      <w:r>
        <w:t xml:space="preserve">4.2.1 Kỹ năng theo từng lớp tài sản</w:t>
      </w:r>
    </w:p>
    <w:p>
      <w:pPr>
        <w:pStyle w:val="CaptionedFigure"/>
      </w:pPr>
      <w:r>
        <w:drawing>
          <wp:inline>
            <wp:extent cx="5753100" cy="3104847"/>
            <wp:effectExtent b="0" l="0" r="0" t="0"/>
            <wp:docPr descr="Hình 4.2. R² ngoài mẫu theo lớp tài sản và mô hình" title="" id="100" name="Picture"/>
            <a:graphic>
              <a:graphicData uri="http://schemas.openxmlformats.org/drawingml/2006/picture">
                <pic:pic>
                  <pic:nvPicPr>
                    <pic:cNvPr descr="img/h41.png" id="101" name="Picture"/>
                    <pic:cNvPicPr>
                      <a:picLocks noChangeArrowheads="1" noChangeAspect="1"/>
                    </pic:cNvPicPr>
                  </pic:nvPicPr>
                  <pic:blipFill>
                    <a:blip r:embed="rId99"/>
                    <a:stretch>
                      <a:fillRect/>
                    </a:stretch>
                  </pic:blipFill>
                  <pic:spPr bwMode="auto">
                    <a:xfrm>
                      <a:off x="0" y="0"/>
                      <a:ext cx="5753100" cy="3104847"/>
                    </a:xfrm>
                    <a:prstGeom prst="rect">
                      <a:avLst/>
                    </a:prstGeom>
                    <a:noFill/>
                    <a:ln w="9525">
                      <a:noFill/>
                      <a:headEnd/>
                      <a:tailEnd/>
                    </a:ln>
                  </pic:spPr>
                </pic:pic>
              </a:graphicData>
            </a:graphic>
          </wp:inline>
        </w:drawing>
      </w:r>
    </w:p>
    <w:p>
      <w:pPr>
        <w:pStyle w:val="ImageCaption"/>
      </w:pPr>
      <w:r>
        <w:t xml:space="preserve">Hình 4.2. R² ngoài mẫu theo lớp tài sản và mô hình</w:t>
      </w:r>
    </w:p>
    <w:p>
      <w:pPr>
        <w:pStyle w:val="SourceNote"/>
      </w:pPr>
      <w:r>
        <w:t xml:space="preserve">Nguồn: Tác giả tính toán từ dữ liệu nghiên cứu.</w:t>
      </w:r>
    </w:p>
    <w:p>
      <w:pPr>
        <w:pStyle w:val="TableCaption"/>
      </w:pPr>
      <w:r>
        <w:t xml:space="preserve">Bảng 4.4. Kỹ năng dự báo theo lớp tài sản, giai đoạn kiểm tra (102 tháng)</w:t>
      </w:r>
    </w:p>
    <w:tbl>
      <w:tblPr>
        <w:tblStyle w:val="Table"/>
        <w:tblW w:type="pct" w:w="5000"/>
        <w:jc w:val="center"/>
        <w:tblLook w:firstRow="1" w:lastRow="0" w:firstColumn="0" w:lastColumn="0" w:noHBand="0" w:noVBand="0" w:val="0020"/>
        <w:tblCaption w:val="Bảng 4.4. Kỹ năng dự báo theo lớp tài sản, giai đoạn kiểm tra (102 tháng)"/>
      </w:tblPr>
      <w:tblGrid>
        <w:gridCol w:w="1508"/>
        <w:gridCol w:w="1634"/>
        <w:gridCol w:w="1382"/>
        <w:gridCol w:w="1885"/>
        <w:gridCol w:w="1508"/>
      </w:tblGrid>
      <w:tr>
        <w:trPr>
          <w:tblHeader w:val="true"/>
        </w:trPr>
        <w:tc>
          <w:tcPr/>
          <w:p>
            <w:pPr>
              <w:pStyle w:val="Compact"/>
              <w:jc w:val="center"/>
            </w:pPr>
            <w:r>
              <w:rPr>
                <w:b/>
              </w:rPr>
              <w:t xml:space="preserve">Lớp</w:t>
            </w:r>
          </w:p>
        </w:tc>
        <w:tc>
          <w:tcPr/>
          <w:p>
            <w:pPr>
              <w:pStyle w:val="Compact"/>
              <w:jc w:val="center"/>
            </w:pPr>
            <w:r>
              <w:rPr>
                <w:b/>
              </w:rPr>
              <w:t xml:space="preserve">Mô hình</w:t>
            </w:r>
          </w:p>
        </w:tc>
        <w:tc>
          <w:tcPr/>
          <w:p>
            <w:pPr>
              <w:pStyle w:val="Compact"/>
              <w:jc w:val="center"/>
            </w:pPr>
            <w:r>
              <w:rPr>
                <w:b/>
              </w:rPr>
              <w:t xml:space="preserve">R²</w:t>
            </w:r>
            <w:r>
              <w:rPr>
                <w:b/>
                <w:vertAlign w:val="subscript"/>
              </w:rPr>
              <w:t xml:space="preserve">OS</w:t>
            </w:r>
          </w:p>
        </w:tc>
        <w:tc>
          <w:tcPr/>
          <w:p>
            <w:pPr>
              <w:pStyle w:val="Compact"/>
              <w:jc w:val="center"/>
            </w:pPr>
            <w:r>
              <w:rPr>
                <w:b/>
              </w:rPr>
              <w:t xml:space="preserve">Clark–West (p)</w:t>
            </w:r>
          </w:p>
        </w:tc>
        <w:tc>
          <w:tcPr/>
          <w:p>
            <w:pPr>
              <w:pStyle w:val="Compact"/>
              <w:jc w:val="center"/>
            </w:pPr>
            <w:r>
              <w:rPr>
                <w:b/>
              </w:rPr>
              <w:t xml:space="preserve">Tỷ lệ đúng chiều</w:t>
            </w:r>
          </w:p>
        </w:tc>
      </w:tr>
      <w:tr>
        <w:trPr>
          <w:cantSplit/>
        </w:trPr>
        <w:tc>
          <w:tcPr/>
          <w:p>
            <w:pPr>
              <w:pStyle w:val="Compact"/>
              <w:jc w:val="left"/>
            </w:pPr>
            <w:r>
              <w:t xml:space="preserve">Cổ phiếu</w:t>
            </w:r>
          </w:p>
        </w:tc>
        <w:tc>
          <w:tcPr/>
          <w:p>
            <w:pPr>
              <w:pStyle w:val="Compact"/>
              <w:jc w:val="left"/>
            </w:pPr>
            <w:r>
              <w:t xml:space="preserve">Elastic Net</w:t>
            </w:r>
          </w:p>
        </w:tc>
        <w:tc>
          <w:tcPr/>
          <w:p>
            <w:pPr>
              <w:pStyle w:val="Compact"/>
              <w:jc w:val="left"/>
            </w:pPr>
            <w:r>
              <w:t xml:space="preserve">−5,41%</w:t>
            </w:r>
          </w:p>
        </w:tc>
        <w:tc>
          <w:tcPr/>
          <w:p>
            <w:pPr>
              <w:pStyle w:val="Compact"/>
              <w:jc w:val="left"/>
            </w:pPr>
            <w:r>
              <w:t xml:space="preserve">0,437</w:t>
            </w:r>
          </w:p>
        </w:tc>
        <w:tc>
          <w:tcPr/>
          <w:p>
            <w:pPr>
              <w:pStyle w:val="Compact"/>
              <w:jc w:val="left"/>
            </w:pPr>
            <w:r>
              <w:t xml:space="preserve">60,8%</w:t>
            </w:r>
          </w:p>
        </w:tc>
      </w:tr>
      <w:tr>
        <w:trPr>
          <w:cantSplit/>
        </w:trPr>
        <w:tc>
          <w:tcPr/>
          <w:p>
            <w:pPr>
              <w:pStyle w:val="Compact"/>
              <w:jc w:val="left"/>
            </w:pPr>
            <w:r>
              <w:t xml:space="preserve">Cổ phiếu</w:t>
            </w:r>
          </w:p>
        </w:tc>
        <w:tc>
          <w:tcPr/>
          <w:p>
            <w:pPr>
              <w:pStyle w:val="Compact"/>
              <w:jc w:val="left"/>
            </w:pPr>
            <w:r>
              <w:t xml:space="preserve">LightGBM</w:t>
            </w:r>
          </w:p>
        </w:tc>
        <w:tc>
          <w:tcPr/>
          <w:p>
            <w:pPr>
              <w:pStyle w:val="Compact"/>
              <w:jc w:val="left"/>
            </w:pPr>
            <w:r>
              <w:t xml:space="preserve">−4,30%</w:t>
            </w:r>
          </w:p>
        </w:tc>
        <w:tc>
          <w:tcPr/>
          <w:p>
            <w:pPr>
              <w:pStyle w:val="Compact"/>
              <w:jc w:val="left"/>
            </w:pPr>
            <w:r>
              <w:t xml:space="preserve">0,220</w:t>
            </w:r>
          </w:p>
        </w:tc>
        <w:tc>
          <w:tcPr/>
          <w:p>
            <w:pPr>
              <w:pStyle w:val="Compact"/>
              <w:jc w:val="left"/>
            </w:pPr>
            <w:r>
              <w:t xml:space="preserve">42,2%</w:t>
            </w:r>
          </w:p>
        </w:tc>
      </w:tr>
      <w:tr>
        <w:trPr>
          <w:cantSplit/>
        </w:trPr>
        <w:tc>
          <w:tcPr/>
          <w:p>
            <w:pPr>
              <w:pStyle w:val="Compact"/>
              <w:jc w:val="left"/>
            </w:pPr>
            <w:r>
              <w:t xml:space="preserve">Cổ phiếu</w:t>
            </w:r>
          </w:p>
        </w:tc>
        <w:tc>
          <w:tcPr/>
          <w:p>
            <w:pPr>
              <w:pStyle w:val="Compact"/>
              <w:jc w:val="left"/>
            </w:pPr>
            <w:r>
              <w:t xml:space="preserve">MLP</w:t>
            </w:r>
          </w:p>
        </w:tc>
        <w:tc>
          <w:tcPr/>
          <w:p>
            <w:pPr>
              <w:pStyle w:val="Compact"/>
              <w:jc w:val="left"/>
            </w:pPr>
            <w:r>
              <w:t xml:space="preserve">−4,37%</w:t>
            </w:r>
          </w:p>
        </w:tc>
        <w:tc>
          <w:tcPr/>
          <w:p>
            <w:pPr>
              <w:pStyle w:val="Compact"/>
              <w:jc w:val="left"/>
            </w:pPr>
            <w:r>
              <w:t xml:space="preserve">0,201</w:t>
            </w:r>
          </w:p>
        </w:tc>
        <w:tc>
          <w:tcPr/>
          <w:p>
            <w:pPr>
              <w:pStyle w:val="Compact"/>
              <w:jc w:val="left"/>
            </w:pPr>
            <w:r>
              <w:t xml:space="preserve">54,9%</w:t>
            </w:r>
          </w:p>
        </w:tc>
      </w:tr>
      <w:tr>
        <w:trPr>
          <w:cantSplit/>
        </w:trPr>
        <w:tc>
          <w:tcPr/>
          <w:p>
            <w:pPr>
              <w:pStyle w:val="Compact"/>
              <w:jc w:val="left"/>
            </w:pPr>
            <w:r>
              <w:t xml:space="preserve">Cổ phiếu BĐS</w:t>
            </w:r>
          </w:p>
        </w:tc>
        <w:tc>
          <w:tcPr/>
          <w:p>
            <w:pPr>
              <w:pStyle w:val="Compact"/>
              <w:jc w:val="left"/>
            </w:pPr>
            <w:r>
              <w:t xml:space="preserve">Elastic Net</w:t>
            </w:r>
          </w:p>
        </w:tc>
        <w:tc>
          <w:tcPr/>
          <w:p>
            <w:pPr>
              <w:pStyle w:val="Compact"/>
              <w:jc w:val="left"/>
            </w:pPr>
            <w:r>
              <w:t xml:space="preserve">1,60%</w:t>
            </w:r>
          </w:p>
        </w:tc>
        <w:tc>
          <w:tcPr/>
          <w:p>
            <w:pPr>
              <w:pStyle w:val="Compact"/>
              <w:jc w:val="left"/>
            </w:pPr>
            <w:r>
              <w:t xml:space="preserve">0,167</w:t>
            </w:r>
          </w:p>
        </w:tc>
        <w:tc>
          <w:tcPr/>
          <w:p>
            <w:pPr>
              <w:pStyle w:val="Compact"/>
              <w:jc w:val="left"/>
            </w:pPr>
            <w:r>
              <w:t xml:space="preserve">58,8%</w:t>
            </w:r>
          </w:p>
        </w:tc>
      </w:tr>
      <w:tr>
        <w:trPr>
          <w:cantSplit/>
        </w:trPr>
        <w:tc>
          <w:tcPr/>
          <w:p>
            <w:pPr>
              <w:pStyle w:val="Compact"/>
              <w:jc w:val="left"/>
            </w:pPr>
            <w:r>
              <w:t xml:space="preserve">Cổ phiếu BĐS</w:t>
            </w:r>
          </w:p>
        </w:tc>
        <w:tc>
          <w:tcPr/>
          <w:p>
            <w:pPr>
              <w:pStyle w:val="Compact"/>
              <w:jc w:val="left"/>
            </w:pPr>
            <w:r>
              <w:t xml:space="preserve">LightGBM</w:t>
            </w:r>
          </w:p>
        </w:tc>
        <w:tc>
          <w:tcPr/>
          <w:p>
            <w:pPr>
              <w:pStyle w:val="Compact"/>
              <w:jc w:val="left"/>
            </w:pPr>
            <w:r>
              <w:t xml:space="preserve">1,05%</w:t>
            </w:r>
          </w:p>
        </w:tc>
        <w:tc>
          <w:tcPr/>
          <w:p>
            <w:pPr>
              <w:pStyle w:val="Compact"/>
              <w:jc w:val="left"/>
            </w:pPr>
            <w:r>
              <w:t xml:space="preserve">0,119</w:t>
            </w:r>
          </w:p>
        </w:tc>
        <w:tc>
          <w:tcPr/>
          <w:p>
            <w:pPr>
              <w:pStyle w:val="Compact"/>
              <w:jc w:val="left"/>
            </w:pPr>
            <w:r>
              <w:t xml:space="preserve">42,2%</w:t>
            </w:r>
          </w:p>
        </w:tc>
      </w:tr>
      <w:tr>
        <w:trPr>
          <w:cantSplit/>
        </w:trPr>
        <w:tc>
          <w:tcPr/>
          <w:p>
            <w:pPr>
              <w:pStyle w:val="Compact"/>
              <w:jc w:val="left"/>
            </w:pPr>
            <w:r>
              <w:t xml:space="preserve">Cổ phiếu BĐS</w:t>
            </w:r>
          </w:p>
        </w:tc>
        <w:tc>
          <w:tcPr/>
          <w:p>
            <w:pPr>
              <w:pStyle w:val="Compact"/>
              <w:jc w:val="left"/>
            </w:pPr>
            <w:r>
              <w:t xml:space="preserve">MLP</w:t>
            </w:r>
          </w:p>
        </w:tc>
        <w:tc>
          <w:tcPr/>
          <w:p>
            <w:pPr>
              <w:pStyle w:val="Compact"/>
              <w:jc w:val="left"/>
            </w:pPr>
            <w:r>
              <w:t xml:space="preserve">−0,92%</w:t>
            </w:r>
          </w:p>
        </w:tc>
        <w:tc>
          <w:tcPr/>
          <w:p>
            <w:pPr>
              <w:pStyle w:val="Compact"/>
              <w:jc w:val="left"/>
            </w:pPr>
            <w:r>
              <w:t xml:space="preserve">0,164</w:t>
            </w:r>
          </w:p>
        </w:tc>
        <w:tc>
          <w:tcPr/>
          <w:p>
            <w:pPr>
              <w:pStyle w:val="Compact"/>
              <w:jc w:val="left"/>
            </w:pPr>
            <w:r>
              <w:t xml:space="preserve">59,8%</w:t>
            </w:r>
          </w:p>
        </w:tc>
      </w:tr>
      <w:tr>
        <w:trPr>
          <w:cantSplit/>
        </w:trPr>
        <w:tc>
          <w:tcPr/>
          <w:p>
            <w:pPr>
              <w:pStyle w:val="Compact"/>
              <w:jc w:val="left"/>
            </w:pPr>
            <w:r>
              <w:t xml:space="preserve">Vàng SJC</w:t>
            </w:r>
          </w:p>
        </w:tc>
        <w:tc>
          <w:tcPr/>
          <w:p>
            <w:pPr>
              <w:pStyle w:val="Compact"/>
              <w:jc w:val="left"/>
            </w:pPr>
            <w:r>
              <w:t xml:space="preserve">Elastic Net</w:t>
            </w:r>
          </w:p>
        </w:tc>
        <w:tc>
          <w:tcPr/>
          <w:p>
            <w:pPr>
              <w:pStyle w:val="Compact"/>
              <w:jc w:val="left"/>
            </w:pPr>
            <w:r>
              <w:t xml:space="preserve">6,73%</w:t>
            </w:r>
          </w:p>
        </w:tc>
        <w:tc>
          <w:tcPr/>
          <w:p>
            <w:pPr>
              <w:pStyle w:val="Compact"/>
              <w:jc w:val="left"/>
            </w:pPr>
            <w:r>
              <w:t xml:space="preserve">0,026</w:t>
            </w:r>
          </w:p>
        </w:tc>
        <w:tc>
          <w:tcPr/>
          <w:p>
            <w:pPr>
              <w:pStyle w:val="Compact"/>
              <w:jc w:val="left"/>
            </w:pPr>
            <w:r>
              <w:t xml:space="preserve">51,0%</w:t>
            </w:r>
          </w:p>
        </w:tc>
      </w:tr>
      <w:tr>
        <w:trPr>
          <w:cantSplit/>
        </w:trPr>
        <w:tc>
          <w:tcPr/>
          <w:p>
            <w:pPr>
              <w:pStyle w:val="Compact"/>
              <w:jc w:val="left"/>
            </w:pPr>
            <w:r>
              <w:t xml:space="preserve">Vàng SJC</w:t>
            </w:r>
          </w:p>
        </w:tc>
        <w:tc>
          <w:tcPr/>
          <w:p>
            <w:pPr>
              <w:pStyle w:val="Compact"/>
              <w:jc w:val="left"/>
            </w:pPr>
            <w:r>
              <w:t xml:space="preserve">LightGBM</w:t>
            </w:r>
          </w:p>
        </w:tc>
        <w:tc>
          <w:tcPr/>
          <w:p>
            <w:pPr>
              <w:pStyle w:val="Compact"/>
              <w:jc w:val="left"/>
            </w:pPr>
            <w:r>
              <w:t xml:space="preserve">3,97%</w:t>
            </w:r>
          </w:p>
        </w:tc>
        <w:tc>
          <w:tcPr/>
          <w:p>
            <w:pPr>
              <w:pStyle w:val="Compact"/>
              <w:jc w:val="left"/>
            </w:pPr>
            <w:r>
              <w:t xml:space="preserve">0,039</w:t>
            </w:r>
          </w:p>
        </w:tc>
        <w:tc>
          <w:tcPr/>
          <w:p>
            <w:pPr>
              <w:pStyle w:val="Compact"/>
              <w:jc w:val="left"/>
            </w:pPr>
            <w:r>
              <w:t xml:space="preserve">40,2%</w:t>
            </w:r>
          </w:p>
        </w:tc>
      </w:tr>
      <w:tr>
        <w:trPr>
          <w:cantSplit/>
        </w:trPr>
        <w:tc>
          <w:tcPr/>
          <w:p>
            <w:pPr>
              <w:pStyle w:val="Compact"/>
              <w:jc w:val="left"/>
            </w:pPr>
            <w:r>
              <w:t xml:space="preserve">Vàng SJC</w:t>
            </w:r>
          </w:p>
        </w:tc>
        <w:tc>
          <w:tcPr/>
          <w:p>
            <w:pPr>
              <w:pStyle w:val="Compact"/>
              <w:jc w:val="left"/>
            </w:pPr>
            <w:r>
              <w:t xml:space="preserve">MLP</w:t>
            </w:r>
          </w:p>
        </w:tc>
        <w:tc>
          <w:tcPr/>
          <w:p>
            <w:pPr>
              <w:pStyle w:val="Compact"/>
              <w:jc w:val="left"/>
            </w:pPr>
            <w:r>
              <w:t xml:space="preserve">0,53%</w:t>
            </w:r>
          </w:p>
        </w:tc>
        <w:tc>
          <w:tcPr/>
          <w:p>
            <w:pPr>
              <w:pStyle w:val="Compact"/>
              <w:jc w:val="left"/>
            </w:pPr>
            <w:r>
              <w:t xml:space="preserve">0,087</w:t>
            </w:r>
          </w:p>
        </w:tc>
        <w:tc>
          <w:tcPr/>
          <w:p>
            <w:pPr>
              <w:pStyle w:val="Compact"/>
              <w:jc w:val="left"/>
            </w:pPr>
            <w:r>
              <w:t xml:space="preserve">51,0%</w:t>
            </w:r>
          </w:p>
        </w:tc>
      </w:tr>
      <w:tr>
        <w:trPr>
          <w:cantSplit/>
        </w:trPr>
        <w:tc>
          <w:tcPr/>
          <w:p>
            <w:pPr>
              <w:pStyle w:val="Compact"/>
              <w:jc w:val="left"/>
            </w:pPr>
            <w:r>
              <w:t xml:space="preserve">Trái phiếu</w:t>
            </w:r>
          </w:p>
        </w:tc>
        <w:tc>
          <w:tcPr/>
          <w:p>
            <w:pPr>
              <w:pStyle w:val="Compact"/>
              <w:jc w:val="left"/>
            </w:pPr>
            <w:r>
              <w:t xml:space="preserve">Elastic Net</w:t>
            </w:r>
          </w:p>
        </w:tc>
        <w:tc>
          <w:tcPr/>
          <w:p>
            <w:pPr>
              <w:pStyle w:val="Compact"/>
              <w:jc w:val="left"/>
            </w:pPr>
            <w:r>
              <w:t xml:space="preserve">9,88%</w:t>
            </w:r>
          </w:p>
        </w:tc>
        <w:tc>
          <w:tcPr/>
          <w:p>
            <w:pPr>
              <w:pStyle w:val="Compact"/>
              <w:jc w:val="left"/>
            </w:pPr>
            <w:r>
              <w:t xml:space="preserve">0,103</w:t>
            </w:r>
          </w:p>
        </w:tc>
        <w:tc>
          <w:tcPr/>
          <w:p>
            <w:pPr>
              <w:pStyle w:val="Compact"/>
              <w:jc w:val="left"/>
            </w:pPr>
            <w:r>
              <w:t xml:space="preserve">73,5%</w:t>
            </w:r>
          </w:p>
        </w:tc>
      </w:tr>
      <w:tr>
        <w:trPr>
          <w:cantSplit/>
        </w:trPr>
        <w:tc>
          <w:tcPr/>
          <w:p>
            <w:pPr>
              <w:pStyle w:val="Compact"/>
              <w:jc w:val="left"/>
            </w:pPr>
            <w:r>
              <w:t xml:space="preserve">Trái phiếu</w:t>
            </w:r>
          </w:p>
        </w:tc>
        <w:tc>
          <w:tcPr/>
          <w:p>
            <w:pPr>
              <w:pStyle w:val="Compact"/>
              <w:jc w:val="left"/>
            </w:pPr>
            <w:r>
              <w:t xml:space="preserve">LightGBM</w:t>
            </w:r>
          </w:p>
        </w:tc>
        <w:tc>
          <w:tcPr/>
          <w:p>
            <w:pPr>
              <w:pStyle w:val="Compact"/>
              <w:jc w:val="left"/>
            </w:pPr>
            <w:r>
              <w:t xml:space="preserve">16,39%</w:t>
            </w:r>
          </w:p>
        </w:tc>
        <w:tc>
          <w:tcPr/>
          <w:p>
            <w:pPr>
              <w:pStyle w:val="Compact"/>
              <w:jc w:val="left"/>
            </w:pPr>
            <w:r>
              <w:t xml:space="preserve">0,005</w:t>
            </w:r>
          </w:p>
        </w:tc>
        <w:tc>
          <w:tcPr/>
          <w:p>
            <w:pPr>
              <w:pStyle w:val="Compact"/>
              <w:jc w:val="left"/>
            </w:pPr>
            <w:r>
              <w:t xml:space="preserve">59,8%</w:t>
            </w:r>
          </w:p>
        </w:tc>
      </w:tr>
      <w:tr>
        <w:trPr>
          <w:cantSplit/>
        </w:trPr>
        <w:tc>
          <w:tcPr/>
          <w:p>
            <w:pPr>
              <w:pStyle w:val="Compact"/>
              <w:jc w:val="left"/>
            </w:pPr>
            <w:r>
              <w:t xml:space="preserve">Trái phiếu</w:t>
            </w:r>
          </w:p>
        </w:tc>
        <w:tc>
          <w:tcPr/>
          <w:p>
            <w:pPr>
              <w:pStyle w:val="Compact"/>
              <w:jc w:val="left"/>
            </w:pPr>
            <w:r>
              <w:t xml:space="preserve">MLP</w:t>
            </w:r>
          </w:p>
        </w:tc>
        <w:tc>
          <w:tcPr/>
          <w:p>
            <w:pPr>
              <w:pStyle w:val="Compact"/>
              <w:jc w:val="left"/>
            </w:pPr>
            <w:r>
              <w:t xml:space="preserve">16,90%</w:t>
            </w:r>
          </w:p>
        </w:tc>
        <w:tc>
          <w:tcPr/>
          <w:p>
            <w:pPr>
              <w:pStyle w:val="Compact"/>
              <w:jc w:val="left"/>
            </w:pPr>
            <w:r>
              <w:t xml:space="preserve">0,056</w:t>
            </w:r>
          </w:p>
        </w:tc>
        <w:tc>
          <w:tcPr/>
          <w:p>
            <w:pPr>
              <w:pStyle w:val="Compact"/>
              <w:jc w:val="left"/>
            </w:pPr>
            <w:r>
              <w:t xml:space="preserve">79,4%</w:t>
            </w:r>
          </w:p>
        </w:tc>
      </w:tr>
    </w:tbl>
    <w:p>
      <w:pPr>
        <w:pStyle w:val="BodyText"/>
        <w:spacing w:before="200"/>
      </w:pPr>
      <w:r>
        <w:rPr>
          <w:iCs/>
          <w:i/>
        </w:rPr>
        <w:t xml:space="preserve">Ghi chú: Clark–West kiểm định một phía giả thuyết mô hình không tốt hơn trung bình lịch sử. Tỷ lệ đúng chiều là tỷ lệ tháng mà dự báo và lợi nhuận thực cùng phía so với trung bình lịch sử.</w:t>
      </w:r>
    </w:p>
    <w:p>
      <w:pPr>
        <w:pStyle w:val="BodyText"/>
      </w:pPr>
      <w:r>
        <w:t xml:space="preserve">Kỹ năng dự báo khác nhau rõ rệt giữa các lớp. Cả ba mô hình đều thua trung bình lịch sử khi dự báo cổ phiếu (R²</w:t>
      </w:r>
      <w:r>
        <w:rPr>
          <w:vertAlign w:val="subscript"/>
        </w:rPr>
        <w:t xml:space="preserve">OS</w:t>
      </w:r>
      <w:r>
        <w:t xml:space="preserve"> </w:t>
      </w:r>
      <w:r>
        <w:t xml:space="preserve">từ −4,3% đến −5,4%), phù hợp với kết luận của Welch và Goyal (2008) và Campbell và Thompson (2008) rằng phần bù cổ phiếu rất khó dự báo ngoài mẫu. Đáng chú ý, Elastic Net dự báo đúng chiều cổ phiếu trong 61% số tháng nhưng vẫn có R²</w:t>
      </w:r>
      <w:r>
        <w:rPr>
          <w:vertAlign w:val="subscript"/>
        </w:rPr>
        <w:t xml:space="preserve">OS</w:t>
      </w:r>
      <w:r>
        <w:t xml:space="preserve"> </w:t>
      </w:r>
      <w:r>
        <w:t xml:space="preserve">âm: mô hình đoán đúng hướng nhiều hơn sai, nhưng những tháng đoán sai lại là những tháng biến động lớn, nên tổng sai số bình phương vẫn lớn hơn trung bình lịch sử.</w:t>
      </w:r>
    </w:p>
    <w:p>
      <w:pPr>
        <w:pStyle w:val="BodyText"/>
      </w:pPr>
      <w:r>
        <w:t xml:space="preserve">Với rổ bất động sản, Elastic Net và LightGBM có R²</w:t>
      </w:r>
      <w:r>
        <w:rPr>
          <w:vertAlign w:val="subscript"/>
        </w:rPr>
        <w:t xml:space="preserve">OS</w:t>
      </w:r>
      <w:r>
        <w:t xml:space="preserve"> </w:t>
      </w:r>
      <w:r>
        <w:t xml:space="preserve">dương nhỏ (1,0–1,6%) nhưng không có ý nghĩa thống kê. Với vàng, Elastic Net đạt R²</w:t>
      </w:r>
      <w:r>
        <w:rPr>
          <w:vertAlign w:val="subscript"/>
        </w:rPr>
        <w:t xml:space="preserve">OS</w:t>
      </w:r>
      <w:r>
        <w:t xml:space="preserve"> </w:t>
      </w:r>
      <w:r>
        <w:t xml:space="preserve">6,7% và có ý nghĩa theo Clark–West (p = 0,026); LightGBM đạt 4,0% (p = 0,039). Đây là lớp duy nhất mà kỹ năng dự báo vừa dương vừa có ý nghĩa với hai mô hình. Một cách giải thích hợp lý là thị trường vàng miếng trong nước bị tách khỏi thế giới bởi cơ chế quản lý nguồn cung (mục 1.1.2), nên giá SJC điều chỉnh chậm theo giá thế giới và có tính dai dẳng mà các biến động lượng nắm bắt được. Tỷ lệ đúng chiều của vàng chỉ khoảng 40–51%, cho thấy kỹ năng đến từ việc dự báo đúng biên độ ở những tháng biến động lớn hơn là đoán đúng hướng mọi tháng.</w:t>
      </w:r>
    </w:p>
    <w:p>
      <w:pPr>
        <w:pStyle w:val="BodyText"/>
      </w:pPr>
      <w:r>
        <w:t xml:space="preserve">Với trái phiếu, R²</w:t>
      </w:r>
      <w:r>
        <w:rPr>
          <w:vertAlign w:val="subscript"/>
        </w:rPr>
        <w:t xml:space="preserve">OS</w:t>
      </w:r>
      <w:r>
        <w:t xml:space="preserve"> </w:t>
      </w:r>
      <w:r>
        <w:t xml:space="preserve">cao nhất (10–17%) và tỷ lệ đúng chiều lên tới 79% với MLP. Tuy nhiên, như đã nêu ở mục 3.5, đây là hệ quả của việc NAV được định giá trơn: lợi nhuận tháng sau dễ đoán từ tháng trước nhưng không thể giao dịch để khai thác, vì chứng chỉ quỹ được mua bán theo NAV đã phản ánh độ trơn đó. Luận văn vì vậy không dùng quan điểm cho lớp này.</w:t>
      </w:r>
    </w:p>
    <w:bookmarkEnd w:id="102"/>
    <w:bookmarkStart w:id="103" w:name="kỹ-năng-gộp"/>
    <w:p>
      <w:pPr>
        <w:pStyle w:val="Heading3"/>
      </w:pPr>
      <w:r>
        <w:t xml:space="preserve">4.2.2 Kỹ năng gộp</w:t>
      </w:r>
    </w:p>
    <w:p>
      <w:pPr>
        <w:pStyle w:val="TableCaption"/>
      </w:pPr>
      <w:r>
        <w:t xml:space="preserve">Bảng 4.5. Kỹ năng dự báo gộp, giai đoạn kiểm tra (408 quan sát lớp–tháng)</w:t>
      </w:r>
    </w:p>
    <w:tbl>
      <w:tblPr>
        <w:tblStyle w:val="Table"/>
        <w:tblW w:type="pct" w:w="5000"/>
        <w:jc w:val="center"/>
        <w:tblLook w:firstRow="1" w:lastRow="0" w:firstColumn="0" w:lastColumn="0" w:noHBand="0" w:noVBand="0" w:val="0020"/>
        <w:tblCaption w:val="Bảng 4.5. Kỹ năng dự báo gộp, giai đoạn kiểm tra (408 quan sát lớp–tháng)"/>
      </w:tblPr>
      <w:tblGrid>
        <w:gridCol w:w="1303"/>
        <w:gridCol w:w="1102"/>
        <w:gridCol w:w="1503"/>
        <w:gridCol w:w="1403"/>
        <w:gridCol w:w="1303"/>
        <w:gridCol w:w="1303"/>
      </w:tblGrid>
      <w:tr>
        <w:trPr>
          <w:tblHeader w:val="true"/>
        </w:trPr>
        <w:tc>
          <w:tcPr/>
          <w:p>
            <w:pPr>
              <w:pStyle w:val="Compact"/>
              <w:jc w:val="center"/>
            </w:pPr>
            <w:r>
              <w:rPr>
                <w:b/>
              </w:rPr>
              <w:t xml:space="preserve">Mô hình</w:t>
            </w:r>
          </w:p>
        </w:tc>
        <w:tc>
          <w:tcPr/>
          <w:p>
            <w:pPr>
              <w:pStyle w:val="Compact"/>
              <w:jc w:val="center"/>
            </w:pPr>
            <w:r>
              <w:rPr>
                <w:b/>
              </w:rPr>
              <w:t xml:space="preserve">R²</w:t>
            </w:r>
            <w:r>
              <w:rPr>
                <w:b/>
                <w:vertAlign w:val="subscript"/>
              </w:rPr>
              <w:t xml:space="preserve">OS</w:t>
            </w:r>
            <w:r>
              <w:rPr>
                <w:b/>
              </w:rPr>
              <w:t xml:space="preserve"> </w:t>
            </w:r>
            <w:r>
              <w:rPr>
                <w:b/>
              </w:rPr>
              <w:t xml:space="preserve">gộp</w:t>
            </w:r>
          </w:p>
        </w:tc>
        <w:tc>
          <w:tcPr/>
          <w:p>
            <w:pPr>
              <w:pStyle w:val="Compact"/>
              <w:jc w:val="center"/>
            </w:pPr>
            <w:r>
              <w:rPr>
                <w:b/>
              </w:rPr>
              <w:t xml:space="preserve">Clark–West (p)</w:t>
            </w:r>
          </w:p>
        </w:tc>
        <w:tc>
          <w:tcPr/>
          <w:p>
            <w:pPr>
              <w:pStyle w:val="Compact"/>
              <w:jc w:val="center"/>
            </w:pPr>
            <w:r>
              <w:rPr>
                <w:b/>
              </w:rPr>
              <w:t xml:space="preserve">Rank IC trung bình</w:t>
            </w:r>
          </w:p>
        </w:tc>
        <w:tc>
          <w:tcPr/>
          <w:p>
            <w:pPr>
              <w:pStyle w:val="Compact"/>
              <w:jc w:val="center"/>
            </w:pPr>
            <w:r>
              <w:rPr>
                <w:b/>
              </w:rPr>
              <w:t xml:space="preserve">Tỷ lệ đúng chiều</w:t>
            </w:r>
          </w:p>
        </w:tc>
        <w:tc>
          <w:tcPr/>
          <w:p>
            <w:pPr>
              <w:pStyle w:val="Compact"/>
              <w:jc w:val="center"/>
            </w:pPr>
            <w:r>
              <w:rPr>
                <w:b/>
              </w:rPr>
              <w:t xml:space="preserve">Số lớp R²</w:t>
            </w:r>
            <w:r>
              <w:rPr>
                <w:b/>
                <w:vertAlign w:val="subscript"/>
              </w:rPr>
              <w:t xml:space="preserve">OS</w:t>
            </w:r>
            <w:r>
              <w:rPr>
                <w:b/>
              </w:rPr>
              <w:t xml:space="preserve"> </w:t>
            </w:r>
            <w:r>
              <w:rPr>
                <w:b/>
              </w:rPr>
              <w:t xml:space="preserve">&gt; 0</w:t>
            </w:r>
          </w:p>
        </w:tc>
      </w:tr>
      <w:tr>
        <w:trPr>
          <w:cantSplit/>
        </w:trPr>
        <w:tc>
          <w:tcPr/>
          <w:p>
            <w:pPr>
              <w:pStyle w:val="Compact"/>
              <w:jc w:val="left"/>
            </w:pPr>
            <w:r>
              <w:t xml:space="preserve">Elastic Net</w:t>
            </w:r>
          </w:p>
        </w:tc>
        <w:tc>
          <w:tcPr/>
          <w:p>
            <w:pPr>
              <w:pStyle w:val="Compact"/>
              <w:jc w:val="left"/>
            </w:pPr>
            <w:r>
              <w:t xml:space="preserve">0,29%</w:t>
            </w:r>
          </w:p>
        </w:tc>
        <w:tc>
          <w:tcPr/>
          <w:p>
            <w:pPr>
              <w:pStyle w:val="Compact"/>
              <w:jc w:val="left"/>
            </w:pPr>
            <w:r>
              <w:t xml:space="preserve">1,40 (0,080)</w:t>
            </w:r>
          </w:p>
        </w:tc>
        <w:tc>
          <w:tcPr/>
          <w:p>
            <w:pPr>
              <w:pStyle w:val="Compact"/>
              <w:jc w:val="left"/>
            </w:pPr>
            <w:r>
              <w:t xml:space="preserve">0,00</w:t>
            </w:r>
          </w:p>
        </w:tc>
        <w:tc>
          <w:tcPr/>
          <w:p>
            <w:pPr>
              <w:pStyle w:val="Compact"/>
              <w:jc w:val="left"/>
            </w:pPr>
            <w:r>
              <w:t xml:space="preserve">61,0%</w:t>
            </w:r>
          </w:p>
        </w:tc>
        <w:tc>
          <w:tcPr/>
          <w:p>
            <w:pPr>
              <w:pStyle w:val="Compact"/>
              <w:jc w:val="left"/>
            </w:pPr>
            <w:r>
              <w:t xml:space="preserve">3/4</w:t>
            </w:r>
          </w:p>
        </w:tc>
      </w:tr>
      <w:tr>
        <w:trPr>
          <w:cantSplit/>
        </w:trPr>
        <w:tc>
          <w:tcPr/>
          <w:p>
            <w:pPr>
              <w:pStyle w:val="Compact"/>
              <w:jc w:val="left"/>
            </w:pPr>
            <w:r>
              <w:t xml:space="preserve">LightGBM</w:t>
            </w:r>
          </w:p>
        </w:tc>
        <w:tc>
          <w:tcPr/>
          <w:p>
            <w:pPr>
              <w:pStyle w:val="Compact"/>
              <w:jc w:val="left"/>
            </w:pPr>
            <w:r>
              <w:t xml:space="preserve">−0,07%</w:t>
            </w:r>
          </w:p>
        </w:tc>
        <w:tc>
          <w:tcPr/>
          <w:p>
            <w:pPr>
              <w:pStyle w:val="Compact"/>
              <w:jc w:val="left"/>
            </w:pPr>
            <w:r>
              <w:t xml:space="preserve">1,54 (0,062)</w:t>
            </w:r>
          </w:p>
        </w:tc>
        <w:tc>
          <w:tcPr/>
          <w:p>
            <w:pPr>
              <w:pStyle w:val="Compact"/>
              <w:jc w:val="left"/>
            </w:pPr>
            <w:r>
              <w:t xml:space="preserve">0,03</w:t>
            </w:r>
          </w:p>
        </w:tc>
        <w:tc>
          <w:tcPr/>
          <w:p>
            <w:pPr>
              <w:pStyle w:val="Compact"/>
              <w:jc w:val="left"/>
            </w:pPr>
            <w:r>
              <w:t xml:space="preserve">46,1%</w:t>
            </w:r>
          </w:p>
        </w:tc>
        <w:tc>
          <w:tcPr/>
          <w:p>
            <w:pPr>
              <w:pStyle w:val="Compact"/>
              <w:jc w:val="left"/>
            </w:pPr>
            <w:r>
              <w:t xml:space="preserve">3/4</w:t>
            </w:r>
          </w:p>
        </w:tc>
      </w:tr>
      <w:tr>
        <w:trPr>
          <w:cantSplit/>
        </w:trPr>
        <w:tc>
          <w:tcPr/>
          <w:p>
            <w:pPr>
              <w:pStyle w:val="Compact"/>
              <w:jc w:val="left"/>
            </w:pPr>
            <w:r>
              <w:t xml:space="preserve">MLP</w:t>
            </w:r>
          </w:p>
        </w:tc>
        <w:tc>
          <w:tcPr/>
          <w:p>
            <w:pPr>
              <w:pStyle w:val="Compact"/>
              <w:jc w:val="left"/>
            </w:pPr>
            <w:r>
              <w:t xml:space="preserve">−1,69%</w:t>
            </w:r>
          </w:p>
        </w:tc>
        <w:tc>
          <w:tcPr/>
          <w:p>
            <w:pPr>
              <w:pStyle w:val="Compact"/>
              <w:jc w:val="left"/>
            </w:pPr>
            <w:r>
              <w:t xml:space="preserve">1,41 (0,080)</w:t>
            </w:r>
          </w:p>
        </w:tc>
        <w:tc>
          <w:tcPr/>
          <w:p>
            <w:pPr>
              <w:pStyle w:val="Compact"/>
              <w:jc w:val="left"/>
            </w:pPr>
            <w:r>
              <w:t xml:space="preserve">0,07</w:t>
            </w:r>
          </w:p>
        </w:tc>
        <w:tc>
          <w:tcPr/>
          <w:p>
            <w:pPr>
              <w:pStyle w:val="Compact"/>
              <w:jc w:val="left"/>
            </w:pPr>
            <w:r>
              <w:t xml:space="preserve">61,3%</w:t>
            </w:r>
          </w:p>
        </w:tc>
        <w:tc>
          <w:tcPr/>
          <w:p>
            <w:pPr>
              <w:pStyle w:val="Compact"/>
              <w:jc w:val="left"/>
            </w:pPr>
            <w:r>
              <w:t xml:space="preserve">2/4</w:t>
            </w:r>
          </w:p>
        </w:tc>
      </w:tr>
    </w:tbl>
    <w:p>
      <w:pPr>
        <w:pStyle w:val="BodyText"/>
        <w:spacing w:before="200"/>
      </w:pPr>
      <w:r>
        <w:t xml:space="preserve">Tính gộp các lớp, không mô hình nào vượt đáng kể trung bình lịch sử: R²</w:t>
      </w:r>
      <w:r>
        <w:rPr>
          <w:vertAlign w:val="subscript"/>
        </w:rPr>
        <w:t xml:space="preserve">OS</w:t>
      </w:r>
      <w:r>
        <w:t xml:space="preserve"> </w:t>
      </w:r>
      <w:r>
        <w:t xml:space="preserve">gộp nằm trong khoảng ±2%, kiểm định Clark–West chỉ có ý nghĩa ở mức 10%, và rank IC (khả năng xếp đúng thứ tự các lớp trong cùng tháng) không khác 0. Elastic Net là mô hình duy nhất có R²</w:t>
      </w:r>
      <w:r>
        <w:rPr>
          <w:vertAlign w:val="subscript"/>
        </w:rPr>
        <w:t xml:space="preserve">OS</w:t>
      </w:r>
      <w:r>
        <w:t xml:space="preserve"> </w:t>
      </w:r>
      <w:r>
        <w:t xml:space="preserve">gộp dương, nhưng mức 0,29% là rất nhỏ. Mô hình phức tạp hơn không tốt hơn: MLP có R²</w:t>
      </w:r>
      <w:r>
        <w:rPr>
          <w:vertAlign w:val="subscript"/>
        </w:rPr>
        <w:t xml:space="preserve">OS</w:t>
      </w:r>
      <w:r>
        <w:t xml:space="preserve"> </w:t>
      </w:r>
      <w:r>
        <w:t xml:space="preserve">gộp thấp nhất. Với rank IC gần 0 và chỉ 4 lớp tài sản rủi ro, định luật cơ bản của quản lý chủ động (Grinold và Kahn, 2000) cho thấy khó kỳ vọng dự báo tạo ra lợi thế lớn về Sharpe khi dùng để chọn giữa các lớp; giá trị nếu có sẽ đến từ việc điều chỉnh tỷ trọng của riêng lớp vàng.</w:t>
      </w:r>
    </w:p>
    <w:bookmarkEnd w:id="103"/>
    <w:bookmarkStart w:id="104" w:name="mô-hình-học-được-gì"/>
    <w:p>
      <w:pPr>
        <w:pStyle w:val="Heading3"/>
      </w:pPr>
      <w:r>
        <w:t xml:space="preserve">4.2.3 Mô hình học được gì</w:t>
      </w:r>
    </w:p>
    <w:p>
      <w:pPr>
        <w:pStyle w:val="TableCaption"/>
      </w:pPr>
      <w:r>
        <w:t xml:space="preserve">Bảng 4.6. Hệ số Elastic Net qua 101 lần huấn luyện có hệ số khác 0</w:t>
      </w:r>
    </w:p>
    <w:tbl>
      <w:tblPr>
        <w:tblStyle w:val="Table"/>
        <w:tblW w:type="pct" w:w="5000"/>
        <w:jc w:val="center"/>
        <w:tblLook w:firstRow="1" w:lastRow="0" w:firstColumn="0" w:lastColumn="0" w:noHBand="0" w:noVBand="0" w:val="0020"/>
        <w:tblCaption w:val="Bảng 4.6. Hệ số Elastic Net qua 101 lần huấn luyện có hệ số khác 0"/>
      </w:tblPr>
      <w:tblGrid>
        <w:gridCol w:w="1735"/>
        <w:gridCol w:w="976"/>
        <w:gridCol w:w="1301"/>
        <w:gridCol w:w="2495"/>
        <w:gridCol w:w="1410"/>
      </w:tblGrid>
      <w:tr>
        <w:trPr>
          <w:tblHeader w:val="true"/>
        </w:trPr>
        <w:tc>
          <w:tcPr/>
          <w:p>
            <w:pPr>
              <w:pStyle w:val="Compact"/>
              <w:jc w:val="center"/>
            </w:pPr>
            <w:r>
              <w:rPr>
                <w:b/>
              </w:rPr>
              <w:t xml:space="preserve">Biến</w:t>
            </w:r>
          </w:p>
        </w:tc>
        <w:tc>
          <w:tcPr/>
          <w:p>
            <w:pPr>
              <w:pStyle w:val="Compact"/>
              <w:jc w:val="center"/>
            </w:pPr>
            <w:r>
              <w:rPr>
                <w:b/>
              </w:rPr>
              <w:t xml:space="preserve">Dấu kỳ vọng</w:t>
            </w:r>
          </w:p>
        </w:tc>
        <w:tc>
          <w:tcPr/>
          <w:p>
            <w:pPr>
              <w:pStyle w:val="Compact"/>
              <w:jc w:val="center"/>
            </w:pPr>
            <w:r>
              <w:rPr>
                <w:b/>
              </w:rPr>
              <w:t xml:space="preserve">Tỷ lệ lần khác 0</w:t>
            </w:r>
          </w:p>
        </w:tc>
        <w:tc>
          <w:tcPr/>
          <w:p>
            <w:pPr>
              <w:pStyle w:val="Compact"/>
              <w:jc w:val="center"/>
            </w:pPr>
            <w:r>
              <w:rPr>
                <w:b/>
              </w:rPr>
              <w:t xml:space="preserve">Tỷ lệ cùng dấu kỳ vọng (khi khác 0)</w:t>
            </w:r>
          </w:p>
        </w:tc>
        <w:tc>
          <w:tcPr/>
          <w:p>
            <w:pPr>
              <w:pStyle w:val="Compact"/>
              <w:jc w:val="center"/>
            </w:pPr>
            <w:r>
              <w:rPr>
                <w:b/>
              </w:rPr>
              <w:t xml:space="preserve">Hệ số trung bình</w:t>
            </w:r>
          </w:p>
        </w:tc>
      </w:tr>
      <w:tr>
        <w:trPr>
          <w:cantSplit/>
        </w:trPr>
        <w:tc>
          <w:tcPr/>
          <w:p>
            <w:pPr>
              <w:pStyle w:val="Compact"/>
              <w:jc w:val="left"/>
            </w:pPr>
            <w:r>
              <w:t xml:space="preserve">mom_1m</w:t>
            </w:r>
          </w:p>
        </w:tc>
        <w:tc>
          <w:tcPr/>
          <w:p>
            <w:pPr>
              <w:pStyle w:val="Compact"/>
              <w:jc w:val="left"/>
            </w:pPr>
            <w:r>
              <w:t xml:space="preserve">+</w:t>
            </w:r>
          </w:p>
        </w:tc>
        <w:tc>
          <w:tcPr/>
          <w:p>
            <w:pPr>
              <w:pStyle w:val="Compact"/>
              <w:jc w:val="left"/>
            </w:pPr>
            <w:r>
              <w:t xml:space="preserve">92%</w:t>
            </w:r>
          </w:p>
        </w:tc>
        <w:tc>
          <w:tcPr/>
          <w:p>
            <w:pPr>
              <w:pStyle w:val="Compact"/>
              <w:jc w:val="left"/>
            </w:pPr>
            <w:r>
              <w:t xml:space="preserve">100%</w:t>
            </w:r>
          </w:p>
        </w:tc>
        <w:tc>
          <w:tcPr/>
          <w:p>
            <w:pPr>
              <w:pStyle w:val="Compact"/>
              <w:jc w:val="left"/>
            </w:pPr>
            <w:r>
              <w:t xml:space="preserve">0,087</w:t>
            </w:r>
          </w:p>
        </w:tc>
      </w:tr>
      <w:tr>
        <w:trPr>
          <w:cantSplit/>
        </w:trPr>
        <w:tc>
          <w:tcPr/>
          <w:p>
            <w:pPr>
              <w:pStyle w:val="Compact"/>
              <w:jc w:val="left"/>
            </w:pPr>
            <w:r>
              <w:t xml:space="preserve">mom_3m</w:t>
            </w:r>
          </w:p>
        </w:tc>
        <w:tc>
          <w:tcPr/>
          <w:p>
            <w:pPr>
              <w:pStyle w:val="Compact"/>
              <w:jc w:val="left"/>
            </w:pPr>
            <w:r>
              <w:t xml:space="preserve">+</w:t>
            </w:r>
          </w:p>
        </w:tc>
        <w:tc>
          <w:tcPr/>
          <w:p>
            <w:pPr>
              <w:pStyle w:val="Compact"/>
              <w:jc w:val="left"/>
            </w:pPr>
            <w:r>
              <w:t xml:space="preserve">25%</w:t>
            </w:r>
          </w:p>
        </w:tc>
        <w:tc>
          <w:tcPr/>
          <w:p>
            <w:pPr>
              <w:pStyle w:val="Compact"/>
              <w:jc w:val="left"/>
            </w:pPr>
            <w:r>
              <w:t xml:space="preserve">100%</w:t>
            </w:r>
          </w:p>
        </w:tc>
        <w:tc>
          <w:tcPr/>
          <w:p>
            <w:pPr>
              <w:pStyle w:val="Compact"/>
              <w:jc w:val="left"/>
            </w:pPr>
            <w:r>
              <w:t xml:space="preserve">0,005</w:t>
            </w:r>
          </w:p>
        </w:tc>
      </w:tr>
      <w:tr>
        <w:trPr>
          <w:cantSplit/>
        </w:trPr>
        <w:tc>
          <w:tcPr/>
          <w:p>
            <w:pPr>
              <w:pStyle w:val="Compact"/>
              <w:jc w:val="left"/>
            </w:pPr>
            <w:r>
              <w:t xml:space="preserve">mom_6m</w:t>
            </w:r>
          </w:p>
        </w:tc>
        <w:tc>
          <w:tcPr/>
          <w:p>
            <w:pPr>
              <w:pStyle w:val="Compact"/>
              <w:jc w:val="left"/>
            </w:pPr>
            <w:r>
              <w:t xml:space="preserve">+</w:t>
            </w:r>
          </w:p>
        </w:tc>
        <w:tc>
          <w:tcPr/>
          <w:p>
            <w:pPr>
              <w:pStyle w:val="Compact"/>
              <w:jc w:val="left"/>
            </w:pPr>
            <w:r>
              <w:t xml:space="preserve">70%</w:t>
            </w:r>
          </w:p>
        </w:tc>
        <w:tc>
          <w:tcPr/>
          <w:p>
            <w:pPr>
              <w:pStyle w:val="Compact"/>
              <w:jc w:val="left"/>
            </w:pPr>
            <w:r>
              <w:t xml:space="preserve">99%</w:t>
            </w:r>
          </w:p>
        </w:tc>
        <w:tc>
          <w:tcPr/>
          <w:p>
            <w:pPr>
              <w:pStyle w:val="Compact"/>
              <w:jc w:val="left"/>
            </w:pPr>
            <w:r>
              <w:t xml:space="preserve">0,047</w:t>
            </w:r>
          </w:p>
        </w:tc>
      </w:tr>
      <w:tr>
        <w:trPr>
          <w:cantSplit/>
        </w:trPr>
        <w:tc>
          <w:tcPr/>
          <w:p>
            <w:pPr>
              <w:pStyle w:val="Compact"/>
              <w:jc w:val="left"/>
            </w:pPr>
            <w:r>
              <w:t xml:space="preserve">vol_6m</w:t>
            </w:r>
          </w:p>
        </w:tc>
        <w:tc>
          <w:tcPr/>
          <w:p>
            <w:pPr>
              <w:pStyle w:val="Compact"/>
              <w:jc w:val="left"/>
            </w:pPr>
            <w:r>
              <w:t xml:space="preserve">−</w:t>
            </w:r>
          </w:p>
        </w:tc>
        <w:tc>
          <w:tcPr/>
          <w:p>
            <w:pPr>
              <w:pStyle w:val="Compact"/>
              <w:jc w:val="left"/>
            </w:pPr>
            <w:r>
              <w:t xml:space="preserve">61%</w:t>
            </w:r>
          </w:p>
        </w:tc>
        <w:tc>
          <w:tcPr/>
          <w:p>
            <w:pPr>
              <w:pStyle w:val="Compact"/>
              <w:jc w:val="left"/>
            </w:pPr>
            <w:r>
              <w:t xml:space="preserve">16%</w:t>
            </w:r>
          </w:p>
        </w:tc>
        <w:tc>
          <w:tcPr/>
          <w:p>
            <w:pPr>
              <w:pStyle w:val="Compact"/>
              <w:jc w:val="left"/>
            </w:pPr>
            <w:r>
              <w:t xml:space="preserve">0,010</w:t>
            </w:r>
          </w:p>
        </w:tc>
      </w:tr>
      <w:tr>
        <w:trPr>
          <w:cantSplit/>
        </w:trPr>
        <w:tc>
          <w:tcPr/>
          <w:p>
            <w:pPr>
              <w:pStyle w:val="Compact"/>
              <w:jc w:val="left"/>
            </w:pPr>
            <w:r>
              <w:t xml:space="preserve">term_spread</w:t>
            </w:r>
          </w:p>
        </w:tc>
        <w:tc>
          <w:tcPr/>
          <w:p>
            <w:pPr>
              <w:pStyle w:val="Compact"/>
              <w:jc w:val="left"/>
            </w:pPr>
            <w:r>
              <w:t xml:space="preserve">+</w:t>
            </w:r>
          </w:p>
        </w:tc>
        <w:tc>
          <w:tcPr/>
          <w:p>
            <w:pPr>
              <w:pStyle w:val="Compact"/>
              <w:jc w:val="left"/>
            </w:pPr>
            <w:r>
              <w:t xml:space="preserve">55%</w:t>
            </w:r>
          </w:p>
        </w:tc>
        <w:tc>
          <w:tcPr/>
          <w:p>
            <w:pPr>
              <w:pStyle w:val="Compact"/>
              <w:jc w:val="left"/>
            </w:pPr>
            <w:r>
              <w:t xml:space="preserve">100%</w:t>
            </w:r>
          </w:p>
        </w:tc>
        <w:tc>
          <w:tcPr/>
          <w:p>
            <w:pPr>
              <w:pStyle w:val="Compact"/>
              <w:jc w:val="left"/>
            </w:pPr>
            <w:r>
              <w:t xml:space="preserve">0,025</w:t>
            </w:r>
          </w:p>
        </w:tc>
      </w:tr>
      <w:tr>
        <w:trPr>
          <w:cantSplit/>
        </w:trPr>
        <w:tc>
          <w:tcPr/>
          <w:p>
            <w:pPr>
              <w:pStyle w:val="Compact"/>
              <w:jc w:val="left"/>
            </w:pPr>
            <w:r>
              <w:t xml:space="preserve">d_rate_3m</w:t>
            </w:r>
          </w:p>
        </w:tc>
        <w:tc>
          <w:tcPr/>
          <w:p>
            <w:pPr>
              <w:pStyle w:val="Compact"/>
              <w:jc w:val="left"/>
            </w:pPr>
            <w:r>
              <w:t xml:space="preserve">−</w:t>
            </w:r>
          </w:p>
        </w:tc>
        <w:tc>
          <w:tcPr/>
          <w:p>
            <w:pPr>
              <w:pStyle w:val="Compact"/>
              <w:jc w:val="left"/>
            </w:pPr>
            <w:r>
              <w:t xml:space="preserve">97%</w:t>
            </w:r>
          </w:p>
        </w:tc>
        <w:tc>
          <w:tcPr/>
          <w:p>
            <w:pPr>
              <w:pStyle w:val="Compact"/>
              <w:jc w:val="left"/>
            </w:pPr>
            <w:r>
              <w:t xml:space="preserve">100%</w:t>
            </w:r>
          </w:p>
        </w:tc>
        <w:tc>
          <w:tcPr/>
          <w:p>
            <w:pPr>
              <w:pStyle w:val="Compact"/>
              <w:jc w:val="left"/>
            </w:pPr>
            <w:r>
              <w:t xml:space="preserve">−0,095</w:t>
            </w:r>
          </w:p>
        </w:tc>
      </w:tr>
      <w:tr>
        <w:trPr>
          <w:cantSplit/>
        </w:trPr>
        <w:tc>
          <w:tcPr/>
          <w:p>
            <w:pPr>
              <w:pStyle w:val="Compact"/>
              <w:jc w:val="left"/>
            </w:pPr>
            <w:r>
              <w:t xml:space="preserve">gold_basis</w:t>
            </w:r>
          </w:p>
        </w:tc>
        <w:tc>
          <w:tcPr/>
          <w:p>
            <w:pPr>
              <w:pStyle w:val="Compact"/>
              <w:jc w:val="left"/>
            </w:pPr>
            <w:r>
              <w:t xml:space="preserve">−</w:t>
            </w:r>
          </w:p>
        </w:tc>
        <w:tc>
          <w:tcPr/>
          <w:p>
            <w:pPr>
              <w:pStyle w:val="Compact"/>
              <w:jc w:val="left"/>
            </w:pPr>
            <w:r>
              <w:t xml:space="preserve">4%</w:t>
            </w:r>
          </w:p>
        </w:tc>
        <w:tc>
          <w:tcPr/>
          <w:p>
            <w:pPr>
              <w:pStyle w:val="Compact"/>
              <w:jc w:val="left"/>
            </w:pPr>
            <w:r>
              <w:t xml:space="preserve">25%</w:t>
            </w:r>
          </w:p>
        </w:tc>
        <w:tc>
          <w:tcPr/>
          <w:p>
            <w:pPr>
              <w:pStyle w:val="Compact"/>
              <w:jc w:val="left"/>
            </w:pPr>
            <w:r>
              <w:t xml:space="preserve">0,001</w:t>
            </w:r>
          </w:p>
        </w:tc>
      </w:tr>
    </w:tbl>
    <w:p>
      <w:pPr>
        <w:pStyle w:val="BodyText"/>
        <w:spacing w:before="200"/>
      </w:pPr>
      <w:r>
        <w:rPr>
          <w:iCs/>
          <w:i/>
        </w:rPr>
        <w:t xml:space="preserve">Ghi chú: hệ số trên biến mục tiêu chuẩn hóa (mục 3.6.1), biến đầu vào là z-score. Tổng cộng 114 lần huấn luyện, trong đó 13 lần mọi hệ số bằng 0.</w:t>
      </w:r>
    </w:p>
    <w:p>
      <w:pPr>
        <w:pStyle w:val="BodyText"/>
      </w:pPr>
      <w:r>
        <w:rPr>
          <w:bCs/>
          <w:b/>
        </w:rPr>
        <w:t xml:space="preserve">Hệ số Elastic Net có ý nghĩa kinh tế.</w:t>
      </w:r>
      <w:r>
        <w:t xml:space="preserve"> </w:t>
      </w:r>
      <w:r>
        <w:t xml:space="preserve">Trong 114 lần huấn luyện, 13 lần (chủ yếu ở giai đoạn đầu, khi mẫu còn nhỏ) mô hình co mọi hệ số về 0 và cho đúng dự báo chuẩn. Trong 101 lần còn lại, hai biến xuất hiện gần như luôn luôn là động lượng 1 tháng (92%) và thay đổi lãi suất 3 tháng (97%), và cả hai luôn đúng dấu kỳ vọng: lợi nhuận tháng trước cao báo hiệu lợi nhuận tháng sau cao hơn trung bình, còn lãi suất tiền gửi tăng báo hiệu lợi nhuận thấp hơn. Động lượng 6 tháng (70%) và chênh lệch kỳ hạn (55%) cũng đúng dấu trong 99–100% số lần khác 0. Hệ số trung bình của thay đổi lãi suất (−0,095) lớn nhất về độ lớn, nghĩa là một độ lệch chuẩn tăng lãi suất trong 3 tháng đi kèm lợi nhuận tháng sau thấp hơn khoảng 0,1 độ lệch chuẩn của lợi nhuận.</w:t>
      </w:r>
    </w:p>
    <w:p>
      <w:pPr>
        <w:pStyle w:val="BodyText"/>
      </w:pPr>
      <w:r>
        <w:t xml:space="preserve">Riêng biến độ biến động 6 tháng có dấu dương trong 84% số lần khác 0, ngược với kỳ vọng từ Moreira và Muir (2017). Với biến mục tiêu đã chia cho độ biến động, dấu này có thể phản ánh việc các giai đoạn biến động cao ở Việt Nam (đầu 2020, cuối 2022) thường đi kèm hồi phục mạnh ngay sau đó. Biến chênh lệch giá vàng gần như không bao giờ được chọn (4%), nên kỹ năng dự báo vàng của mô hình đến chủ yếu từ động lượng chứ không phải từ cơ chế thu hẹp chênh lệch. Mô hình chọn l1_ratio = 0,1 (thiên về Ridge) trong 46 lần và l1_ratio = 1 (Lasso thuần) trong 41 lần, với α trung vị 0,14.</w:t>
      </w:r>
    </w:p>
    <w:p>
      <w:pPr>
        <w:pStyle w:val="BodyText"/>
      </w:pPr>
      <w:r>
        <w:rPr>
          <w:bCs/>
          <w:b/>
        </w:rPr>
        <w:t xml:space="preserve">LightGBM gần như trở về hằng số.</w:t>
      </w:r>
      <w:r>
        <w:t xml:space="preserve"> </w:t>
      </w:r>
      <w:r>
        <w:t xml:space="preserve">Trong 9 lần chọn siêu tham số bằng kiểm định chéo (mỗi năm một lần từ 2018), quy tắc 1-SE chọn cấu hình chính quy hóa mạnh nhất của lưới (độ sâu 1, 2 lá, tối thiểu 80 quan sát mỗi lá, phạt L2 bằng 10) trong 8 lần; ngoại lệ duy nhất là năm 2020 với độ sâu 2 và 3 lá. Số cây được chọn dao động từ 1 đến 191, và trong ba năm (2018, 2019, 2021) chỉ có 1 cây. Nói cách khác, dữ liệu không đủ để một mô hình cây phi tuyến học được gì vượt mức một quy tắc chia đôi đơn giản, và quy tắc 1-SE đã hoạt động đúng như mong đợi khi ngăn mô hình khớp nhiễu.</w:t>
      </w:r>
    </w:p>
    <w:bookmarkEnd w:id="104"/>
    <w:bookmarkStart w:id="105" w:name="dự-báo-đi-vào-blacklitterman"/>
    <w:p>
      <w:pPr>
        <w:pStyle w:val="Heading3"/>
      </w:pPr>
      <w:r>
        <w:t xml:space="preserve">4.2.4 Dự báo đi vào Black–Litterman</w:t>
      </w:r>
    </w:p>
    <w:p>
      <w:pPr>
        <w:pStyle w:val="FirstParagraph"/>
      </w:pPr>
      <w:r>
        <w:t xml:space="preserve">Trong 34 lần tái cân bằng của kịch bản Trung hạn, 23 lần có ít nhất một quan điểm (lần đầu tiên vào 07/2018, khi đã tích lũy đủ 12 tháng dự báo ngoài mẫu để đánh giá kỹ năng). Quan điểm cho rổ bất động sản xuất hiện nhiều nhất (18 lần, mức tin cậy trung bình 0,74), tiếp đến vàng (7 lần) và cổ phiếu (4 lần). Như vậy quy tắc chỉ dùng dự báo có kỹ năng đã loại phần lớn dự báo cổ phiếu, đúng với kết quả R²</w:t>
      </w:r>
      <w:r>
        <w:rPr>
          <w:vertAlign w:val="subscript"/>
        </w:rPr>
        <w:t xml:space="preserve">OS</w:t>
      </w:r>
      <w:r>
        <w:t xml:space="preserve"> </w:t>
      </w:r>
      <w:r>
        <w:t xml:space="preserve">âm ở Hình 4.2. Quan điểm cho bất động sản xuất hiện nhiều dù R²</w:t>
      </w:r>
      <w:r>
        <w:rPr>
          <w:vertAlign w:val="subscript"/>
        </w:rPr>
        <w:t xml:space="preserve">OS</w:t>
      </w:r>
      <w:r>
        <w:t xml:space="preserve"> </w:t>
      </w:r>
      <w:r>
        <w:t xml:space="preserve">cả giai đoạn của lớp này không có ý nghĩa, vì quy tắc dùng kỹ năng tích lũy đến thời điểm quyết định: trong một số giai đoạn, kỹ năng quá khứ của lớp này dương và mức tin cậy được xác lập theo đó. Đây là cái giá của việc chỉ dùng thông tin quá khứ: bộ lọc kỹ năng không biết trước kỹ năng nào sẽ bền vững.</w:t>
      </w:r>
    </w:p>
    <w:p>
      <w:pPr>
        <w:pStyle w:val="BodyText"/>
      </w:pPr>
      <w:r>
        <w:rPr>
          <w:bCs/>
          <w:b/>
        </w:rPr>
        <w:t xml:space="preserve">Ví dụ: lần tái cân bằng cuối tháng 04/2025.</w:t>
      </w:r>
      <w:r>
        <w:t xml:space="preserve"> </w:t>
      </w:r>
      <w:r>
        <w:t xml:space="preserve">Để thấy cơ chế Black–Litterman vận hành ra sao, Bảng 4.7 trình bày từng bước tính tại một lần tái cân bằng có hai quan điểm, quyết định cuối tháng 04/2025 và áp dụng cho ba tháng 05–07/2025, kịch bản Cân bằng / Trung hạn. Tại thời điểm này, mỗi lớp đã có 98 tháng dự báo ngoài mẫu để đánh giá kỹ năng; lãi tiền mặt kỳ hạn 3 tháng là 0,16%/tháng.</w:t>
      </w:r>
    </w:p>
    <w:p>
      <w:pPr>
        <w:pStyle w:val="TableCaption"/>
      </w:pPr>
      <w:r>
        <w:t xml:space="preserve">Bảng 4.7. Các bước tính Black–Litterman tại lần tái cân bằng cuối 04/2025 (Cân bằng / Trung hạn)</w:t>
      </w:r>
    </w:p>
    <w:tbl>
      <w:tblPr>
        <w:tblStyle w:val="Table"/>
        <w:tblW w:type="pct" w:w="5000"/>
        <w:jc w:val="center"/>
        <w:tblLook w:firstRow="1" w:lastRow="0" w:firstColumn="0" w:lastColumn="0" w:noHBand="0" w:noVBand="0" w:val="0020"/>
        <w:tblCaption w:val="Bảng 4.7. Các bước tính Black–Litterman tại lần tái cân bằng cuối 04/2025 (Cân bằng / Trung hạn)"/>
      </w:tblPr>
      <w:tblGrid>
        <w:gridCol w:w="2948"/>
        <w:gridCol w:w="926"/>
        <w:gridCol w:w="926"/>
        <w:gridCol w:w="842"/>
        <w:gridCol w:w="1432"/>
        <w:gridCol w:w="842"/>
      </w:tblGrid>
      <w:tr>
        <w:trPr>
          <w:tblHeader w:val="true"/>
        </w:trPr>
        <w:tc>
          <w:tcPr/>
          <w:p>
            <w:pPr>
              <w:pStyle w:val="Compact"/>
              <w:jc w:val="center"/>
            </w:pPr>
            <w:r>
              <w:rPr>
                <w:b/>
              </w:rPr>
              <w:t xml:space="preserve">Bước</w:t>
            </w:r>
          </w:p>
        </w:tc>
        <w:tc>
          <w:tcPr/>
          <w:p>
            <w:pPr>
              <w:pStyle w:val="Compact"/>
              <w:jc w:val="center"/>
            </w:pPr>
            <w:r>
              <w:rPr>
                <w:b/>
              </w:rPr>
              <w:t xml:space="preserve">Cổ phiếu</w:t>
            </w:r>
          </w:p>
        </w:tc>
        <w:tc>
          <w:tcPr/>
          <w:p>
            <w:pPr>
              <w:pStyle w:val="Compact"/>
              <w:jc w:val="center"/>
            </w:pPr>
            <w:r>
              <w:rPr>
                <w:b/>
              </w:rPr>
              <w:t xml:space="preserve">Cổ phiếu BĐS</w:t>
            </w:r>
          </w:p>
        </w:tc>
        <w:tc>
          <w:tcPr/>
          <w:p>
            <w:pPr>
              <w:pStyle w:val="Compact"/>
              <w:jc w:val="center"/>
            </w:pPr>
            <w:r>
              <w:rPr>
                <w:b/>
              </w:rPr>
              <w:t xml:space="preserve">Vàng</w:t>
            </w:r>
          </w:p>
        </w:tc>
        <w:tc>
          <w:tcPr/>
          <w:p>
            <w:pPr>
              <w:pStyle w:val="Compact"/>
              <w:jc w:val="center"/>
            </w:pPr>
            <w:r>
              <w:rPr>
                <w:b/>
              </w:rPr>
              <w:t xml:space="preserve">Trái phiếu</w:t>
            </w:r>
          </w:p>
        </w:tc>
        <w:tc>
          <w:tcPr/>
          <w:p>
            <w:pPr>
              <w:pStyle w:val="Compact"/>
              <w:jc w:val="center"/>
            </w:pPr>
            <w:r>
              <w:rPr>
                <w:b/>
              </w:rPr>
              <w:t xml:space="preserve">Tiền gửi</w:t>
            </w:r>
          </w:p>
        </w:tc>
      </w:tr>
      <w:tr>
        <w:trPr>
          <w:cantSplit/>
        </w:trPr>
        <w:tc>
          <w:tcPr/>
          <w:p>
            <w:pPr>
              <w:pStyle w:val="Compact"/>
              <w:jc w:val="left"/>
            </w:pPr>
            <w:r>
              <w:t xml:space="preserve">Độ biến động ước lượng (năm)</w:t>
            </w:r>
          </w:p>
        </w:tc>
        <w:tc>
          <w:tcPr/>
          <w:p>
            <w:pPr>
              <w:pStyle w:val="Compact"/>
              <w:jc w:val="left"/>
            </w:pPr>
            <w:r>
              <w:t xml:space="preserve">17,7%</w:t>
            </w:r>
          </w:p>
        </w:tc>
        <w:tc>
          <w:tcPr/>
          <w:p>
            <w:pPr>
              <w:pStyle w:val="Compact"/>
              <w:jc w:val="left"/>
            </w:pPr>
            <w:r>
              <w:t xml:space="preserve">30,1%</w:t>
            </w:r>
          </w:p>
        </w:tc>
        <w:tc>
          <w:tcPr/>
          <w:p>
            <w:pPr>
              <w:pStyle w:val="Compact"/>
              <w:jc w:val="left"/>
            </w:pPr>
            <w:r>
              <w:t xml:space="preserve">18,5%</w:t>
            </w:r>
          </w:p>
        </w:tc>
        <w:tc>
          <w:tcPr/>
          <w:p>
            <w:pPr>
              <w:pStyle w:val="Compact"/>
              <w:jc w:val="left"/>
            </w:pPr>
            <w:r>
              <w:t xml:space="preserve">1,4%</w:t>
            </w:r>
          </w:p>
        </w:tc>
        <w:tc>
          <w:tcPr/>
          <w:p>
            <w:pPr>
              <w:pStyle w:val="Compact"/>
              <w:jc w:val="left"/>
            </w:pPr>
            <w:r>
              <w:t xml:space="preserve">–</w:t>
            </w:r>
          </w:p>
        </w:tc>
      </w:tr>
      <w:tr>
        <w:trPr>
          <w:cantSplit/>
        </w:trPr>
        <w:tc>
          <w:tcPr/>
          <w:p>
            <w:pPr>
              <w:pStyle w:val="Compact"/>
              <w:jc w:val="left"/>
            </w:pPr>
            <w:r>
              <w:t xml:space="preserve">(1) Tiên nghiệm π = δΣw</w:t>
            </w:r>
            <w:r>
              <w:rPr>
                <w:vertAlign w:val="subscript"/>
              </w:rPr>
              <w:t xml:space="preserve">EW</w:t>
            </w:r>
            <w:r>
              <w:t xml:space="preserve"> </w:t>
            </w:r>
            <w:r>
              <w:t xml:space="preserve">(%/tháng)</w:t>
            </w:r>
          </w:p>
        </w:tc>
        <w:tc>
          <w:tcPr/>
          <w:p>
            <w:pPr>
              <w:pStyle w:val="Compact"/>
              <w:jc w:val="left"/>
            </w:pPr>
            <w:r>
              <w:t xml:space="preserve">0,24</w:t>
            </w:r>
          </w:p>
        </w:tc>
        <w:tc>
          <w:tcPr/>
          <w:p>
            <w:pPr>
              <w:pStyle w:val="Compact"/>
              <w:jc w:val="left"/>
            </w:pPr>
            <w:r>
              <w:t xml:space="preserve">0,51</w:t>
            </w:r>
          </w:p>
        </w:tc>
        <w:tc>
          <w:tcPr/>
          <w:p>
            <w:pPr>
              <w:pStyle w:val="Compact"/>
              <w:jc w:val="left"/>
            </w:pPr>
            <w:r>
              <w:t xml:space="preserve">0,14</w:t>
            </w:r>
          </w:p>
        </w:tc>
        <w:tc>
          <w:tcPr/>
          <w:p>
            <w:pPr>
              <w:pStyle w:val="Compact"/>
              <w:jc w:val="left"/>
            </w:pPr>
            <w:r>
              <w:t xml:space="preserve">0,01</w:t>
            </w:r>
          </w:p>
        </w:tc>
        <w:tc>
          <w:tcPr/>
          <w:p>
            <w:pPr>
              <w:pStyle w:val="Compact"/>
              <w:jc w:val="left"/>
            </w:pPr>
            <w:r>
              <w:t xml:space="preserve">–</w:t>
            </w:r>
          </w:p>
        </w:tc>
      </w:tr>
      <w:tr>
        <w:trPr>
          <w:cantSplit/>
        </w:trPr>
        <w:tc>
          <w:tcPr/>
          <w:p>
            <w:pPr>
              <w:pStyle w:val="Compact"/>
              <w:jc w:val="left"/>
            </w:pPr>
            <w:r>
              <w:t xml:space="preserve">R²</w:t>
            </w:r>
            <w:r>
              <w:rPr>
                <w:vertAlign w:val="subscript"/>
              </w:rPr>
              <w:t xml:space="preserve">OS</w:t>
            </w:r>
            <w:r>
              <w:t xml:space="preserve"> </w:t>
            </w:r>
            <w:r>
              <w:t xml:space="preserve">tích lũy của Elastic Net</w:t>
            </w:r>
          </w:p>
        </w:tc>
        <w:tc>
          <w:tcPr/>
          <w:p>
            <w:pPr>
              <w:pStyle w:val="Compact"/>
              <w:jc w:val="left"/>
            </w:pPr>
            <w:r>
              <w:t xml:space="preserve">−4,9%</w:t>
            </w:r>
          </w:p>
        </w:tc>
        <w:tc>
          <w:tcPr/>
          <w:p>
            <w:pPr>
              <w:pStyle w:val="Compact"/>
              <w:jc w:val="left"/>
            </w:pPr>
            <w:r>
              <w:t xml:space="preserve">4,1%</w:t>
            </w:r>
          </w:p>
        </w:tc>
        <w:tc>
          <w:tcPr/>
          <w:p>
            <w:pPr>
              <w:pStyle w:val="Compact"/>
              <w:jc w:val="left"/>
            </w:pPr>
            <w:r>
              <w:t xml:space="preserve">4,1%</w:t>
            </w:r>
          </w:p>
        </w:tc>
        <w:tc>
          <w:tcPr/>
          <w:p>
            <w:pPr>
              <w:pStyle w:val="Compact"/>
              <w:jc w:val="left"/>
            </w:pPr>
            <w:r>
              <w:t xml:space="preserve">−2,2%</w:t>
            </w:r>
          </w:p>
        </w:tc>
        <w:tc>
          <w:tcPr/>
          <w:p>
            <w:pPr>
              <w:pStyle w:val="Compact"/>
              <w:jc w:val="left"/>
            </w:pPr>
            <w:r>
              <w:t xml:space="preserve">–</w:t>
            </w:r>
          </w:p>
        </w:tc>
      </w:tr>
      <w:tr>
        <w:trPr>
          <w:cantSplit/>
        </w:trPr>
        <w:tc>
          <w:tcPr/>
          <w:p>
            <w:pPr>
              <w:pStyle w:val="Compact"/>
              <w:jc w:val="left"/>
            </w:pPr>
            <w:r>
              <w:t xml:space="preserve">Trọng số kết hợp tối ưu λ*</w:t>
            </w:r>
          </w:p>
        </w:tc>
        <w:tc>
          <w:tcPr/>
          <w:p>
            <w:pPr>
              <w:pStyle w:val="Compact"/>
              <w:jc w:val="left"/>
            </w:pPr>
            <w:r>
              <w:t xml:space="preserve">0,09</w:t>
            </w:r>
          </w:p>
        </w:tc>
        <w:tc>
          <w:tcPr/>
          <w:p>
            <w:pPr>
              <w:pStyle w:val="Compact"/>
              <w:jc w:val="left"/>
            </w:pPr>
            <w:r>
              <w:t xml:space="preserve">0,72</w:t>
            </w:r>
          </w:p>
        </w:tc>
        <w:tc>
          <w:tcPr/>
          <w:p>
            <w:pPr>
              <w:pStyle w:val="Compact"/>
              <w:jc w:val="left"/>
            </w:pPr>
            <w:r>
              <w:t xml:space="preserve">1,65</w:t>
            </w:r>
          </w:p>
        </w:tc>
        <w:tc>
          <w:tcPr/>
          <w:p>
            <w:pPr>
              <w:pStyle w:val="Compact"/>
              <w:jc w:val="left"/>
            </w:pPr>
            <w:r>
              <w:t xml:space="preserve">0,06</w:t>
            </w:r>
          </w:p>
        </w:tc>
        <w:tc>
          <w:tcPr/>
          <w:p>
            <w:pPr>
              <w:pStyle w:val="Compact"/>
              <w:jc w:val="left"/>
            </w:pPr>
            <w:r>
              <w:t xml:space="preserve">–</w:t>
            </w:r>
          </w:p>
        </w:tc>
      </w:tr>
      <w:tr>
        <w:trPr>
          <w:cantSplit/>
        </w:trPr>
        <w:tc>
          <w:tcPr/>
          <w:p>
            <w:pPr>
              <w:pStyle w:val="Compact"/>
              <w:jc w:val="left"/>
            </w:pPr>
            <w:r>
              <w:t xml:space="preserve">(2) Mức tin cậy c</w:t>
            </w:r>
          </w:p>
        </w:tc>
        <w:tc>
          <w:tcPr/>
          <w:p>
            <w:pPr>
              <w:pStyle w:val="Compact"/>
              <w:jc w:val="left"/>
            </w:pPr>
            <w:r>
              <w:t xml:space="preserve">0</w:t>
            </w:r>
          </w:p>
        </w:tc>
        <w:tc>
          <w:tcPr/>
          <w:p>
            <w:pPr>
              <w:pStyle w:val="Compact"/>
              <w:jc w:val="left"/>
            </w:pPr>
            <w:r>
              <w:t xml:space="preserve">0,72</w:t>
            </w:r>
          </w:p>
        </w:tc>
        <w:tc>
          <w:tcPr/>
          <w:p>
            <w:pPr>
              <w:pStyle w:val="Compact"/>
              <w:jc w:val="left"/>
            </w:pPr>
            <w:r>
              <w:t xml:space="preserve">0,95</w:t>
            </w:r>
          </w:p>
        </w:tc>
        <w:tc>
          <w:tcPr/>
          <w:p>
            <w:pPr>
              <w:pStyle w:val="Compact"/>
              <w:jc w:val="left"/>
            </w:pPr>
            <w:r>
              <w:t xml:space="preserve">0 (không nhận quan điểm)</w:t>
            </w:r>
          </w:p>
        </w:tc>
        <w:tc>
          <w:tcPr/>
          <w:p>
            <w:pPr>
              <w:pStyle w:val="Compact"/>
              <w:jc w:val="left"/>
            </w:pPr>
            <w:r>
              <w:t xml:space="preserve">–</w:t>
            </w:r>
          </w:p>
        </w:tc>
      </w:tr>
      <w:tr>
        <w:trPr>
          <w:cantSplit/>
        </w:trPr>
        <w:tc>
          <w:tcPr/>
          <w:p>
            <w:pPr>
              <w:pStyle w:val="Compact"/>
              <w:jc w:val="left"/>
            </w:pPr>
            <w:r>
              <w:t xml:space="preserve">(3) Quan điểm Q, vượt tiền mặt (%/tháng)</w:t>
            </w:r>
          </w:p>
        </w:tc>
        <w:tc>
          <w:tcPr/>
          <w:p>
            <w:pPr>
              <w:pStyle w:val="Compact"/>
              <w:jc w:val="left"/>
            </w:pPr>
            <w:r>
              <w:t xml:space="preserve">–</w:t>
            </w:r>
          </w:p>
        </w:tc>
        <w:tc>
          <w:tcPr/>
          <w:p>
            <w:pPr>
              <w:pStyle w:val="Compact"/>
              <w:jc w:val="left"/>
            </w:pPr>
            <w:r>
              <w:t xml:space="preserve">−0,64</w:t>
            </w:r>
          </w:p>
        </w:tc>
        <w:tc>
          <w:tcPr/>
          <w:p>
            <w:pPr>
              <w:pStyle w:val="Compact"/>
              <w:jc w:val="left"/>
            </w:pPr>
            <w:r>
              <w:t xml:space="preserve">5,09</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(4) Hậu nghiệm μ</w:t>
            </w:r>
            <w:r>
              <w:rPr>
                <w:vertAlign w:val="subscript"/>
              </w:rPr>
              <w:t xml:space="preserve">BL</w:t>
            </w:r>
            <w:r>
              <w:t xml:space="preserve"> </w:t>
            </w:r>
            <w:r>
              <w:t xml:space="preserve">(%/tháng)</w:t>
            </w:r>
          </w:p>
        </w:tc>
        <w:tc>
          <w:tcPr/>
          <w:p>
            <w:pPr>
              <w:pStyle w:val="Compact"/>
              <w:jc w:val="left"/>
            </w:pPr>
            <w:r>
              <w:t xml:space="preserve">−0,35</w:t>
            </w:r>
          </w:p>
        </w:tc>
        <w:tc>
          <w:tcPr/>
          <w:p>
            <w:pPr>
              <w:pStyle w:val="Compact"/>
              <w:jc w:val="left"/>
            </w:pPr>
            <w:r>
              <w:t xml:space="preserve">−0,24</w:t>
            </w:r>
          </w:p>
        </w:tc>
        <w:tc>
          <w:tcPr/>
          <w:p>
            <w:pPr>
              <w:pStyle w:val="Compact"/>
              <w:jc w:val="left"/>
            </w:pPr>
            <w:r>
              <w:t xml:space="preserve">4,85</w:t>
            </w:r>
          </w:p>
        </w:tc>
        <w:tc>
          <w:tcPr/>
          <w:p>
            <w:pPr>
              <w:pStyle w:val="Compact"/>
              <w:jc w:val="left"/>
            </w:pPr>
            <w:r>
              <w:t xml:space="preserve">−0,02</w:t>
            </w:r>
          </w:p>
        </w:tc>
        <w:tc>
          <w:tcPr/>
          <w:p>
            <w:pPr>
              <w:pStyle w:val="Compact"/>
              <w:jc w:val="left"/>
            </w:pPr>
            <w:r>
              <w:t xml:space="preserve">–</w:t>
            </w:r>
          </w:p>
        </w:tc>
      </w:tr>
      <w:tr>
        <w:trPr>
          <w:cantSplit/>
        </w:trPr>
        <w:tc>
          <w:tcPr/>
          <w:p>
            <w:pPr>
              <w:pStyle w:val="Compact"/>
              <w:jc w:val="left"/>
            </w:pPr>
            <w:r>
              <w:t xml:space="preserve">(5) Tỷ trọng BL</w:t>
            </w:r>
          </w:p>
        </w:tc>
        <w:tc>
          <w:tcPr/>
          <w:p>
            <w:pPr>
              <w:pStyle w:val="Compact"/>
              <w:jc w:val="left"/>
            </w:pPr>
            <w:r>
              <w:t xml:space="preserve">35,5%</w:t>
            </w:r>
          </w:p>
        </w:tc>
        <w:tc>
          <w:tcPr/>
          <w:p>
            <w:pPr>
              <w:pStyle w:val="Compact"/>
              <w:jc w:val="left"/>
            </w:pPr>
            <w:r>
              <w:t xml:space="preserve">4,5%</w:t>
            </w:r>
          </w:p>
        </w:tc>
        <w:tc>
          <w:tcPr/>
          <w:p>
            <w:pPr>
              <w:pStyle w:val="Compact"/>
              <w:jc w:val="left"/>
            </w:pPr>
            <w:r>
              <w:t xml:space="preserve">50,0%</w:t>
            </w:r>
          </w:p>
        </w:tc>
        <w:tc>
          <w:tcPr/>
          <w:p>
            <w:pPr>
              <w:pStyle w:val="Compact"/>
              <w:jc w:val="left"/>
            </w:pPr>
            <w:r>
              <w:t xml:space="preserve">0,0%</w:t>
            </w:r>
          </w:p>
        </w:tc>
        <w:tc>
          <w:tcPr/>
          <w:p>
            <w:pPr>
              <w:pStyle w:val="Compact"/>
              <w:jc w:val="left"/>
            </w:pPr>
            <w:r>
              <w:t xml:space="preserve">10,0%</w:t>
            </w:r>
          </w:p>
        </w:tc>
      </w:tr>
      <w:tr>
        <w:trPr>
          <w:cantSplit/>
        </w:trPr>
        <w:tc>
          <w:tcPr/>
          <w:p>
            <w:pPr>
              <w:pStyle w:val="Compact"/>
              <w:jc w:val="left"/>
            </w:pPr>
            <w:r>
              <w:t xml:space="preserve">Tỷ trọng nếu chỉ dùng tiên nghiệm</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r>
      <w:tr>
        <w:trPr>
          <w:cantSplit/>
        </w:trPr>
        <w:tc>
          <w:tcPr/>
          <w:p>
            <w:pPr>
              <w:pStyle w:val="Compact"/>
              <w:jc w:val="left"/>
            </w:pPr>
            <w:r>
              <w:t xml:space="preserve">Tỷ trọng Markowitz cùng thời điểm</w:t>
            </w:r>
          </w:p>
        </w:tc>
        <w:tc>
          <w:tcPr/>
          <w:p>
            <w:pPr>
              <w:pStyle w:val="Compact"/>
              <w:jc w:val="left"/>
            </w:pPr>
            <w:r>
              <w:t xml:space="preserve">40,0%</w:t>
            </w:r>
          </w:p>
        </w:tc>
        <w:tc>
          <w:tcPr/>
          <w:p>
            <w:pPr>
              <w:pStyle w:val="Compact"/>
              <w:jc w:val="left"/>
            </w:pPr>
            <w:r>
              <w:t xml:space="preserve">0,0%</w:t>
            </w:r>
          </w:p>
        </w:tc>
        <w:tc>
          <w:tcPr/>
          <w:p>
            <w:pPr>
              <w:pStyle w:val="Compact"/>
              <w:jc w:val="left"/>
            </w:pPr>
            <w:r>
              <w:t xml:space="preserve">14,0%</w:t>
            </w:r>
          </w:p>
        </w:tc>
        <w:tc>
          <w:tcPr/>
          <w:p>
            <w:pPr>
              <w:pStyle w:val="Compact"/>
              <w:jc w:val="left"/>
            </w:pPr>
            <w:r>
              <w:t xml:space="preserve">46,0%</w:t>
            </w:r>
          </w:p>
        </w:tc>
        <w:tc>
          <w:tcPr/>
          <w:p>
            <w:pPr>
              <w:pStyle w:val="Compact"/>
              <w:jc w:val="left"/>
            </w:pPr>
            <w:r>
              <w:t xml:space="preserve">0,0%</w:t>
            </w:r>
          </w:p>
        </w:tc>
      </w:tr>
      <w:tr>
        <w:trPr>
          <w:cantSplit/>
        </w:trPr>
        <w:tc>
          <w:tcPr/>
          <w:p>
            <w:pPr>
              <w:pStyle w:val="Compact"/>
              <w:jc w:val="left"/>
            </w:pPr>
            <w:r>
              <w:t xml:space="preserve">Lợi nhuận thực tế 05–07/2025</w:t>
            </w:r>
          </w:p>
        </w:tc>
        <w:tc>
          <w:tcPr/>
          <w:p>
            <w:pPr>
              <w:pStyle w:val="Compact"/>
              <w:jc w:val="left"/>
            </w:pPr>
            <w:r>
              <w:t xml:space="preserve">+24,5%</w:t>
            </w:r>
          </w:p>
        </w:tc>
        <w:tc>
          <w:tcPr/>
          <w:p>
            <w:pPr>
              <w:pStyle w:val="Compact"/>
              <w:jc w:val="left"/>
            </w:pPr>
            <w:r>
              <w:t xml:space="preserve">+27,0%</w:t>
            </w:r>
          </w:p>
        </w:tc>
        <w:tc>
          <w:tcPr/>
          <w:p>
            <w:pPr>
              <w:pStyle w:val="Compact"/>
              <w:jc w:val="left"/>
            </w:pPr>
            <w:r>
              <w:t xml:space="preserve">+0,3%</w:t>
            </w:r>
          </w:p>
        </w:tc>
        <w:tc>
          <w:tcPr/>
          <w:p>
            <w:pPr>
              <w:pStyle w:val="Compact"/>
              <w:jc w:val="left"/>
            </w:pPr>
            <w:r>
              <w:t xml:space="preserve">+1,7%</w:t>
            </w:r>
          </w:p>
        </w:tc>
        <w:tc>
          <w:tcPr/>
          <w:p>
            <w:pPr>
              <w:pStyle w:val="Compact"/>
              <w:jc w:val="left"/>
            </w:pPr>
            <w:r>
              <w:t xml:space="preserve">+1,2%</w:t>
            </w:r>
          </w:p>
        </w:tc>
      </w:tr>
    </w:tbl>
    <w:p>
      <w:pPr>
        <w:pStyle w:val="BodyText"/>
        <w:spacing w:before="200"/>
      </w:pPr>
      <w:r>
        <w:t xml:space="preserve">Bảng 4.7 cho thấy năm điểm về cơ chế của mô hình.</w:t>
      </w:r>
    </w:p>
    <w:p>
      <w:pPr>
        <w:pStyle w:val="BodyText"/>
      </w:pPr>
      <w:r>
        <w:rPr>
          <w:iCs/>
          <w:i/>
        </w:rPr>
        <w:t xml:space="preserve">Thứ nhất, khi không có quan điểm, BL trả về đúng danh mục phân bổ đều.</w:t>
      </w:r>
      <w:r>
        <w:t xml:space="preserve"> </w:t>
      </w:r>
      <w:r>
        <w:t xml:space="preserve">Với tiên nghiệm π = δΣw</w:t>
      </w:r>
      <w:r>
        <w:rPr>
          <w:vertAlign w:val="subscript"/>
        </w:rPr>
        <w:t xml:space="preserve">EW</w:t>
      </w:r>
      <w:r>
        <w:t xml:space="preserve">, bài toán tối ưu với cùng δ cho lại đúng 20% mỗi lớp (dòng</w:t>
      </w:r>
      <w:r>
        <w:t xml:space="preserve"> </w:t>
      </w:r>
      <w:r>
        <w:t xml:space="preserve">“</w:t>
      </w:r>
      <w:r>
        <w:t xml:space="preserve">chỉ dùng tiên nghiệm</w:t>
      </w:r>
      <w:r>
        <w:t xml:space="preserve">”</w:t>
      </w:r>
      <w:r>
        <w:t xml:space="preserve">), và danh mục này nằm trong dải Cân bằng nên dải không cần can thiệp. Điều này giải thích vì sao trong 11/34 lần tái cân bằng không có quan điểm, BL gần như trùng Equal Weight, và vì sao BL giữ trung bình 27,6% vàng dù quan điểm cho vàng chỉ xuất hiện 7 lần: điểm xuất phát của BL đã có 20% vàng, cao hơn nhiều so với Markowitz, Risk Parity hay HRP.</w:t>
      </w:r>
    </w:p>
    <w:p>
      <w:pPr>
        <w:pStyle w:val="BodyText"/>
      </w:pPr>
      <w:r>
        <w:rPr>
          <w:iCs/>
          <w:i/>
        </w:rPr>
        <w:t xml:space="preserve">Thứ hai, bộ lọc kỹ năng loại đúng các lớp không có kỹ năng.</w:t>
      </w:r>
      <w:r>
        <w:t xml:space="preserve"> </w:t>
      </w:r>
      <w:r>
        <w:t xml:space="preserve">Cổ phiếu và trái phiếu có R²</w:t>
      </w:r>
      <w:r>
        <w:rPr>
          <w:vertAlign w:val="subscript"/>
        </w:rPr>
        <w:t xml:space="preserve">OS</w:t>
      </w:r>
      <w:r>
        <w:t xml:space="preserve"> </w:t>
      </w:r>
      <w:r>
        <w:t xml:space="preserve">tích lũy âm nên mức tin cậy bằng 0. Vàng có λ* = 1,65 &gt; 1, nghĩa là trong quá khứ dự báo của mô hình còn</w:t>
      </w:r>
      <w:r>
        <w:t xml:space="preserve"> </w:t>
      </w:r>
      <w:r>
        <w:t xml:space="preserve">“</w:t>
      </w:r>
      <w:r>
        <w:t xml:space="preserve">quá rụt rè</w:t>
      </w:r>
      <w:r>
        <w:t xml:space="preserve">”</w:t>
      </w:r>
      <w:r>
        <w:t xml:space="preserve"> </w:t>
      </w:r>
      <w:r>
        <w:t xml:space="preserve">so với lợi nhuận thực; mức tin cậy được chặn ở 0,95.</w:t>
      </w:r>
    </w:p>
    <w:p>
      <w:pPr>
        <w:pStyle w:val="BodyText"/>
      </w:pPr>
      <w:r>
        <w:rPr>
          <w:iCs/>
          <w:i/>
        </w:rPr>
        <w:t xml:space="preserve">Thứ ba, quan điểm có thể rất mạnh.</w:t>
      </w:r>
      <w:r>
        <w:t xml:space="preserve"> </w:t>
      </w:r>
      <w:r>
        <w:t xml:space="preserve">Dự báo cho vàng là lợi nhuận vượt tiền mặt 5,09%/tháng, tương đương hơn 60%/năm, vì vàng vừa có chuỗi tháng tăng mạnh đầu năm 2025 và mô hình chủ yếu dựa vào động lượng. Với mức tin cậy 0,95, lợi nhuận hậu nghiệm của vàng gần bằng quan điểm (4,85%/tháng). Trần 50% mỗi lớp là chốt chặn duy nhất giữ danh mục khỏi dồn toàn bộ phần phòng thủ vào vàng.</w:t>
      </w:r>
    </w:p>
    <w:p>
      <w:pPr>
        <w:pStyle w:val="BodyText"/>
      </w:pPr>
      <w:r>
        <w:rPr>
          <w:iCs/>
          <w:i/>
        </w:rPr>
        <w:t xml:space="preserve">Thứ tư, quan điểm lan sang lớp không có quan điểm qua tương quan.</w:t>
      </w:r>
      <w:r>
        <w:t xml:space="preserve"> </w:t>
      </w:r>
      <w:r>
        <w:t xml:space="preserve">Cổ phiếu không có quan điểm nhưng lợi nhuận hậu nghiệm vẫn giảm từ +0,24% xuống −0,35%/tháng, vì quan điểm tiêu cực cho cổ phiếu BĐS (tương quan 0,54 với cổ phiếu) kéo theo lớp này. Đây là tính chất đặc trưng của công thức Bayes trong BL: thông tin về một lớp cập nhật kỳ vọng của các lớp tương quan với nó. Dù vậy, cổ phiếu vẫn nhận 35,5% vì sàn 40% của dải Cân bằng buộc danh mục giữ đủ tài sản rủi ro, và cổ phiếu BĐS còn bị đánh giá thấp hơn.</w:t>
      </w:r>
    </w:p>
    <w:p>
      <w:pPr>
        <w:pStyle w:val="BodyText"/>
      </w:pPr>
      <w:r>
        <w:rPr>
          <w:iCs/>
          <w:i/>
        </w:rPr>
        <w:t xml:space="preserve">Thứ năm, quan điểm không phải lúc nào cũng đúng trong ngắn hạn.</w:t>
      </w:r>
      <w:r>
        <w:t xml:space="preserve"> </w:t>
      </w:r>
      <w:r>
        <w:t xml:space="preserve">Trong ba tháng tiếp theo, vàng gần như đi ngang (+0,3%) trong khi hai lớp cổ phiếu tăng hơn 24%. Danh mục BL đạt 9,9% trong quý này, thấp hơn Equal Weight (10,7%) và Risk Parity (11,0%). Ở quý kế tiếp (08–10/2025), khi vàng tăng trở lại, BL đạt 14,4%, cao nhất trong năm phương pháp chính (Risk Parity 8,1%). Ví dụ này minh họa vì sao lợi nhuận của BL biến động mạnh hơn giữa các quý và vì sao cần nhìn kết quả trên toàn giai đoạn thay vì từng quyết định riêng lẻ.</w:t>
      </w:r>
    </w:p>
    <w:p>
      <w:pPr>
        <w:pStyle w:val="BodyText"/>
      </w:pPr>
      <w:r>
        <w:t xml:space="preserve">So với Markowitz cùng thời điểm, khác biệt nằm ở đầu vào lợi nhuận kỳ vọng. Ước lượng Bayes–Stein của Markowitz có hệ số co φ = 0,81, tức lợi nhuận kỳ vọng của bốn lớp bị kéo gần như về cùng một mức (0,21–0,30%/tháng). Khi các lợi nhuận kỳ vọng gần bằng nhau, bài toán tối ưu chủ yếu giảm phương sai, nên Markowitz dồn 46% vào trái phiếu và giữ cổ phiếu ở đúng sàn 40% của nhóm rủi ro. BL, nhờ điểm xuất phát phân bổ đều và quan điểm có kỹ năng cho vàng, có danh mục rất khác dù dùng cùng ma trận hiệp phương sai, cùng δ và cùng ràng buộc.</w:t>
      </w:r>
    </w:p>
    <w:bookmarkEnd w:id="105"/>
    <w:bookmarkEnd w:id="106"/>
    <w:bookmarkStart w:id="119" w:name="hiệu-quả-danh-mục-theo-9-kịch-bản"/>
    <w:p>
      <w:pPr>
        <w:pStyle w:val="Heading2"/>
      </w:pPr>
      <w:r>
        <w:t xml:space="preserve">4.3 Hiệu quả danh mục theo 9 kịch bản</w:t>
      </w:r>
    </w:p>
    <w:bookmarkStart w:id="110" w:name="tổng-quan-9-kịch-bản"/>
    <w:p>
      <w:pPr>
        <w:pStyle w:val="Heading3"/>
      </w:pPr>
      <w:r>
        <w:t xml:space="preserve">4.3.1 Tổng quan 9 kịch bản</w:t>
      </w:r>
    </w:p>
    <w:p>
      <w:pPr>
        <w:pStyle w:val="CaptionedFigure"/>
      </w:pPr>
      <w:r>
        <w:drawing>
          <wp:inline>
            <wp:extent cx="5753100" cy="3287485"/>
            <wp:effectExtent b="0" l="0" r="0" t="0"/>
            <wp:docPr descr="Hình 4.3. Hệ số Sharpe của 7 phương pháp trên 9 kịch bản" title="" id="108" name="Picture"/>
            <a:graphic>
              <a:graphicData uri="http://schemas.openxmlformats.org/drawingml/2006/picture">
                <pic:pic>
                  <pic:nvPicPr>
                    <pic:cNvPr descr="img/h42.png" id="109" name="Picture"/>
                    <pic:cNvPicPr>
                      <a:picLocks noChangeArrowheads="1" noChangeAspect="1"/>
                    </pic:cNvPicPr>
                  </pic:nvPicPr>
                  <pic:blipFill>
                    <a:blip r:embed="rId107"/>
                    <a:stretch>
                      <a:fillRect/>
                    </a:stretch>
                  </pic:blipFill>
                  <pic:spPr bwMode="auto">
                    <a:xfrm>
                      <a:off x="0" y="0"/>
                      <a:ext cx="5753100" cy="3287485"/>
                    </a:xfrm>
                    <a:prstGeom prst="rect">
                      <a:avLst/>
                    </a:prstGeom>
                    <a:noFill/>
                    <a:ln w="9525">
                      <a:noFill/>
                      <a:headEnd/>
                      <a:tailEnd/>
                    </a:ln>
                  </pic:spPr>
                </pic:pic>
              </a:graphicData>
            </a:graphic>
          </wp:inline>
        </w:drawing>
      </w:r>
    </w:p>
    <w:p>
      <w:pPr>
        <w:pStyle w:val="ImageCaption"/>
      </w:pPr>
      <w:r>
        <w:t xml:space="preserve">Hình 4.3. Hệ số Sharpe của 7 phương pháp trên 9 kịch bản</w:t>
      </w:r>
    </w:p>
    <w:p>
      <w:pPr>
        <w:pStyle w:val="SourceNote"/>
      </w:pPr>
      <w:r>
        <w:t xml:space="preserve">Nguồn: Tác giả tính toán từ dữ liệu nghiên cứu.</w:t>
      </w:r>
    </w:p>
    <w:p>
      <w:pPr>
        <w:pStyle w:val="BodyText"/>
      </w:pPr>
      <w:r>
        <w:rPr>
          <w:bCs/>
          <w:b/>
        </w:rPr>
        <w:t xml:space="preserve">Khẩu vị quan trọng hơn phương pháp.</w:t>
      </w:r>
      <w:r>
        <w:t xml:space="preserve"> </w:t>
      </w:r>
      <w:r>
        <w:t xml:space="preserve">Sharpe giảm dần từ Thận trọng sang Tăng trưởng ở hầu hết các phương pháp, vì nhóm rủi ro (cổ phiếu và cổ phiếu bất động sản) có Sharpe thấp trong giai đoạn kiểm tra (0,18 và 0,02), còn vàng và trái phiếu có Sharpe cao. Dải khẩu vị ép danh mục Tăng trưởng giữ 70–90% ở nhóm rủi ro, nên mọi phương pháp đều chỉ đạt Sharpe 0,1–0,4 ở khẩu vị này. Chênh lệch giữa các phương pháp trong cùng một kịch bản thường nhỏ hơn chênh lệch giữa các khẩu vị.</w:t>
      </w:r>
    </w:p>
    <w:p>
      <w:pPr>
        <w:pStyle w:val="TableCaption"/>
      </w:pPr>
      <w:r>
        <w:t xml:space="preserve">Bảng 4.8. Hiệu quả bình quân theo khẩu vị và khung thời gian</w:t>
      </w:r>
    </w:p>
    <w:tbl>
      <w:tblPr>
        <w:tblStyle w:val="Table"/>
        <w:tblW w:type="pct" w:w="5000"/>
        <w:jc w:val="center"/>
        <w:tblLook w:firstRow="1" w:lastRow="0" w:firstColumn="0" w:lastColumn="0" w:noHBand="0" w:noVBand="0" w:val="0020"/>
        <w:tblCaption w:val="Bảng 4.8. Hiệu quả bình quân theo khẩu vị và khung thời gian"/>
      </w:tblPr>
      <w:tblGrid>
        <w:gridCol w:w="1062"/>
        <w:gridCol w:w="1255"/>
        <w:gridCol w:w="965"/>
        <w:gridCol w:w="1062"/>
        <w:gridCol w:w="1062"/>
        <w:gridCol w:w="1255"/>
        <w:gridCol w:w="1255"/>
      </w:tblGrid>
      <w:tr>
        <w:trPr>
          <w:tblHeader w:val="true"/>
        </w:trPr>
        <w:tc>
          <w:tcPr/>
          <w:p>
            <w:pPr>
              <w:pStyle w:val="Compact"/>
              <w:jc w:val="center"/>
            </w:pPr>
            <w:r>
              <w:rPr>
                <w:b/>
              </w:rPr>
              <w:t xml:space="preserve">Nhóm</w:t>
            </w:r>
          </w:p>
        </w:tc>
        <w:tc>
          <w:tcPr/>
          <w:p>
            <w:pPr>
              <w:pStyle w:val="Compact"/>
              <w:jc w:val="center"/>
            </w:pPr>
            <w:r>
              <w:rPr>
                <w:b/>
              </w:rPr>
              <w:t xml:space="preserve">Lợi nhuận năm hóa</w:t>
            </w:r>
          </w:p>
        </w:tc>
        <w:tc>
          <w:tcPr/>
          <w:p>
            <w:pPr>
              <w:pStyle w:val="Compact"/>
              <w:jc w:val="center"/>
            </w:pPr>
            <w:r>
              <w:rPr>
                <w:b/>
              </w:rPr>
              <w:t xml:space="preserve">Độ biến động</w:t>
            </w:r>
          </w:p>
        </w:tc>
        <w:tc>
          <w:tcPr/>
          <w:p>
            <w:pPr>
              <w:pStyle w:val="Compact"/>
              <w:jc w:val="center"/>
            </w:pPr>
            <w:r>
              <w:rPr>
                <w:b/>
              </w:rPr>
              <w:t xml:space="preserve">Sharpe</w:t>
            </w:r>
          </w:p>
        </w:tc>
        <w:tc>
          <w:tcPr/>
          <w:p>
            <w:pPr>
              <w:pStyle w:val="Compact"/>
              <w:jc w:val="center"/>
            </w:pPr>
            <w:r>
              <w:rPr>
                <w:b/>
              </w:rPr>
              <w:t xml:space="preserve">MDD</w:t>
            </w:r>
          </w:p>
        </w:tc>
        <w:tc>
          <w:tcPr/>
          <w:p>
            <w:pPr>
              <w:pStyle w:val="Compact"/>
              <w:jc w:val="center"/>
            </w:pPr>
            <w:r>
              <w:rPr>
                <w:b/>
              </w:rPr>
              <w:t xml:space="preserve">Tỷ trọng rủi ro TB</w:t>
            </w:r>
          </w:p>
        </w:tc>
        <w:tc>
          <w:tcPr/>
          <w:p>
            <w:pPr>
              <w:pStyle w:val="Compact"/>
              <w:jc w:val="center"/>
            </w:pPr>
            <w:r>
              <w:rPr>
                <w:b/>
              </w:rPr>
              <w:t xml:space="preserve">Turnover</w:t>
            </w:r>
          </w:p>
        </w:tc>
      </w:tr>
      <w:tr>
        <w:trPr>
          <w:cantSplit/>
        </w:trPr>
        <w:tc>
          <w:tcPr/>
          <w:p>
            <w:pPr>
              <w:pStyle w:val="Compact"/>
              <w:jc w:val="left"/>
            </w:pPr>
            <w:r>
              <w:t xml:space="preserve">Thận trọng</w:t>
            </w:r>
          </w:p>
        </w:tc>
        <w:tc>
          <w:tcPr/>
          <w:p>
            <w:pPr>
              <w:pStyle w:val="Compact"/>
              <w:jc w:val="left"/>
            </w:pPr>
            <w:r>
              <w:t xml:space="preserve">8,7%</w:t>
            </w:r>
          </w:p>
        </w:tc>
        <w:tc>
          <w:tcPr/>
          <w:p>
            <w:pPr>
              <w:pStyle w:val="Compact"/>
              <w:jc w:val="left"/>
            </w:pPr>
            <w:r>
              <w:t xml:space="preserve">6,2%</w:t>
            </w:r>
          </w:p>
        </w:tc>
        <w:tc>
          <w:tcPr/>
          <w:p>
            <w:pPr>
              <w:pStyle w:val="Compact"/>
              <w:jc w:val="left"/>
            </w:pPr>
            <w:r>
              <w:t xml:space="preserve">0,40</w:t>
            </w:r>
          </w:p>
        </w:tc>
        <w:tc>
          <w:tcPr/>
          <w:p>
            <w:pPr>
              <w:pStyle w:val="Compact"/>
              <w:jc w:val="left"/>
            </w:pPr>
            <w:r>
              <w:t xml:space="preserve">−10,8%</w:t>
            </w:r>
          </w:p>
        </w:tc>
        <w:tc>
          <w:tcPr/>
          <w:p>
            <w:pPr>
              <w:pStyle w:val="Compact"/>
              <w:jc w:val="left"/>
            </w:pPr>
            <w:r>
              <w:t xml:space="preserve">20,4%</w:t>
            </w:r>
          </w:p>
        </w:tc>
        <w:tc>
          <w:tcPr/>
          <w:p>
            <w:pPr>
              <w:pStyle w:val="Compact"/>
              <w:jc w:val="left"/>
            </w:pPr>
            <w:r>
              <w:t xml:space="preserve">–</w:t>
            </w:r>
          </w:p>
        </w:tc>
      </w:tr>
      <w:tr>
        <w:trPr>
          <w:cantSplit/>
        </w:trPr>
        <w:tc>
          <w:tcPr/>
          <w:p>
            <w:pPr>
              <w:pStyle w:val="Compact"/>
              <w:jc w:val="left"/>
            </w:pPr>
            <w:r>
              <w:t xml:space="preserve">Cân bằng</w:t>
            </w:r>
          </w:p>
        </w:tc>
        <w:tc>
          <w:tcPr/>
          <w:p>
            <w:pPr>
              <w:pStyle w:val="Compact"/>
              <w:jc w:val="left"/>
            </w:pPr>
            <w:r>
              <w:t xml:space="preserve">8,7%</w:t>
            </w:r>
          </w:p>
        </w:tc>
        <w:tc>
          <w:tcPr/>
          <w:p>
            <w:pPr>
              <w:pStyle w:val="Compact"/>
              <w:jc w:val="left"/>
            </w:pPr>
            <w:r>
              <w:t xml:space="preserve">10,3%</w:t>
            </w:r>
          </w:p>
        </w:tc>
        <w:tc>
          <w:tcPr/>
          <w:p>
            <w:pPr>
              <w:pStyle w:val="Compact"/>
              <w:jc w:val="left"/>
            </w:pPr>
            <w:r>
              <w:t xml:space="preserve">0,29</w:t>
            </w:r>
          </w:p>
        </w:tc>
        <w:tc>
          <w:tcPr/>
          <w:p>
            <w:pPr>
              <w:pStyle w:val="Compact"/>
              <w:jc w:val="left"/>
            </w:pPr>
            <w:r>
              <w:t xml:space="preserve">−22,4%</w:t>
            </w:r>
          </w:p>
        </w:tc>
        <w:tc>
          <w:tcPr/>
          <w:p>
            <w:pPr>
              <w:pStyle w:val="Compact"/>
              <w:jc w:val="left"/>
            </w:pPr>
            <w:r>
              <w:t xml:space="preserve">42,5%</w:t>
            </w:r>
          </w:p>
        </w:tc>
        <w:tc>
          <w:tcPr/>
          <w:p>
            <w:pPr>
              <w:pStyle w:val="Compact"/>
              <w:jc w:val="left"/>
            </w:pPr>
            <w:r>
              <w:t xml:space="preserve">–</w:t>
            </w:r>
          </w:p>
        </w:tc>
      </w:tr>
      <w:tr>
        <w:trPr>
          <w:cantSplit/>
        </w:trPr>
        <w:tc>
          <w:tcPr/>
          <w:p>
            <w:pPr>
              <w:pStyle w:val="Compact"/>
              <w:jc w:val="left"/>
            </w:pPr>
            <w:r>
              <w:t xml:space="preserve">Tăng trưởng</w:t>
            </w:r>
          </w:p>
        </w:tc>
        <w:tc>
          <w:tcPr/>
          <w:p>
            <w:pPr>
              <w:pStyle w:val="Compact"/>
              <w:jc w:val="left"/>
            </w:pPr>
            <w:r>
              <w:t xml:space="preserve">7,8%</w:t>
            </w:r>
          </w:p>
        </w:tc>
        <w:tc>
          <w:tcPr/>
          <w:p>
            <w:pPr>
              <w:pStyle w:val="Compact"/>
              <w:jc w:val="left"/>
            </w:pPr>
            <w:r>
              <w:t xml:space="preserve">16,4%</w:t>
            </w:r>
          </w:p>
        </w:tc>
        <w:tc>
          <w:tcPr/>
          <w:p>
            <w:pPr>
              <w:pStyle w:val="Compact"/>
              <w:jc w:val="left"/>
            </w:pPr>
            <w:r>
              <w:t xml:space="preserve">0,18</w:t>
            </w:r>
          </w:p>
        </w:tc>
        <w:tc>
          <w:tcPr/>
          <w:p>
            <w:pPr>
              <w:pStyle w:val="Compact"/>
              <w:jc w:val="left"/>
            </w:pPr>
            <w:r>
              <w:t xml:space="preserve">−38,0%</w:t>
            </w:r>
          </w:p>
        </w:tc>
        <w:tc>
          <w:tcPr/>
          <w:p>
            <w:pPr>
              <w:pStyle w:val="Compact"/>
              <w:jc w:val="left"/>
            </w:pPr>
            <w:r>
              <w:t xml:space="preserve">71,2%</w:t>
            </w:r>
          </w:p>
        </w:tc>
        <w:tc>
          <w:tcPr/>
          <w:p>
            <w:pPr>
              <w:pStyle w:val="Compact"/>
              <w:jc w:val="left"/>
            </w:pPr>
            <w:r>
              <w:t xml:space="preserve">–</w:t>
            </w:r>
          </w:p>
        </w:tc>
      </w:tr>
      <w:tr>
        <w:trPr>
          <w:cantSplit/>
        </w:trPr>
        <w:tc>
          <w:tcPr/>
          <w:p>
            <w:pPr>
              <w:pStyle w:val="Compact"/>
              <w:jc w:val="left"/>
            </w:pPr>
            <w:r>
              <w:t xml:space="preserve">Ngắn hạn</w:t>
            </w:r>
          </w:p>
        </w:tc>
        <w:tc>
          <w:tcPr/>
          <w:p>
            <w:pPr>
              <w:pStyle w:val="Compact"/>
              <w:jc w:val="left"/>
            </w:pPr>
            <w:r>
              <w:t xml:space="preserve">7,8%</w:t>
            </w:r>
          </w:p>
        </w:tc>
        <w:tc>
          <w:tcPr/>
          <w:p>
            <w:pPr>
              <w:pStyle w:val="Compact"/>
              <w:jc w:val="left"/>
            </w:pPr>
            <w:r>
              <w:t xml:space="preserve">–</w:t>
            </w:r>
          </w:p>
        </w:tc>
        <w:tc>
          <w:tcPr/>
          <w:p>
            <w:pPr>
              <w:pStyle w:val="Compact"/>
              <w:jc w:val="left"/>
            </w:pPr>
            <w:r>
              <w:t xml:space="preserve">0,23</w:t>
            </w:r>
          </w:p>
        </w:tc>
        <w:tc>
          <w:tcPr/>
          <w:p>
            <w:pPr>
              <w:pStyle w:val="Compact"/>
              <w:jc w:val="left"/>
            </w:pPr>
            <w:r>
              <w:t xml:space="preserve">–</w:t>
            </w:r>
          </w:p>
        </w:tc>
        <w:tc>
          <w:tcPr/>
          <w:p>
            <w:pPr>
              <w:pStyle w:val="Compact"/>
              <w:jc w:val="left"/>
            </w:pPr>
            <w:r>
              <w:t xml:space="preserve">–</w:t>
            </w:r>
          </w:p>
        </w:tc>
        <w:tc>
          <w:tcPr/>
          <w:p>
            <w:pPr>
              <w:pStyle w:val="Compact"/>
              <w:jc w:val="left"/>
            </w:pPr>
            <w:r>
              <w:t xml:space="preserve">7,6%</w:t>
            </w:r>
          </w:p>
        </w:tc>
      </w:tr>
      <w:tr>
        <w:trPr>
          <w:cantSplit/>
        </w:trPr>
        <w:tc>
          <w:tcPr/>
          <w:p>
            <w:pPr>
              <w:pStyle w:val="Compact"/>
              <w:jc w:val="left"/>
            </w:pPr>
            <w:r>
              <w:t xml:space="preserve">Trung hạn</w:t>
            </w:r>
          </w:p>
        </w:tc>
        <w:tc>
          <w:tcPr/>
          <w:p>
            <w:pPr>
              <w:pStyle w:val="Compact"/>
              <w:jc w:val="left"/>
            </w:pPr>
            <w:r>
              <w:t xml:space="preserve">8,4%</w:t>
            </w:r>
          </w:p>
        </w:tc>
        <w:tc>
          <w:tcPr/>
          <w:p>
            <w:pPr>
              <w:pStyle w:val="Compact"/>
              <w:jc w:val="left"/>
            </w:pPr>
            <w:r>
              <w:t xml:space="preserve">–</w:t>
            </w:r>
          </w:p>
        </w:tc>
        <w:tc>
          <w:tcPr/>
          <w:p>
            <w:pPr>
              <w:pStyle w:val="Compact"/>
              <w:jc w:val="left"/>
            </w:pPr>
            <w:r>
              <w:t xml:space="preserve">0,28</w:t>
            </w:r>
          </w:p>
        </w:tc>
        <w:tc>
          <w:tcPr/>
          <w:p>
            <w:pPr>
              <w:pStyle w:val="Compact"/>
              <w:jc w:val="left"/>
            </w:pPr>
            <w:r>
              <w:t xml:space="preserve">–</w:t>
            </w:r>
          </w:p>
        </w:tc>
        <w:tc>
          <w:tcPr/>
          <w:p>
            <w:pPr>
              <w:pStyle w:val="Compact"/>
              <w:jc w:val="left"/>
            </w:pPr>
            <w:r>
              <w:t xml:space="preserve">–</w:t>
            </w:r>
          </w:p>
        </w:tc>
        <w:tc>
          <w:tcPr/>
          <w:p>
            <w:pPr>
              <w:pStyle w:val="Compact"/>
              <w:jc w:val="left"/>
            </w:pPr>
            <w:r>
              <w:t xml:space="preserve">4,9%</w:t>
            </w:r>
          </w:p>
        </w:tc>
      </w:tr>
      <w:tr>
        <w:trPr>
          <w:cantSplit/>
        </w:trPr>
        <w:tc>
          <w:tcPr/>
          <w:p>
            <w:pPr>
              <w:pStyle w:val="Compact"/>
              <w:jc w:val="left"/>
            </w:pPr>
            <w:r>
              <w:t xml:space="preserve">Dài hạn</w:t>
            </w:r>
          </w:p>
        </w:tc>
        <w:tc>
          <w:tcPr/>
          <w:p>
            <w:pPr>
              <w:pStyle w:val="Compact"/>
              <w:jc w:val="left"/>
            </w:pPr>
            <w:r>
              <w:t xml:space="preserve">9,3%</w:t>
            </w:r>
          </w:p>
        </w:tc>
        <w:tc>
          <w:tcPr/>
          <w:p>
            <w:pPr>
              <w:pStyle w:val="Compact"/>
              <w:jc w:val="left"/>
            </w:pPr>
            <w:r>
              <w:t xml:space="preserve">–</w:t>
            </w:r>
          </w:p>
        </w:tc>
        <w:tc>
          <w:tcPr/>
          <w:p>
            <w:pPr>
              <w:pStyle w:val="Compact"/>
              <w:jc w:val="left"/>
            </w:pPr>
            <w:r>
              <w:t xml:space="preserve">0,38</w:t>
            </w:r>
          </w:p>
        </w:tc>
        <w:tc>
          <w:tcPr/>
          <w:p>
            <w:pPr>
              <w:pStyle w:val="Compact"/>
              <w:jc w:val="left"/>
            </w:pPr>
            <w:r>
              <w:t xml:space="preserve">–</w:t>
            </w:r>
          </w:p>
        </w:tc>
        <w:tc>
          <w:tcPr/>
          <w:p>
            <w:pPr>
              <w:pStyle w:val="Compact"/>
              <w:jc w:val="left"/>
            </w:pPr>
            <w:r>
              <w:t xml:space="preserve">–</w:t>
            </w:r>
          </w:p>
        </w:tc>
        <w:tc>
          <w:tcPr/>
          <w:p>
            <w:pPr>
              <w:pStyle w:val="Compact"/>
              <w:jc w:val="left"/>
            </w:pPr>
            <w:r>
              <w:t xml:space="preserve">1,9%</w:t>
            </w:r>
          </w:p>
        </w:tc>
      </w:tr>
    </w:tbl>
    <w:p>
      <w:pPr>
        <w:pStyle w:val="BodyText"/>
        <w:spacing w:before="200"/>
      </w:pPr>
      <w:r>
        <w:rPr>
          <w:iCs/>
          <w:i/>
        </w:rPr>
        <w:t xml:space="preserve">Ghi chú: ba dòng khẩu vị là bình quân của 5 phương pháp chính qua 3 khung thời gian; ba dòng khung thời gian là bình quân của 7 phương pháp qua 3 khẩu vị.</w:t>
      </w:r>
    </w:p>
    <w:p>
      <w:pPr>
        <w:pStyle w:val="BodyText"/>
      </w:pPr>
      <w:r>
        <w:t xml:space="preserve">Bảng 4.8 lượng hóa hai quy luật. Theo khẩu vị, lợi nhuận năm hóa gần như không đổi (7,8–8,7%) trong khi độ biến động tăng hơn gấp đôi và MDD tăng gần bốn lần từ Thận trọng sang Tăng trưởng. Trong giai đoạn kiểm tra, chấp nhận thêm rủi ro không được bù đắp bằng thêm lợi nhuận. Theo khung thời gian, tái cân bằng thưa hơn cho Sharpe cao hơn: từ 0,23 ở khung ngắn hạn lên 0,38 ở khung dài hạn. Hai lý do giải thích điều này: vòng quay và chi phí giảm mạnh (turnover từ 7,6% xuống 1,9% mỗi lần tái cân bằng, đồng thời số lần tái cân bằng giảm từ 102 xuống 9), và phần tiền mặt của khung dài hạn hưởng lãi kỳ hạn 12 tháng cao hơn kỳ hạn 1 tháng khoảng 2–3 điểm %/năm.</w:t>
      </w:r>
    </w:p>
    <w:p>
      <w:pPr>
        <w:pStyle w:val="BodyText"/>
      </w:pPr>
      <w:r>
        <w:rPr>
          <w:bCs/>
          <w:b/>
        </w:rPr>
        <w:t xml:space="preserve">Black–Litterman dẫn đầu nhóm 5 phương pháp chính.</w:t>
      </w:r>
      <w:r>
        <w:t xml:space="preserve"> </w:t>
      </w:r>
      <w:r>
        <w:t xml:space="preserve">Trong EW, Markowitz, Risk Parity, HRP và BL, BL có Sharpe cao nhất ở 8/9 kịch bản; ngoại lệ là Thận trọng / Dài hạn, nơi Risk Parity đứng đầu (0,62). BL cũng luôn cao hơn Markowitz, phương pháp dùng cùng bài toán tối ưu nhưng lấy lợi nhuận kỳ vọng từ lịch sử. Tính cả 7 phương pháp, MLP_MVO đứng đầu 4 kịch bản, chủ yếu ở khung Dài hạn (Sharpe 0,74 ở Thận trọng / Dài hạn), nhưng là phương pháp kém nhất ở Cân bằng / Ngắn hạn (−0,02). Kết quả MLP_MVO dao động mạnh theo tần suất tái cân bằng vì dự báo MLP thay đổi nhiều giữa các tháng: turnover của MLP_MVO ở khung ngắn hạn trung bình 22% mỗi lần, gấp gần 7,5 lần Equal Weight.</w:t>
      </w:r>
    </w:p>
    <w:bookmarkEnd w:id="110"/>
    <w:bookmarkStart w:id="114" w:name="kịch-bản-chính-cân-bằng-trung-hạn"/>
    <w:p>
      <w:pPr>
        <w:pStyle w:val="Heading3"/>
      </w:pPr>
      <w:r>
        <w:t xml:space="preserve">4.3.2 Kịch bản chính: Cân bằng / Trung hạn</w:t>
      </w:r>
    </w:p>
    <w:p>
      <w:pPr>
        <w:pStyle w:val="TableCaption"/>
      </w:pPr>
      <w:r>
        <w:t xml:space="preserve">Bảng 4.9. Hiệu quả kịch bản chính (Cân bằng / Trung hạn, 34 lần tái cân bằng)</w:t>
      </w:r>
    </w:p>
    <w:tbl>
      <w:tblPr>
        <w:tblStyle w:val="Table"/>
        <w:tblW w:type="pct" w:w="5000"/>
        <w:jc w:val="center"/>
        <w:tblLook w:firstRow="1" w:lastRow="0" w:firstColumn="0" w:lastColumn="0" w:noHBand="0" w:noVBand="0" w:val="0020"/>
        <w:tblCaption w:val="Bảng 4.9. Hiệu quả kịch bản chính (Cân bằng / Trung hạn, 34 lần tái cân bằng)"/>
      </w:tblPr>
      <w:tblGrid>
        <w:gridCol w:w="1650"/>
        <w:gridCol w:w="1072"/>
        <w:gridCol w:w="907"/>
        <w:gridCol w:w="907"/>
        <w:gridCol w:w="907"/>
        <w:gridCol w:w="1072"/>
        <w:gridCol w:w="1402"/>
      </w:tblGrid>
      <w:tr>
        <w:trPr>
          <w:tblHeader w:val="true"/>
        </w:trPr>
        <w:tc>
          <w:tcPr/>
          <w:p>
            <w:pPr>
              <w:pStyle w:val="Compact"/>
              <w:jc w:val="center"/>
            </w:pPr>
            <w:r>
              <w:rPr>
                <w:b/>
              </w:rPr>
              <w:t xml:space="preserve">Phương pháp</w:t>
            </w:r>
          </w:p>
        </w:tc>
        <w:tc>
          <w:tcPr/>
          <w:p>
            <w:pPr>
              <w:pStyle w:val="Compact"/>
              <w:jc w:val="center"/>
            </w:pPr>
            <w:r>
              <w:rPr>
                <w:b/>
              </w:rPr>
              <w:t xml:space="preserve">Lợi nhuận năm hóa</w:t>
            </w:r>
          </w:p>
        </w:tc>
        <w:tc>
          <w:tcPr/>
          <w:p>
            <w:pPr>
              <w:pStyle w:val="Compact"/>
              <w:jc w:val="center"/>
            </w:pPr>
            <w:r>
              <w:rPr>
                <w:b/>
              </w:rPr>
              <w:t xml:space="preserve">Độ biến động</w:t>
            </w:r>
          </w:p>
        </w:tc>
        <w:tc>
          <w:tcPr/>
          <w:p>
            <w:pPr>
              <w:pStyle w:val="Compact"/>
              <w:jc w:val="center"/>
            </w:pPr>
            <w:r>
              <w:rPr>
                <w:b/>
              </w:rPr>
              <w:t xml:space="preserve">Sharpe</w:t>
            </w:r>
          </w:p>
        </w:tc>
        <w:tc>
          <w:tcPr/>
          <w:p>
            <w:pPr>
              <w:pStyle w:val="Compact"/>
              <w:jc w:val="center"/>
            </w:pPr>
            <w:r>
              <w:rPr>
                <w:b/>
              </w:rPr>
              <w:t xml:space="preserve">MDD</w:t>
            </w:r>
          </w:p>
        </w:tc>
        <w:tc>
          <w:tcPr/>
          <w:p>
            <w:pPr>
              <w:pStyle w:val="Compact"/>
              <w:jc w:val="center"/>
            </w:pPr>
            <w:r>
              <w:rPr>
                <w:b/>
              </w:rPr>
              <w:t xml:space="preserve">Turnover</w:t>
            </w:r>
          </w:p>
        </w:tc>
        <w:tc>
          <w:tcPr/>
          <w:p>
            <w:pPr>
              <w:pStyle w:val="Compact"/>
              <w:jc w:val="center"/>
            </w:pPr>
            <w:r>
              <w:rPr>
                <w:b/>
              </w:rPr>
              <w:t xml:space="preserve">Tỷ trọng nhóm rủi ro TB</w:t>
            </w:r>
          </w:p>
        </w:tc>
      </w:tr>
      <w:tr>
        <w:trPr>
          <w:cantSplit/>
        </w:trPr>
        <w:tc>
          <w:tcPr/>
          <w:p>
            <w:pPr>
              <w:pStyle w:val="Compact"/>
              <w:jc w:val="left"/>
            </w:pPr>
            <w:r>
              <w:t xml:space="preserve">Equal Weight</w:t>
            </w:r>
          </w:p>
        </w:tc>
        <w:tc>
          <w:tcPr/>
          <w:p>
            <w:pPr>
              <w:pStyle w:val="Compact"/>
              <w:jc w:val="left"/>
            </w:pPr>
            <w:r>
              <w:t xml:space="preserve">8,53%</w:t>
            </w:r>
          </w:p>
        </w:tc>
        <w:tc>
          <w:tcPr/>
          <w:p>
            <w:pPr>
              <w:pStyle w:val="Compact"/>
              <w:jc w:val="left"/>
            </w:pPr>
            <w:r>
              <w:t xml:space="preserve">10,01%</w:t>
            </w:r>
          </w:p>
        </w:tc>
        <w:tc>
          <w:tcPr/>
          <w:p>
            <w:pPr>
              <w:pStyle w:val="Compact"/>
              <w:jc w:val="left"/>
            </w:pPr>
            <w:r>
              <w:t xml:space="preserve">0,29</w:t>
            </w:r>
          </w:p>
        </w:tc>
        <w:tc>
          <w:tcPr/>
          <w:p>
            <w:pPr>
              <w:pStyle w:val="Compact"/>
              <w:jc w:val="left"/>
            </w:pPr>
            <w:r>
              <w:t xml:space="preserve">−24,5%</w:t>
            </w:r>
          </w:p>
        </w:tc>
        <w:tc>
          <w:tcPr/>
          <w:p>
            <w:pPr>
              <w:pStyle w:val="Compact"/>
              <w:jc w:val="left"/>
            </w:pPr>
            <w:r>
              <w:t xml:space="preserve">2,0%</w:t>
            </w:r>
          </w:p>
        </w:tc>
        <w:tc>
          <w:tcPr/>
          <w:p>
            <w:pPr>
              <w:pStyle w:val="Compact"/>
              <w:jc w:val="left"/>
            </w:pPr>
            <w:r>
              <w:t xml:space="preserve">40,1%</w:t>
            </w:r>
          </w:p>
        </w:tc>
      </w:tr>
      <w:tr>
        <w:trPr>
          <w:cantSplit/>
        </w:trPr>
        <w:tc>
          <w:tcPr/>
          <w:p>
            <w:pPr>
              <w:pStyle w:val="Compact"/>
              <w:jc w:val="left"/>
            </w:pPr>
            <w:r>
              <w:t xml:space="preserve">Markowitz</w:t>
            </w:r>
          </w:p>
        </w:tc>
        <w:tc>
          <w:tcPr/>
          <w:p>
            <w:pPr>
              <w:pStyle w:val="Compact"/>
              <w:jc w:val="left"/>
            </w:pPr>
            <w:r>
              <w:t xml:space="preserve">7,70%</w:t>
            </w:r>
          </w:p>
        </w:tc>
        <w:tc>
          <w:tcPr/>
          <w:p>
            <w:pPr>
              <w:pStyle w:val="Compact"/>
              <w:jc w:val="left"/>
            </w:pPr>
            <w:r>
              <w:t xml:space="preserve">10,70%</w:t>
            </w:r>
          </w:p>
        </w:tc>
        <w:tc>
          <w:tcPr/>
          <w:p>
            <w:pPr>
              <w:pStyle w:val="Compact"/>
              <w:jc w:val="left"/>
            </w:pPr>
            <w:r>
              <w:t xml:space="preserve">0,20</w:t>
            </w:r>
          </w:p>
        </w:tc>
        <w:tc>
          <w:tcPr/>
          <w:p>
            <w:pPr>
              <w:pStyle w:val="Compact"/>
              <w:jc w:val="left"/>
            </w:pPr>
            <w:r>
              <w:t xml:space="preserve">−24,2%</w:t>
            </w:r>
          </w:p>
        </w:tc>
        <w:tc>
          <w:tcPr/>
          <w:p>
            <w:pPr>
              <w:pStyle w:val="Compact"/>
              <w:jc w:val="left"/>
            </w:pPr>
            <w:r>
              <w:t xml:space="preserve">1,5%</w:t>
            </w:r>
          </w:p>
        </w:tc>
        <w:tc>
          <w:tcPr/>
          <w:p>
            <w:pPr>
              <w:pStyle w:val="Compact"/>
              <w:jc w:val="left"/>
            </w:pPr>
            <w:r>
              <w:t xml:space="preserve">46,3%</w:t>
            </w:r>
          </w:p>
        </w:tc>
      </w:tr>
      <w:tr>
        <w:trPr>
          <w:cantSplit/>
        </w:trPr>
        <w:tc>
          <w:tcPr/>
          <w:p>
            <w:pPr>
              <w:pStyle w:val="Compact"/>
              <w:jc w:val="left"/>
            </w:pPr>
            <w:r>
              <w:t xml:space="preserve">Risk Parity</w:t>
            </w:r>
          </w:p>
        </w:tc>
        <w:tc>
          <w:tcPr/>
          <w:p>
            <w:pPr>
              <w:pStyle w:val="Compact"/>
              <w:jc w:val="left"/>
            </w:pPr>
            <w:r>
              <w:t xml:space="preserve">8,46%</w:t>
            </w:r>
          </w:p>
        </w:tc>
        <w:tc>
          <w:tcPr/>
          <w:p>
            <w:pPr>
              <w:pStyle w:val="Compact"/>
              <w:jc w:val="left"/>
            </w:pPr>
            <w:r>
              <w:t xml:space="preserve">9,36%</w:t>
            </w:r>
          </w:p>
        </w:tc>
        <w:tc>
          <w:tcPr/>
          <w:p>
            <w:pPr>
              <w:pStyle w:val="Compact"/>
              <w:jc w:val="left"/>
            </w:pPr>
            <w:r>
              <w:t xml:space="preserve">0,29</w:t>
            </w:r>
          </w:p>
        </w:tc>
        <w:tc>
          <w:tcPr/>
          <w:p>
            <w:pPr>
              <w:pStyle w:val="Compact"/>
              <w:jc w:val="left"/>
            </w:pPr>
            <w:r>
              <w:t xml:space="preserve">−22,0%</w:t>
            </w:r>
          </w:p>
        </w:tc>
        <w:tc>
          <w:tcPr/>
          <w:p>
            <w:pPr>
              <w:pStyle w:val="Compact"/>
              <w:jc w:val="left"/>
            </w:pPr>
            <w:r>
              <w:t xml:space="preserve">2,1%</w:t>
            </w:r>
          </w:p>
        </w:tc>
        <w:tc>
          <w:tcPr/>
          <w:p>
            <w:pPr>
              <w:pStyle w:val="Compact"/>
              <w:jc w:val="left"/>
            </w:pPr>
            <w:r>
              <w:t xml:space="preserve">40,1%</w:t>
            </w:r>
          </w:p>
        </w:tc>
      </w:tr>
      <w:tr>
        <w:trPr>
          <w:cantSplit/>
        </w:trPr>
        <w:tc>
          <w:tcPr/>
          <w:p>
            <w:pPr>
              <w:pStyle w:val="Compact"/>
              <w:jc w:val="left"/>
            </w:pPr>
            <w:r>
              <w:t xml:space="preserve">HRP</w:t>
            </w:r>
          </w:p>
        </w:tc>
        <w:tc>
          <w:tcPr/>
          <w:p>
            <w:pPr>
              <w:pStyle w:val="Compact"/>
              <w:jc w:val="left"/>
            </w:pPr>
            <w:r>
              <w:t xml:space="preserve">7,86%</w:t>
            </w:r>
          </w:p>
        </w:tc>
        <w:tc>
          <w:tcPr/>
          <w:p>
            <w:pPr>
              <w:pStyle w:val="Compact"/>
              <w:jc w:val="left"/>
            </w:pPr>
            <w:r>
              <w:t xml:space="preserve">9,01%</w:t>
            </w:r>
          </w:p>
        </w:tc>
        <w:tc>
          <w:tcPr/>
          <w:p>
            <w:pPr>
              <w:pStyle w:val="Compact"/>
              <w:jc w:val="left"/>
            </w:pPr>
            <w:r>
              <w:t xml:space="preserve">0,24</w:t>
            </w:r>
          </w:p>
        </w:tc>
        <w:tc>
          <w:tcPr/>
          <w:p>
            <w:pPr>
              <w:pStyle w:val="Compact"/>
              <w:jc w:val="left"/>
            </w:pPr>
            <w:r>
              <w:t xml:space="preserve">−20,0%</w:t>
            </w:r>
          </w:p>
        </w:tc>
        <w:tc>
          <w:tcPr/>
          <w:p>
            <w:pPr>
              <w:pStyle w:val="Compact"/>
              <w:jc w:val="left"/>
            </w:pPr>
            <w:r>
              <w:t xml:space="preserve">2,0%</w:t>
            </w:r>
          </w:p>
        </w:tc>
        <w:tc>
          <w:tcPr/>
          <w:p>
            <w:pPr>
              <w:pStyle w:val="Compact"/>
              <w:jc w:val="left"/>
            </w:pPr>
            <w:r>
              <w:t xml:space="preserve">40,1%</w:t>
            </w:r>
          </w:p>
        </w:tc>
      </w:tr>
      <w:tr>
        <w:trPr>
          <w:cantSplit/>
        </w:trPr>
        <w:tc>
          <w:tcPr/>
          <w:p>
            <w:pPr>
              <w:pStyle w:val="Compact"/>
              <w:jc w:val="left"/>
            </w:pPr>
            <w:r>
              <w:t xml:space="preserve">Black–Litterman</w:t>
            </w:r>
          </w:p>
        </w:tc>
        <w:tc>
          <w:tcPr/>
          <w:p>
            <w:pPr>
              <w:pStyle w:val="Compact"/>
              <w:jc w:val="left"/>
            </w:pPr>
            <w:r>
              <w:t xml:space="preserve">10,08%</w:t>
            </w:r>
          </w:p>
        </w:tc>
        <w:tc>
          <w:tcPr/>
          <w:p>
            <w:pPr>
              <w:pStyle w:val="Compact"/>
              <w:jc w:val="left"/>
            </w:pPr>
            <w:r>
              <w:t xml:space="preserve">12,43%</w:t>
            </w:r>
          </w:p>
        </w:tc>
        <w:tc>
          <w:tcPr/>
          <w:p>
            <w:pPr>
              <w:pStyle w:val="Compact"/>
              <w:jc w:val="left"/>
            </w:pPr>
            <w:r>
              <w:t xml:space="preserve">0,37</w:t>
            </w:r>
          </w:p>
        </w:tc>
        <w:tc>
          <w:tcPr/>
          <w:p>
            <w:pPr>
              <w:pStyle w:val="Compact"/>
              <w:jc w:val="left"/>
            </w:pPr>
            <w:r>
              <w:t xml:space="preserve">−21,8%</w:t>
            </w:r>
          </w:p>
        </w:tc>
        <w:tc>
          <w:tcPr/>
          <w:p>
            <w:pPr>
              <w:pStyle w:val="Compact"/>
              <w:jc w:val="left"/>
            </w:pPr>
            <w:r>
              <w:t xml:space="preserve">9,2%</w:t>
            </w:r>
          </w:p>
        </w:tc>
        <w:tc>
          <w:tcPr/>
          <w:p>
            <w:pPr>
              <w:pStyle w:val="Compact"/>
              <w:jc w:val="left"/>
            </w:pPr>
            <w:r>
              <w:t xml:space="preserve">46,3%</w:t>
            </w:r>
          </w:p>
        </w:tc>
      </w:tr>
      <w:tr>
        <w:trPr>
          <w:cantSplit/>
        </w:trPr>
        <w:tc>
          <w:tcPr/>
          <w:p>
            <w:pPr>
              <w:pStyle w:val="Compact"/>
              <w:jc w:val="left"/>
            </w:pPr>
            <w:r>
              <w:t xml:space="preserve">MLP_MVO</w:t>
            </w:r>
          </w:p>
        </w:tc>
        <w:tc>
          <w:tcPr/>
          <w:p>
            <w:pPr>
              <w:pStyle w:val="Compact"/>
              <w:jc w:val="left"/>
            </w:pPr>
            <w:r>
              <w:t xml:space="preserve">9,97%</w:t>
            </w:r>
          </w:p>
        </w:tc>
        <w:tc>
          <w:tcPr/>
          <w:p>
            <w:pPr>
              <w:pStyle w:val="Compact"/>
              <w:jc w:val="left"/>
            </w:pPr>
            <w:r>
              <w:t xml:space="preserve">14,41%</w:t>
            </w:r>
          </w:p>
        </w:tc>
        <w:tc>
          <w:tcPr/>
          <w:p>
            <w:pPr>
              <w:pStyle w:val="Compact"/>
              <w:jc w:val="left"/>
            </w:pPr>
            <w:r>
              <w:t xml:space="preserve">0,33</w:t>
            </w:r>
          </w:p>
        </w:tc>
        <w:tc>
          <w:tcPr/>
          <w:p>
            <w:pPr>
              <w:pStyle w:val="Compact"/>
              <w:jc w:val="left"/>
            </w:pPr>
            <w:r>
              <w:t xml:space="preserve">−24,0%</w:t>
            </w:r>
          </w:p>
        </w:tc>
        <w:tc>
          <w:tcPr/>
          <w:p>
            <w:pPr>
              <w:pStyle w:val="Compact"/>
              <w:jc w:val="left"/>
            </w:pPr>
            <w:r>
              <w:t xml:space="preserve">16,6%</w:t>
            </w:r>
          </w:p>
        </w:tc>
        <w:tc>
          <w:tcPr/>
          <w:p>
            <w:pPr>
              <w:pStyle w:val="Compact"/>
              <w:jc w:val="left"/>
            </w:pPr>
            <w:r>
              <w:t xml:space="preserve">48,9%</w:t>
            </w:r>
          </w:p>
        </w:tc>
      </w:tr>
      <w:tr>
        <w:trPr>
          <w:cantSplit/>
        </w:trPr>
        <w:tc>
          <w:tcPr/>
          <w:p>
            <w:pPr>
              <w:pStyle w:val="Compact"/>
              <w:jc w:val="left"/>
            </w:pPr>
            <w:r>
              <w:t xml:space="preserve">RL (phụ lục)</w:t>
            </w:r>
          </w:p>
        </w:tc>
        <w:tc>
          <w:tcPr/>
          <w:p>
            <w:pPr>
              <w:pStyle w:val="Compact"/>
              <w:jc w:val="left"/>
            </w:pPr>
            <w:r>
              <w:t xml:space="preserve">7,96%</w:t>
            </w:r>
          </w:p>
        </w:tc>
        <w:tc>
          <w:tcPr/>
          <w:p>
            <w:pPr>
              <w:pStyle w:val="Compact"/>
              <w:jc w:val="left"/>
            </w:pPr>
            <w:r>
              <w:t xml:space="preserve">12,97%</w:t>
            </w:r>
          </w:p>
        </w:tc>
        <w:tc>
          <w:tcPr/>
          <w:p>
            <w:pPr>
              <w:pStyle w:val="Compact"/>
              <w:jc w:val="left"/>
            </w:pPr>
            <w:r>
              <w:t xml:space="preserve">0,21</w:t>
            </w:r>
          </w:p>
        </w:tc>
        <w:tc>
          <w:tcPr/>
          <w:p>
            <w:pPr>
              <w:pStyle w:val="Compact"/>
              <w:jc w:val="left"/>
            </w:pPr>
            <w:r>
              <w:t xml:space="preserve">−28,4%</w:t>
            </w:r>
          </w:p>
        </w:tc>
        <w:tc>
          <w:tcPr/>
          <w:p>
            <w:pPr>
              <w:pStyle w:val="Compact"/>
              <w:jc w:val="left"/>
            </w:pPr>
            <w:r>
              <w:t xml:space="preserve">6,5%</w:t>
            </w:r>
          </w:p>
        </w:tc>
        <w:tc>
          <w:tcPr/>
          <w:p>
            <w:pPr>
              <w:pStyle w:val="Compact"/>
              <w:jc w:val="left"/>
            </w:pPr>
            <w:r>
              <w:t xml:space="preserve">51,9%</w:t>
            </w:r>
          </w:p>
        </w:tc>
      </w:tr>
    </w:tbl>
    <w:p>
      <w:pPr>
        <w:pStyle w:val="BodyText"/>
        <w:spacing w:before="200"/>
      </w:pPr>
      <w:r>
        <w:rPr>
          <w:iCs/>
          <w:i/>
        </w:rPr>
        <w:t xml:space="preserve">Ghi chú: Turnover = trung bình tổng thay đổi tỷ trọng mỗi lần tái cân bằng. Tiền gửi 12 tháng cùng giai đoạn đạt 5,99%/năm.</w:t>
      </w:r>
    </w:p>
    <w:p>
      <w:pPr>
        <w:pStyle w:val="BodyText"/>
      </w:pPr>
      <w:r>
        <w:t xml:space="preserve">Ở kịch bản chính, mọi phương pháp đều vượt lãi tiền gửi 1,7–4,1 điểm %/năm. BL cho lợi nhuận cao nhất (10,1%) nhưng cũng biến động và xoay vòng nhiều hơn: turnover gấp khoảng 4,5 lần EW và Risk Parity, vì quan điểm thay đổi giữa các quý. Risk Parity và HRP có mức sụt giảm nhỏ nhất (−22,0% và −20,0%).</w:t>
      </w:r>
    </w:p>
    <w:p>
      <w:pPr>
        <w:pStyle w:val="TableCaption"/>
      </w:pPr>
      <w:r>
        <w:t xml:space="preserve">Bảng 4.10. Các thước đo rủi ro bổ sung, kịch bản chính</w:t>
      </w:r>
    </w:p>
    <w:tbl>
      <w:tblPr>
        <w:tblStyle w:val="Table"/>
        <w:tblW w:type="pct" w:w="5000"/>
        <w:jc w:val="center"/>
        <w:tblCellMar>
          <w:left w:w="45" w:type="dxa"/>
          <w:right w:w="45" w:type="dxa"/>
        </w:tblCellMar>
        <w:tblLook w:firstRow="1" w:lastRow="0" w:firstColumn="0" w:lastColumn="0" w:noHBand="0" w:noVBand="0" w:val="0020"/>
        <w:tblCaption w:val="Bảng 4.10. Các thước đo rủi ro bổ sung, kịch bản chính"/>
      </w:tblPr>
      <w:tblGrid>
        <w:gridCol w:w="1140"/>
        <w:gridCol w:w="660"/>
        <w:gridCol w:w="600"/>
        <w:gridCol w:w="660"/>
        <w:gridCol w:w="720"/>
        <w:gridCol w:w="720"/>
        <w:gridCol w:w="660"/>
        <w:gridCol w:w="720"/>
        <w:gridCol w:w="1080"/>
        <w:gridCol w:w="960"/>
      </w:tblGrid>
      <w:tr>
        <w:trPr>
          <w:tblHeader w:val="true"/>
        </w:trPr>
        <w:tc>
          <w:tcPr/>
          <w:p>
            <w:pPr>
              <w:pStyle w:val="CompactSmall"/>
              <w:jc w:val="center"/>
            </w:pPr>
            <w:r>
              <w:rPr>
                <w:b/>
              </w:rPr>
              <w:t xml:space="preserve">Phương pháp</w:t>
            </w:r>
          </w:p>
        </w:tc>
        <w:tc>
          <w:tcPr/>
          <w:p>
            <w:pPr>
              <w:pStyle w:val="CompactSmall"/>
              <w:jc w:val="center"/>
            </w:pPr>
            <w:r>
              <w:rPr>
                <w:b/>
              </w:rPr>
              <w:t xml:space="preserve">Sortino</w:t>
            </w:r>
          </w:p>
        </w:tc>
        <w:tc>
          <w:tcPr/>
          <w:p>
            <w:pPr>
              <w:pStyle w:val="CompactSmall"/>
              <w:jc w:val="center"/>
            </w:pPr>
            <w:r>
              <w:rPr>
                <w:b/>
              </w:rPr>
              <w:t xml:space="preserve">Calmar</w:t>
            </w:r>
          </w:p>
        </w:tc>
        <w:tc>
          <w:tcPr/>
          <w:p>
            <w:pPr>
              <w:pStyle w:val="CompactSmall"/>
              <w:jc w:val="center"/>
            </w:pPr>
            <w:r>
              <w:rPr>
                <w:b/>
              </w:rPr>
              <w:t xml:space="preserve">VaR 95% tháng</w:t>
            </w:r>
          </w:p>
        </w:tc>
        <w:tc>
          <w:tcPr/>
          <w:p>
            <w:pPr>
              <w:pStyle w:val="CompactSmall"/>
              <w:jc w:val="center"/>
            </w:pPr>
            <w:r>
              <w:rPr>
                <w:b/>
              </w:rPr>
              <w:t xml:space="preserve">CVaR 95% tháng</w:t>
            </w:r>
          </w:p>
        </w:tc>
        <w:tc>
          <w:tcPr/>
          <w:p>
            <w:pPr>
              <w:pStyle w:val="CompactSmall"/>
              <w:jc w:val="center"/>
            </w:pPr>
            <w:r>
              <w:rPr>
                <w:b/>
              </w:rPr>
              <w:t xml:space="preserve">Tỷ lệ tháng dương</w:t>
            </w:r>
          </w:p>
        </w:tc>
        <w:tc>
          <w:tcPr/>
          <w:p>
            <w:pPr>
              <w:pStyle w:val="CompactSmall"/>
              <w:jc w:val="center"/>
            </w:pPr>
            <w:r>
              <w:rPr>
                <w:b/>
              </w:rPr>
              <w:t xml:space="preserve">Tháng tốt nhất</w:t>
            </w:r>
          </w:p>
        </w:tc>
        <w:tc>
          <w:tcPr/>
          <w:p>
            <w:pPr>
              <w:pStyle w:val="CompactSmall"/>
              <w:jc w:val="center"/>
            </w:pPr>
            <w:r>
              <w:rPr>
                <w:b/>
              </w:rPr>
              <w:t xml:space="preserve">Tháng xấu nhất</w:t>
            </w:r>
          </w:p>
        </w:tc>
        <w:tc>
          <w:tcPr/>
          <w:p>
            <w:pPr>
              <w:pStyle w:val="CompactSmall"/>
              <w:jc w:val="center"/>
            </w:pPr>
            <w:r>
              <w:rPr>
                <w:b/>
              </w:rPr>
              <w:t xml:space="preserve">Số tháng dưới đỉnh dài nhất</w:t>
            </w:r>
          </w:p>
        </w:tc>
        <w:tc>
          <w:tcPr/>
          <w:p>
            <w:pPr>
              <w:pStyle w:val="CompactSmall"/>
              <w:jc w:val="center"/>
            </w:pPr>
            <w:r>
              <w:rPr>
                <w:b/>
              </w:rPr>
              <w:t xml:space="preserve">Chi phí giao dịch/năm</w:t>
            </w:r>
          </w:p>
        </w:tc>
      </w:tr>
      <w:tr>
        <w:trPr>
          <w:cantSplit/>
        </w:trPr>
        <w:tc>
          <w:tcPr/>
          <w:p>
            <w:pPr>
              <w:pStyle w:val="CompactSmall"/>
              <w:jc w:val="left"/>
            </w:pPr>
            <w:r>
              <w:t xml:space="preserve">Equal Weight</w:t>
            </w:r>
          </w:p>
        </w:tc>
        <w:tc>
          <w:tcPr/>
          <w:p>
            <w:pPr>
              <w:pStyle w:val="CompactSmall"/>
              <w:jc w:val="left"/>
            </w:pPr>
            <w:r>
              <w:t xml:space="preserve">0,43</w:t>
            </w:r>
          </w:p>
        </w:tc>
        <w:tc>
          <w:tcPr/>
          <w:p>
            <w:pPr>
              <w:pStyle w:val="CompactSmall"/>
              <w:jc w:val="left"/>
            </w:pPr>
            <w:r>
              <w:t xml:space="preserve">0,35</w:t>
            </w:r>
          </w:p>
        </w:tc>
        <w:tc>
          <w:tcPr/>
          <w:p>
            <w:pPr>
              <w:pStyle w:val="CompactSmall"/>
              <w:jc w:val="left"/>
            </w:pPr>
            <w:r>
              <w:t xml:space="preserve">−3,7%</w:t>
            </w:r>
          </w:p>
        </w:tc>
        <w:tc>
          <w:tcPr/>
          <w:p>
            <w:pPr>
              <w:pStyle w:val="CompactSmall"/>
              <w:jc w:val="left"/>
            </w:pPr>
            <w:r>
              <w:t xml:space="preserve">−5,3%</w:t>
            </w:r>
          </w:p>
        </w:tc>
        <w:tc>
          <w:tcPr/>
          <w:p>
            <w:pPr>
              <w:pStyle w:val="CompactSmall"/>
              <w:jc w:val="left"/>
            </w:pPr>
            <w:r>
              <w:t xml:space="preserve">63%</w:t>
            </w:r>
          </w:p>
        </w:tc>
        <w:tc>
          <w:tcPr/>
          <w:p>
            <w:pPr>
              <w:pStyle w:val="CompactSmall"/>
              <w:jc w:val="left"/>
            </w:pPr>
            <w:r>
              <w:t xml:space="preserve">8,5%</w:t>
            </w:r>
          </w:p>
        </w:tc>
        <w:tc>
          <w:tcPr/>
          <w:p>
            <w:pPr>
              <w:pStyle w:val="CompactSmall"/>
              <w:jc w:val="left"/>
            </w:pPr>
            <w:r>
              <w:t xml:space="preserve">−7,4%</w:t>
            </w:r>
          </w:p>
        </w:tc>
        <w:tc>
          <w:tcPr/>
          <w:p>
            <w:pPr>
              <w:pStyle w:val="CompactSmall"/>
              <w:jc w:val="left"/>
            </w:pPr>
            <w:r>
              <w:t xml:space="preserve">37</w:t>
            </w:r>
          </w:p>
        </w:tc>
        <w:tc>
          <w:tcPr/>
          <w:p>
            <w:pPr>
              <w:pStyle w:val="CompactSmall"/>
              <w:jc w:val="left"/>
            </w:pPr>
            <w:r>
              <w:t xml:space="preserve">0,10%</w:t>
            </w:r>
          </w:p>
        </w:tc>
      </w:tr>
      <w:tr>
        <w:trPr>
          <w:cantSplit/>
        </w:trPr>
        <w:tc>
          <w:tcPr/>
          <w:p>
            <w:pPr>
              <w:pStyle w:val="CompactSmall"/>
              <w:jc w:val="left"/>
            </w:pPr>
            <w:r>
              <w:t xml:space="preserve">Markowitz</w:t>
            </w:r>
          </w:p>
        </w:tc>
        <w:tc>
          <w:tcPr/>
          <w:p>
            <w:pPr>
              <w:pStyle w:val="CompactSmall"/>
              <w:jc w:val="left"/>
            </w:pPr>
            <w:r>
              <w:t xml:space="preserve">0,29</w:t>
            </w:r>
          </w:p>
        </w:tc>
        <w:tc>
          <w:tcPr/>
          <w:p>
            <w:pPr>
              <w:pStyle w:val="CompactSmall"/>
              <w:jc w:val="left"/>
            </w:pPr>
            <w:r>
              <w:t xml:space="preserve">0,32</w:t>
            </w:r>
          </w:p>
        </w:tc>
        <w:tc>
          <w:tcPr/>
          <w:p>
            <w:pPr>
              <w:pStyle w:val="CompactSmall"/>
              <w:jc w:val="left"/>
            </w:pPr>
            <w:r>
              <w:t xml:space="preserve">−4,5%</w:t>
            </w:r>
          </w:p>
        </w:tc>
        <w:tc>
          <w:tcPr/>
          <w:p>
            <w:pPr>
              <w:pStyle w:val="CompactSmall"/>
              <w:jc w:val="left"/>
            </w:pPr>
            <w:r>
              <w:t xml:space="preserve">−6,2%</w:t>
            </w:r>
          </w:p>
        </w:tc>
        <w:tc>
          <w:tcPr/>
          <w:p>
            <w:pPr>
              <w:pStyle w:val="CompactSmall"/>
              <w:jc w:val="left"/>
            </w:pPr>
            <w:r>
              <w:t xml:space="preserve">63%</w:t>
            </w:r>
          </w:p>
        </w:tc>
        <w:tc>
          <w:tcPr/>
          <w:p>
            <w:pPr>
              <w:pStyle w:val="CompactSmall"/>
              <w:jc w:val="left"/>
            </w:pPr>
            <w:r>
              <w:t xml:space="preserve">9,2%</w:t>
            </w:r>
          </w:p>
        </w:tc>
        <w:tc>
          <w:tcPr/>
          <w:p>
            <w:pPr>
              <w:pStyle w:val="CompactSmall"/>
              <w:jc w:val="left"/>
            </w:pPr>
            <w:r>
              <w:t xml:space="preserve">−9,7%</w:t>
            </w:r>
          </w:p>
        </w:tc>
        <w:tc>
          <w:tcPr/>
          <w:p>
            <w:pPr>
              <w:pStyle w:val="CompactSmall"/>
              <w:jc w:val="left"/>
            </w:pPr>
            <w:r>
              <w:t xml:space="preserve">39</w:t>
            </w:r>
          </w:p>
        </w:tc>
        <w:tc>
          <w:tcPr/>
          <w:p>
            <w:pPr>
              <w:pStyle w:val="CompactSmall"/>
              <w:jc w:val="left"/>
            </w:pPr>
            <w:r>
              <w:t xml:space="preserve">0,05%</w:t>
            </w:r>
          </w:p>
        </w:tc>
      </w:tr>
      <w:tr>
        <w:trPr>
          <w:cantSplit/>
        </w:trPr>
        <w:tc>
          <w:tcPr/>
          <w:p>
            <w:pPr>
              <w:pStyle w:val="CompactSmall"/>
              <w:jc w:val="left"/>
            </w:pPr>
            <w:r>
              <w:t xml:space="preserve">Risk Parity</w:t>
            </w:r>
          </w:p>
        </w:tc>
        <w:tc>
          <w:tcPr/>
          <w:p>
            <w:pPr>
              <w:pStyle w:val="CompactSmall"/>
              <w:jc w:val="left"/>
            </w:pPr>
            <w:r>
              <w:t xml:space="preserve">0,44</w:t>
            </w:r>
          </w:p>
        </w:tc>
        <w:tc>
          <w:tcPr/>
          <w:p>
            <w:pPr>
              <w:pStyle w:val="CompactSmall"/>
              <w:jc w:val="left"/>
            </w:pPr>
            <w:r>
              <w:t xml:space="preserve">0,38</w:t>
            </w:r>
          </w:p>
        </w:tc>
        <w:tc>
          <w:tcPr/>
          <w:p>
            <w:pPr>
              <w:pStyle w:val="CompactSmall"/>
              <w:jc w:val="left"/>
            </w:pPr>
            <w:r>
              <w:t xml:space="preserve">−3,2%</w:t>
            </w:r>
          </w:p>
        </w:tc>
        <w:tc>
          <w:tcPr/>
          <w:p>
            <w:pPr>
              <w:pStyle w:val="CompactSmall"/>
              <w:jc w:val="left"/>
            </w:pPr>
            <w:r>
              <w:t xml:space="preserve">−4,9%</w:t>
            </w:r>
          </w:p>
        </w:tc>
        <w:tc>
          <w:tcPr/>
          <w:p>
            <w:pPr>
              <w:pStyle w:val="CompactSmall"/>
              <w:jc w:val="left"/>
            </w:pPr>
            <w:r>
              <w:t xml:space="preserve">62%</w:t>
            </w:r>
          </w:p>
        </w:tc>
        <w:tc>
          <w:tcPr/>
          <w:p>
            <w:pPr>
              <w:pStyle w:val="CompactSmall"/>
              <w:jc w:val="left"/>
            </w:pPr>
            <w:r>
              <w:t xml:space="preserve">8,4%</w:t>
            </w:r>
          </w:p>
        </w:tc>
        <w:tc>
          <w:tcPr/>
          <w:p>
            <w:pPr>
              <w:pStyle w:val="CompactSmall"/>
              <w:jc w:val="left"/>
            </w:pPr>
            <w:r>
              <w:t xml:space="preserve">−7,4%</w:t>
            </w:r>
          </w:p>
        </w:tc>
        <w:tc>
          <w:tcPr/>
          <w:p>
            <w:pPr>
              <w:pStyle w:val="CompactSmall"/>
              <w:jc w:val="left"/>
            </w:pPr>
            <w:r>
              <w:t xml:space="preserve">37</w:t>
            </w:r>
          </w:p>
        </w:tc>
        <w:tc>
          <w:tcPr/>
          <w:p>
            <w:pPr>
              <w:pStyle w:val="CompactSmall"/>
              <w:jc w:val="left"/>
            </w:pPr>
            <w:r>
              <w:t xml:space="preserve">0,10%</w:t>
            </w:r>
          </w:p>
        </w:tc>
      </w:tr>
      <w:tr>
        <w:trPr>
          <w:cantSplit/>
        </w:trPr>
        <w:tc>
          <w:tcPr/>
          <w:p>
            <w:pPr>
              <w:pStyle w:val="CompactSmall"/>
              <w:jc w:val="left"/>
            </w:pPr>
            <w:r>
              <w:t xml:space="preserve">HRP</w:t>
            </w:r>
          </w:p>
        </w:tc>
        <w:tc>
          <w:tcPr/>
          <w:p>
            <w:pPr>
              <w:pStyle w:val="CompactSmall"/>
              <w:jc w:val="left"/>
            </w:pPr>
            <w:r>
              <w:t xml:space="preserve">0,36</w:t>
            </w:r>
          </w:p>
        </w:tc>
        <w:tc>
          <w:tcPr/>
          <w:p>
            <w:pPr>
              <w:pStyle w:val="CompactSmall"/>
              <w:jc w:val="left"/>
            </w:pPr>
            <w:r>
              <w:t xml:space="preserve">0,39</w:t>
            </w:r>
          </w:p>
        </w:tc>
        <w:tc>
          <w:tcPr/>
          <w:p>
            <w:pPr>
              <w:pStyle w:val="CompactSmall"/>
              <w:jc w:val="left"/>
            </w:pPr>
            <w:r>
              <w:t xml:space="preserve">−3,1%</w:t>
            </w:r>
          </w:p>
        </w:tc>
        <w:tc>
          <w:tcPr/>
          <w:p>
            <w:pPr>
              <w:pStyle w:val="CompactSmall"/>
              <w:jc w:val="left"/>
            </w:pPr>
            <w:r>
              <w:t xml:space="preserve">−4,7%</w:t>
            </w:r>
          </w:p>
        </w:tc>
        <w:tc>
          <w:tcPr/>
          <w:p>
            <w:pPr>
              <w:pStyle w:val="CompactSmall"/>
              <w:jc w:val="left"/>
            </w:pPr>
            <w:r>
              <w:t xml:space="preserve">58%</w:t>
            </w:r>
          </w:p>
        </w:tc>
        <w:tc>
          <w:tcPr/>
          <w:p>
            <w:pPr>
              <w:pStyle w:val="CompactSmall"/>
              <w:jc w:val="left"/>
            </w:pPr>
            <w:r>
              <w:t xml:space="preserve">8,3%</w:t>
            </w:r>
          </w:p>
        </w:tc>
        <w:tc>
          <w:tcPr/>
          <w:p>
            <w:pPr>
              <w:pStyle w:val="CompactSmall"/>
              <w:jc w:val="left"/>
            </w:pPr>
            <w:r>
              <w:t xml:space="preserve">−7,4%</w:t>
            </w:r>
          </w:p>
        </w:tc>
        <w:tc>
          <w:tcPr/>
          <w:p>
            <w:pPr>
              <w:pStyle w:val="CompactSmall"/>
              <w:jc w:val="left"/>
            </w:pPr>
            <w:r>
              <w:t xml:space="preserve">40</w:t>
            </w:r>
          </w:p>
        </w:tc>
        <w:tc>
          <w:tcPr/>
          <w:p>
            <w:pPr>
              <w:pStyle w:val="CompactSmall"/>
              <w:jc w:val="left"/>
            </w:pPr>
            <w:r>
              <w:t xml:space="preserve">0,08%</w:t>
            </w:r>
          </w:p>
        </w:tc>
      </w:tr>
      <w:tr>
        <w:trPr>
          <w:cantSplit/>
        </w:trPr>
        <w:tc>
          <w:tcPr/>
          <w:p>
            <w:pPr>
              <w:pStyle w:val="CompactSmall"/>
              <w:jc w:val="left"/>
            </w:pPr>
            <w:r>
              <w:t xml:space="preserve">Black–Litterman</w:t>
            </w:r>
          </w:p>
        </w:tc>
        <w:tc>
          <w:tcPr/>
          <w:p>
            <w:pPr>
              <w:pStyle w:val="CompactSmall"/>
              <w:jc w:val="left"/>
            </w:pPr>
            <w:r>
              <w:t xml:space="preserve">0,59</w:t>
            </w:r>
          </w:p>
        </w:tc>
        <w:tc>
          <w:tcPr/>
          <w:p>
            <w:pPr>
              <w:pStyle w:val="CompactSmall"/>
              <w:jc w:val="left"/>
            </w:pPr>
            <w:r>
              <w:t xml:space="preserve">0,46</w:t>
            </w:r>
          </w:p>
        </w:tc>
        <w:tc>
          <w:tcPr/>
          <w:p>
            <w:pPr>
              <w:pStyle w:val="CompactSmall"/>
              <w:jc w:val="left"/>
            </w:pPr>
            <w:r>
              <w:t xml:space="preserve">−4,7%</w:t>
            </w:r>
          </w:p>
        </w:tc>
        <w:tc>
          <w:tcPr/>
          <w:p>
            <w:pPr>
              <w:pStyle w:val="CompactSmall"/>
              <w:jc w:val="left"/>
            </w:pPr>
            <w:r>
              <w:t xml:space="preserve">−6,2%</w:t>
            </w:r>
          </w:p>
        </w:tc>
        <w:tc>
          <w:tcPr/>
          <w:p>
            <w:pPr>
              <w:pStyle w:val="CompactSmall"/>
              <w:jc w:val="left"/>
            </w:pPr>
            <w:r>
              <w:t xml:space="preserve">61%</w:t>
            </w:r>
          </w:p>
        </w:tc>
        <w:tc>
          <w:tcPr/>
          <w:p>
            <w:pPr>
              <w:pStyle w:val="CompactSmall"/>
              <w:jc w:val="left"/>
            </w:pPr>
            <w:r>
              <w:t xml:space="preserve">12,8%</w:t>
            </w:r>
          </w:p>
        </w:tc>
        <w:tc>
          <w:tcPr/>
          <w:p>
            <w:pPr>
              <w:pStyle w:val="CompactSmall"/>
              <w:jc w:val="left"/>
            </w:pPr>
            <w:r>
              <w:t xml:space="preserve">−7,6%</w:t>
            </w:r>
          </w:p>
        </w:tc>
        <w:tc>
          <w:tcPr/>
          <w:p>
            <w:pPr>
              <w:pStyle w:val="CompactSmall"/>
              <w:jc w:val="left"/>
            </w:pPr>
            <w:r>
              <w:t xml:space="preserve">39</w:t>
            </w:r>
          </w:p>
        </w:tc>
        <w:tc>
          <w:tcPr/>
          <w:p>
            <w:pPr>
              <w:pStyle w:val="CompactSmall"/>
              <w:jc w:val="left"/>
            </w:pPr>
            <w:r>
              <w:t xml:space="preserve">0,33%</w:t>
            </w:r>
          </w:p>
        </w:tc>
      </w:tr>
      <w:tr>
        <w:trPr>
          <w:cantSplit/>
        </w:trPr>
        <w:tc>
          <w:tcPr/>
          <w:p>
            <w:pPr>
              <w:pStyle w:val="CompactSmall"/>
              <w:jc w:val="left"/>
            </w:pPr>
            <w:r>
              <w:t xml:space="preserve">MLP_MVO</w:t>
            </w:r>
          </w:p>
        </w:tc>
        <w:tc>
          <w:tcPr/>
          <w:p>
            <w:pPr>
              <w:pStyle w:val="CompactSmall"/>
              <w:jc w:val="left"/>
            </w:pPr>
            <w:r>
              <w:t xml:space="preserve">0,52</w:t>
            </w:r>
          </w:p>
        </w:tc>
        <w:tc>
          <w:tcPr/>
          <w:p>
            <w:pPr>
              <w:pStyle w:val="CompactSmall"/>
              <w:jc w:val="left"/>
            </w:pPr>
            <w:r>
              <w:t xml:space="preserve">0,42</w:t>
            </w:r>
          </w:p>
        </w:tc>
        <w:tc>
          <w:tcPr/>
          <w:p>
            <w:pPr>
              <w:pStyle w:val="CompactSmall"/>
              <w:jc w:val="left"/>
            </w:pPr>
            <w:r>
              <w:t xml:space="preserve">−5,8%</w:t>
            </w:r>
          </w:p>
        </w:tc>
        <w:tc>
          <w:tcPr/>
          <w:p>
            <w:pPr>
              <w:pStyle w:val="CompactSmall"/>
              <w:jc w:val="left"/>
            </w:pPr>
            <w:r>
              <w:t xml:space="preserve">−6,9%</w:t>
            </w:r>
          </w:p>
        </w:tc>
        <w:tc>
          <w:tcPr/>
          <w:p>
            <w:pPr>
              <w:pStyle w:val="CompactSmall"/>
              <w:jc w:val="left"/>
            </w:pPr>
            <w:r>
              <w:t xml:space="preserve">60%</w:t>
            </w:r>
          </w:p>
        </w:tc>
        <w:tc>
          <w:tcPr/>
          <w:p>
            <w:pPr>
              <w:pStyle w:val="CompactSmall"/>
              <w:jc w:val="left"/>
            </w:pPr>
            <w:r>
              <w:t xml:space="preserve">16,1%</w:t>
            </w:r>
          </w:p>
        </w:tc>
        <w:tc>
          <w:tcPr/>
          <w:p>
            <w:pPr>
              <w:pStyle w:val="CompactSmall"/>
              <w:jc w:val="left"/>
            </w:pPr>
            <w:r>
              <w:t xml:space="preserve">−9,8%</w:t>
            </w:r>
          </w:p>
        </w:tc>
        <w:tc>
          <w:tcPr/>
          <w:p>
            <w:pPr>
              <w:pStyle w:val="CompactSmall"/>
              <w:jc w:val="left"/>
            </w:pPr>
            <w:r>
              <w:t xml:space="preserve">38</w:t>
            </w:r>
          </w:p>
        </w:tc>
        <w:tc>
          <w:tcPr/>
          <w:p>
            <w:pPr>
              <w:pStyle w:val="CompactSmall"/>
              <w:jc w:val="left"/>
            </w:pPr>
            <w:r>
              <w:t xml:space="preserve">0,65%</w:t>
            </w:r>
          </w:p>
        </w:tc>
      </w:tr>
      <w:tr>
        <w:trPr>
          <w:cantSplit/>
        </w:trPr>
        <w:tc>
          <w:tcPr/>
          <w:p>
            <w:pPr>
              <w:pStyle w:val="CompactSmall"/>
              <w:jc w:val="left"/>
            </w:pPr>
            <w:r>
              <w:t xml:space="preserve">RL</w:t>
            </w:r>
          </w:p>
        </w:tc>
        <w:tc>
          <w:tcPr/>
          <w:p>
            <w:pPr>
              <w:pStyle w:val="CompactSmall"/>
              <w:jc w:val="left"/>
            </w:pPr>
            <w:r>
              <w:t xml:space="preserve">0,31</w:t>
            </w:r>
          </w:p>
        </w:tc>
        <w:tc>
          <w:tcPr/>
          <w:p>
            <w:pPr>
              <w:pStyle w:val="CompactSmall"/>
              <w:jc w:val="left"/>
            </w:pPr>
            <w:r>
              <w:t xml:space="preserve">0,28</w:t>
            </w:r>
          </w:p>
        </w:tc>
        <w:tc>
          <w:tcPr/>
          <w:p>
            <w:pPr>
              <w:pStyle w:val="CompactSmall"/>
              <w:jc w:val="left"/>
            </w:pPr>
            <w:r>
              <w:t xml:space="preserve">−4,7%</w:t>
            </w:r>
          </w:p>
        </w:tc>
        <w:tc>
          <w:tcPr/>
          <w:p>
            <w:pPr>
              <w:pStyle w:val="CompactSmall"/>
              <w:jc w:val="left"/>
            </w:pPr>
            <w:r>
              <w:t xml:space="preserve">−7,0%</w:t>
            </w:r>
          </w:p>
        </w:tc>
        <w:tc>
          <w:tcPr/>
          <w:p>
            <w:pPr>
              <w:pStyle w:val="CompactSmall"/>
              <w:jc w:val="left"/>
            </w:pPr>
            <w:r>
              <w:t xml:space="preserve">57%</w:t>
            </w:r>
          </w:p>
        </w:tc>
        <w:tc>
          <w:tcPr/>
          <w:p>
            <w:pPr>
              <w:pStyle w:val="CompactSmall"/>
              <w:jc w:val="left"/>
            </w:pPr>
            <w:r>
              <w:t xml:space="preserve">10,2%</w:t>
            </w:r>
          </w:p>
        </w:tc>
        <w:tc>
          <w:tcPr/>
          <w:p>
            <w:pPr>
              <w:pStyle w:val="CompactSmall"/>
              <w:jc w:val="left"/>
            </w:pPr>
            <w:r>
              <w:t xml:space="preserve">−11,3%</w:t>
            </w:r>
          </w:p>
        </w:tc>
        <w:tc>
          <w:tcPr/>
          <w:p>
            <w:pPr>
              <w:pStyle w:val="CompactSmall"/>
              <w:jc w:val="left"/>
            </w:pPr>
            <w:r>
              <w:t xml:space="preserve">42</w:t>
            </w:r>
          </w:p>
        </w:tc>
        <w:tc>
          <w:tcPr/>
          <w:p>
            <w:pPr>
              <w:pStyle w:val="CompactSmall"/>
              <w:jc w:val="left"/>
            </w:pPr>
            <w:r>
              <w:t xml:space="preserve">0,29%</w:t>
            </w:r>
          </w:p>
        </w:tc>
      </w:tr>
    </w:tbl>
    <w:p>
      <w:pPr>
        <w:pStyle w:val="BodyText"/>
        <w:spacing w:before="200"/>
      </w:pPr>
      <w:r>
        <w:t xml:space="preserve">Các thước đo bổ sung cho bức tranh nhất quán với Sharpe nhưng làm rõ bản chất rủi ro. Risk Parity và HRP có VaR và CVaR tốt nhất (CVaR khoảng −4,7 đến −4,9% mỗi tháng), tức trong những tháng xấu nhất chúng mất ít hơn. BL có Sortino và Calmar cao nhất, nhưng phần lớn lợi thế đến từ phía tăng: tháng tốt nhất của BL là +12,8%, so với khoảng +8,5% của EW và Risk Parity, còn tháng xấu nhất gần như bằng nhau. Mọi phương pháp đều có những giai đoạn dưới đỉnh kéo dài trên 3 năm (37–42 tháng), tương ứng đợt sụt giảm 2022 và thời gian hồi phục sau đó; đây là con số mà nhà đầu tư cá nhân cần được biết trước. Chi phí giao dịch hằng năm của các phương pháp đơn giản chỉ khoảng 0,05–0,10%, của BL 0,33% và của MLP_MVO 0,65%, phần lớn do giao dịch vàng có phí 1%.</w:t>
      </w:r>
    </w:p>
    <w:p>
      <w:pPr>
        <w:pStyle w:val="CaptionedFigure"/>
      </w:pPr>
      <w:r>
        <w:drawing>
          <wp:inline>
            <wp:extent cx="5753100" cy="4748590"/>
            <wp:effectExtent b="0" l="0" r="0" t="0"/>
            <wp:docPr descr="Hình 4.4. Giá trị tích lũy và mức sụt giảm từ đỉnh, kịch bản chính" title="" id="112" name="Picture"/>
            <a:graphic>
              <a:graphicData uri="http://schemas.openxmlformats.org/drawingml/2006/picture">
                <pic:pic>
                  <pic:nvPicPr>
                    <pic:cNvPr descr="img/h4_wealth.png" id="113" name="Picture"/>
                    <pic:cNvPicPr>
                      <a:picLocks noChangeArrowheads="1" noChangeAspect="1"/>
                    </pic:cNvPicPr>
                  </pic:nvPicPr>
                  <pic:blipFill>
                    <a:blip r:embed="rId111"/>
                    <a:stretch>
                      <a:fillRect/>
                    </a:stretch>
                  </pic:blipFill>
                  <pic:spPr bwMode="auto">
                    <a:xfrm>
                      <a:off x="0" y="0"/>
                      <a:ext cx="5753100" cy="4748590"/>
                    </a:xfrm>
                    <a:prstGeom prst="rect">
                      <a:avLst/>
                    </a:prstGeom>
                    <a:noFill/>
                    <a:ln w="9525">
                      <a:noFill/>
                      <a:headEnd/>
                      <a:tailEnd/>
                    </a:ln>
                  </pic:spPr>
                </pic:pic>
              </a:graphicData>
            </a:graphic>
          </wp:inline>
        </w:drawing>
      </w:r>
    </w:p>
    <w:p>
      <w:pPr>
        <w:pStyle w:val="ImageCaption"/>
      </w:pPr>
      <w:r>
        <w:t xml:space="preserve">Hình 4.4. Giá trị tích lũy và mức sụt giảm từ đỉnh, kịch bản chính</w:t>
      </w:r>
    </w:p>
    <w:p>
      <w:pPr>
        <w:pStyle w:val="SourceNote"/>
      </w:pPr>
      <w:r>
        <w:t xml:space="preserve">Nguồn: Tác giả tính toán từ dữ liệu nghiên cứu.</w:t>
      </w:r>
    </w:p>
    <w:p>
      <w:pPr>
        <w:pStyle w:val="BodyText"/>
      </w:pPr>
      <w:r>
        <w:t xml:space="preserve">Hình 4.4 cho thấy các phương pháp đi gần nhau trong hầu hết giai đoạn; chênh lệch của BL hình thành chủ yếu trong hai đợt tăng mạnh 2020–2021 và 2025. Phần dưới của hình cho thấy mức sụt giảm của mọi phương pháp tập trung trong cùng một đợt (2022), với độ sâu 20–25%, và chỉ Markowitz có thêm một đợt sụt giảm đáng kể vào đầu 2020. Trong những tháng đầu 2026, BL giảm mạnh hơn các phương pháp khác do tỷ trọng vàng cao khi giá vàng điều chỉnh.</w:t>
      </w:r>
    </w:p>
    <w:bookmarkEnd w:id="114"/>
    <w:bookmarkStart w:id="118" w:name="danh-mục-nắm-giữ-những-gì"/>
    <w:p>
      <w:pPr>
        <w:pStyle w:val="Heading3"/>
      </w:pPr>
      <w:r>
        <w:t xml:space="preserve">4.3.3 Danh mục nắm giữ những gì</w:t>
      </w:r>
    </w:p>
    <w:p>
      <w:pPr>
        <w:pStyle w:val="TableCaption"/>
      </w:pPr>
      <w:r>
        <w:t xml:space="preserve">Bảng 4.11. Tỷ trọng bình quân theo lớp, kịch bản chính</w:t>
      </w:r>
    </w:p>
    <w:tbl>
      <w:tblPr>
        <w:tblStyle w:val="Table"/>
        <w:tblW w:type="pct" w:w="5000"/>
        <w:jc w:val="center"/>
        <w:tblLook w:firstRow="1" w:lastRow="0" w:firstColumn="0" w:lastColumn="0" w:noHBand="0" w:noVBand="0" w:val="0020"/>
        <w:tblCaption w:val="Bảng 4.11. Tỷ trọng bình quân theo lớp, kịch bản chính"/>
      </w:tblPr>
      <w:tblGrid>
        <w:gridCol w:w="2262"/>
        <w:gridCol w:w="1131"/>
        <w:gridCol w:w="1131"/>
        <w:gridCol w:w="1131"/>
        <w:gridCol w:w="1131"/>
        <w:gridCol w:w="1131"/>
      </w:tblGrid>
      <w:tr>
        <w:trPr>
          <w:tblHeader w:val="true"/>
        </w:trPr>
        <w:tc>
          <w:tcPr/>
          <w:p>
            <w:pPr>
              <w:pStyle w:val="Compact"/>
              <w:jc w:val="center"/>
            </w:pPr>
            <w:r>
              <w:rPr>
                <w:b/>
              </w:rPr>
              <w:t xml:space="preserve">Phương pháp</w:t>
            </w:r>
          </w:p>
        </w:tc>
        <w:tc>
          <w:tcPr/>
          <w:p>
            <w:pPr>
              <w:pStyle w:val="Compact"/>
              <w:jc w:val="center"/>
            </w:pPr>
            <w:r>
              <w:rPr>
                <w:b/>
              </w:rPr>
              <w:t xml:space="preserve">Cổ phiếu</w:t>
            </w:r>
          </w:p>
        </w:tc>
        <w:tc>
          <w:tcPr/>
          <w:p>
            <w:pPr>
              <w:pStyle w:val="Compact"/>
              <w:jc w:val="center"/>
            </w:pPr>
            <w:r>
              <w:rPr>
                <w:b/>
              </w:rPr>
              <w:t xml:space="preserve">Cổ phiếu BĐS</w:t>
            </w:r>
          </w:p>
        </w:tc>
        <w:tc>
          <w:tcPr/>
          <w:p>
            <w:pPr>
              <w:pStyle w:val="Compact"/>
              <w:jc w:val="center"/>
            </w:pPr>
            <w:r>
              <w:rPr>
                <w:b/>
              </w:rPr>
              <w:t xml:space="preserve">Vàng</w:t>
            </w:r>
          </w:p>
        </w:tc>
        <w:tc>
          <w:tcPr/>
          <w:p>
            <w:pPr>
              <w:pStyle w:val="Compact"/>
              <w:jc w:val="center"/>
            </w:pPr>
            <w:r>
              <w:rPr>
                <w:b/>
              </w:rPr>
              <w:t xml:space="preserve">Trái phiếu</w:t>
            </w:r>
          </w:p>
        </w:tc>
        <w:tc>
          <w:tcPr/>
          <w:p>
            <w:pPr>
              <w:pStyle w:val="Compact"/>
              <w:jc w:val="center"/>
            </w:pPr>
            <w:r>
              <w:rPr>
                <w:b/>
              </w:rPr>
              <w:t xml:space="preserve">Tiền gửi</w:t>
            </w:r>
          </w:p>
        </w:tc>
      </w:tr>
      <w:tr>
        <w:trPr>
          <w:cantSplit/>
        </w:trPr>
        <w:tc>
          <w:tcPr/>
          <w:p>
            <w:pPr>
              <w:pStyle w:val="Compact"/>
              <w:jc w:val="left"/>
            </w:pPr>
            <w:r>
              <w:t xml:space="preserve">Equal Weight</w:t>
            </w:r>
          </w:p>
        </w:tc>
        <w:tc>
          <w:tcPr/>
          <w:p>
            <w:pPr>
              <w:pStyle w:val="Compact"/>
              <w:jc w:val="left"/>
            </w:pPr>
            <w:r>
              <w:t xml:space="preserve">20,2%</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c>
          <w:tcPr/>
          <w:p>
            <w:pPr>
              <w:pStyle w:val="Compact"/>
              <w:jc w:val="left"/>
            </w:pPr>
            <w:r>
              <w:t xml:space="preserve">19,9%</w:t>
            </w:r>
          </w:p>
        </w:tc>
      </w:tr>
      <w:tr>
        <w:trPr>
          <w:cantSplit/>
        </w:trPr>
        <w:tc>
          <w:tcPr/>
          <w:p>
            <w:pPr>
              <w:pStyle w:val="Compact"/>
              <w:jc w:val="left"/>
            </w:pPr>
            <w:r>
              <w:t xml:space="preserve">Markowitz</w:t>
            </w:r>
          </w:p>
        </w:tc>
        <w:tc>
          <w:tcPr/>
          <w:p>
            <w:pPr>
              <w:pStyle w:val="Compact"/>
              <w:jc w:val="left"/>
            </w:pPr>
            <w:r>
              <w:t xml:space="preserve">33,5%</w:t>
            </w:r>
          </w:p>
        </w:tc>
        <w:tc>
          <w:tcPr/>
          <w:p>
            <w:pPr>
              <w:pStyle w:val="Compact"/>
              <w:jc w:val="left"/>
            </w:pPr>
            <w:r>
              <w:t xml:space="preserve">12,8%</w:t>
            </w:r>
          </w:p>
        </w:tc>
        <w:tc>
          <w:tcPr/>
          <w:p>
            <w:pPr>
              <w:pStyle w:val="Compact"/>
              <w:jc w:val="left"/>
            </w:pPr>
            <w:r>
              <w:t xml:space="preserve">6,7%</w:t>
            </w:r>
          </w:p>
        </w:tc>
        <w:tc>
          <w:tcPr/>
          <w:p>
            <w:pPr>
              <w:pStyle w:val="Compact"/>
              <w:jc w:val="left"/>
            </w:pPr>
            <w:r>
              <w:t xml:space="preserve">47,0%</w:t>
            </w:r>
          </w:p>
        </w:tc>
        <w:tc>
          <w:tcPr/>
          <w:p>
            <w:pPr>
              <w:pStyle w:val="Compact"/>
              <w:jc w:val="left"/>
            </w:pPr>
            <w:r>
              <w:t xml:space="preserve">0,0%</w:t>
            </w:r>
          </w:p>
        </w:tc>
      </w:tr>
      <w:tr>
        <w:trPr>
          <w:cantSplit/>
        </w:trPr>
        <w:tc>
          <w:tcPr/>
          <w:p>
            <w:pPr>
              <w:pStyle w:val="Compact"/>
              <w:jc w:val="left"/>
            </w:pPr>
            <w:r>
              <w:t xml:space="preserve">Risk Parity</w:t>
            </w:r>
          </w:p>
        </w:tc>
        <w:tc>
          <w:tcPr/>
          <w:p>
            <w:pPr>
              <w:pStyle w:val="Compact"/>
              <w:jc w:val="left"/>
            </w:pPr>
            <w:r>
              <w:t xml:space="preserve">23,3%</w:t>
            </w:r>
          </w:p>
        </w:tc>
        <w:tc>
          <w:tcPr/>
          <w:p>
            <w:pPr>
              <w:pStyle w:val="Compact"/>
              <w:jc w:val="left"/>
            </w:pPr>
            <w:r>
              <w:t xml:space="preserve">16,9%</w:t>
            </w:r>
          </w:p>
        </w:tc>
        <w:tc>
          <w:tcPr/>
          <w:p>
            <w:pPr>
              <w:pStyle w:val="Compact"/>
              <w:jc w:val="left"/>
            </w:pPr>
            <w:r>
              <w:t xml:space="preserve">11,6%</w:t>
            </w:r>
          </w:p>
        </w:tc>
        <w:tc>
          <w:tcPr/>
          <w:p>
            <w:pPr>
              <w:pStyle w:val="Compact"/>
              <w:jc w:val="left"/>
            </w:pPr>
            <w:r>
              <w:t xml:space="preserve">47,1%</w:t>
            </w:r>
          </w:p>
        </w:tc>
        <w:tc>
          <w:tcPr/>
          <w:p>
            <w:pPr>
              <w:pStyle w:val="Compact"/>
              <w:jc w:val="left"/>
            </w:pPr>
            <w:r>
              <w:t xml:space="preserve">1,1%</w:t>
            </w:r>
          </w:p>
        </w:tc>
      </w:tr>
      <w:tr>
        <w:trPr>
          <w:cantSplit/>
        </w:trPr>
        <w:tc>
          <w:tcPr/>
          <w:p>
            <w:pPr>
              <w:pStyle w:val="Compact"/>
              <w:jc w:val="left"/>
            </w:pPr>
            <w:r>
              <w:t xml:space="preserve">HRP</w:t>
            </w:r>
          </w:p>
        </w:tc>
        <w:tc>
          <w:tcPr/>
          <w:p>
            <w:pPr>
              <w:pStyle w:val="Compact"/>
              <w:jc w:val="left"/>
            </w:pPr>
            <w:r>
              <w:t xml:space="preserve">25,0%</w:t>
            </w:r>
          </w:p>
        </w:tc>
        <w:tc>
          <w:tcPr/>
          <w:p>
            <w:pPr>
              <w:pStyle w:val="Compact"/>
              <w:jc w:val="left"/>
            </w:pPr>
            <w:r>
              <w:t xml:space="preserve">15,1%</w:t>
            </w:r>
          </w:p>
        </w:tc>
        <w:tc>
          <w:tcPr/>
          <w:p>
            <w:pPr>
              <w:pStyle w:val="Compact"/>
              <w:jc w:val="left"/>
            </w:pPr>
            <w:r>
              <w:t xml:space="preserve">4,0%</w:t>
            </w:r>
          </w:p>
        </w:tc>
        <w:tc>
          <w:tcPr/>
          <w:p>
            <w:pPr>
              <w:pStyle w:val="Compact"/>
              <w:jc w:val="left"/>
            </w:pPr>
            <w:r>
              <w:t xml:space="preserve">49,7%</w:t>
            </w:r>
          </w:p>
        </w:tc>
        <w:tc>
          <w:tcPr/>
          <w:p>
            <w:pPr>
              <w:pStyle w:val="Compact"/>
              <w:jc w:val="left"/>
            </w:pPr>
            <w:r>
              <w:t xml:space="preserve">6,1%</w:t>
            </w:r>
          </w:p>
        </w:tc>
      </w:tr>
      <w:tr>
        <w:trPr>
          <w:cantSplit/>
        </w:trPr>
        <w:tc>
          <w:tcPr/>
          <w:p>
            <w:pPr>
              <w:pStyle w:val="Compact"/>
              <w:jc w:val="left"/>
            </w:pPr>
            <w:r>
              <w:t xml:space="preserve">Black–Litterman</w:t>
            </w:r>
          </w:p>
        </w:tc>
        <w:tc>
          <w:tcPr/>
          <w:p>
            <w:pPr>
              <w:pStyle w:val="Compact"/>
              <w:jc w:val="left"/>
            </w:pPr>
            <w:r>
              <w:t xml:space="preserve">20,9%</w:t>
            </w:r>
          </w:p>
        </w:tc>
        <w:tc>
          <w:tcPr/>
          <w:p>
            <w:pPr>
              <w:pStyle w:val="Compact"/>
              <w:jc w:val="left"/>
            </w:pPr>
            <w:r>
              <w:t xml:space="preserve">25,4%</w:t>
            </w:r>
          </w:p>
        </w:tc>
        <w:tc>
          <w:tcPr/>
          <w:p>
            <w:pPr>
              <w:pStyle w:val="Compact"/>
              <w:jc w:val="left"/>
            </w:pPr>
            <w:r>
              <w:t xml:space="preserve">27,6%</w:t>
            </w:r>
          </w:p>
        </w:tc>
        <w:tc>
          <w:tcPr/>
          <w:p>
            <w:pPr>
              <w:pStyle w:val="Compact"/>
              <w:jc w:val="left"/>
            </w:pPr>
            <w:r>
              <w:t xml:space="preserve">12,1%</w:t>
            </w:r>
          </w:p>
        </w:tc>
        <w:tc>
          <w:tcPr/>
          <w:p>
            <w:pPr>
              <w:pStyle w:val="Compact"/>
              <w:jc w:val="left"/>
            </w:pPr>
            <w:r>
              <w:t xml:space="preserve">13,9%</w:t>
            </w:r>
          </w:p>
        </w:tc>
      </w:tr>
      <w:tr>
        <w:trPr>
          <w:cantSplit/>
        </w:trPr>
        <w:tc>
          <w:tcPr/>
          <w:p>
            <w:pPr>
              <w:pStyle w:val="Compact"/>
              <w:jc w:val="left"/>
            </w:pPr>
            <w:r>
              <w:t xml:space="preserve">MLP_MVO</w:t>
            </w:r>
          </w:p>
        </w:tc>
        <w:tc>
          <w:tcPr/>
          <w:p>
            <w:pPr>
              <w:pStyle w:val="Compact"/>
              <w:jc w:val="left"/>
            </w:pPr>
            <w:r>
              <w:t xml:space="preserve">29,9%</w:t>
            </w:r>
          </w:p>
        </w:tc>
        <w:tc>
          <w:tcPr/>
          <w:p>
            <w:pPr>
              <w:pStyle w:val="Compact"/>
              <w:jc w:val="left"/>
            </w:pPr>
            <w:r>
              <w:t xml:space="preserve">18,9%</w:t>
            </w:r>
          </w:p>
        </w:tc>
        <w:tc>
          <w:tcPr/>
          <w:p>
            <w:pPr>
              <w:pStyle w:val="Compact"/>
              <w:jc w:val="left"/>
            </w:pPr>
            <w:r>
              <w:t xml:space="preserve">22,8%</w:t>
            </w:r>
          </w:p>
        </w:tc>
        <w:tc>
          <w:tcPr/>
          <w:p>
            <w:pPr>
              <w:pStyle w:val="Compact"/>
              <w:jc w:val="left"/>
            </w:pPr>
            <w:r>
              <w:t xml:space="preserve">27,5%</w:t>
            </w:r>
          </w:p>
        </w:tc>
        <w:tc>
          <w:tcPr/>
          <w:p>
            <w:pPr>
              <w:pStyle w:val="Compact"/>
              <w:jc w:val="left"/>
            </w:pPr>
            <w:r>
              <w:t xml:space="preserve">0,9%</w:t>
            </w:r>
          </w:p>
        </w:tc>
      </w:tr>
      <w:tr>
        <w:trPr>
          <w:cantSplit/>
        </w:trPr>
        <w:tc>
          <w:tcPr/>
          <w:p>
            <w:pPr>
              <w:pStyle w:val="Compact"/>
              <w:jc w:val="left"/>
            </w:pPr>
            <w:r>
              <w:t xml:space="preserve">RL</w:t>
            </w:r>
          </w:p>
        </w:tc>
        <w:tc>
          <w:tcPr/>
          <w:p>
            <w:pPr>
              <w:pStyle w:val="Compact"/>
              <w:jc w:val="left"/>
            </w:pPr>
            <w:r>
              <w:t xml:space="preserve">26,0%</w:t>
            </w:r>
          </w:p>
        </w:tc>
        <w:tc>
          <w:tcPr/>
          <w:p>
            <w:pPr>
              <w:pStyle w:val="Compact"/>
              <w:jc w:val="left"/>
            </w:pPr>
            <w:r>
              <w:t xml:space="preserve">25,8%</w:t>
            </w:r>
          </w:p>
        </w:tc>
        <w:tc>
          <w:tcPr/>
          <w:p>
            <w:pPr>
              <w:pStyle w:val="Compact"/>
              <w:jc w:val="left"/>
            </w:pPr>
            <w:r>
              <w:t xml:space="preserve">16,1%</w:t>
            </w:r>
          </w:p>
        </w:tc>
        <w:tc>
          <w:tcPr/>
          <w:p>
            <w:pPr>
              <w:pStyle w:val="Compact"/>
              <w:jc w:val="left"/>
            </w:pPr>
            <w:r>
              <w:t xml:space="preserve">16,1%</w:t>
            </w:r>
          </w:p>
        </w:tc>
        <w:tc>
          <w:tcPr/>
          <w:p>
            <w:pPr>
              <w:pStyle w:val="Compact"/>
              <w:jc w:val="left"/>
            </w:pPr>
            <w:r>
              <w:t xml:space="preserve">16,0%</w:t>
            </w:r>
          </w:p>
        </w:tc>
      </w:tr>
    </w:tbl>
    <w:p>
      <w:pPr>
        <w:pStyle w:val="BodyText"/>
        <w:spacing w:before="200"/>
      </w:pPr>
      <w:r>
        <w:t xml:space="preserve">Bảng 4.11 cho thấy các phương pháp có Sharpe gần nhau nhưng nắm giữ rất khác nhau. Markowitz, Risk Parity và HRP dồn gần sát trần 50% vào trái phiếu, vì đây là lớp có độ biến động thấp nhất; phần còn lại của nhóm phòng thủ dành cho vàng rất ít (4–12%). Black–Litterman ngược lại giữ vàng nhiều nhất (27,6%) và trái phiếu ít nhất (12,1%), vì tiên nghiệm của BL là danh mục phân bổ đều và quan điểm học máy cho vàng có kỹ năng. Equal Weight chia đều 20% cho mỗi lớp. Sự khác biệt về tỷ trọng vàng này sẽ là chìa khóa để giải thích chênh lệch hiệu quả ở mục 4.7.</w:t>
      </w:r>
    </w:p>
    <w:p>
      <w:pPr>
        <w:pStyle w:val="CaptionedFigure"/>
      </w:pPr>
      <w:r>
        <w:drawing>
          <wp:inline>
            <wp:extent cx="5753100" cy="4383314"/>
            <wp:effectExtent b="0" l="0" r="0" t="0"/>
            <wp:docPr descr="Hình 4.5. Tỷ trọng theo thời gian của Risk Parity và Black–Litterman, kịch bản chính" title="" id="116" name="Picture"/>
            <a:graphic>
              <a:graphicData uri="http://schemas.openxmlformats.org/drawingml/2006/picture">
                <pic:pic>
                  <pic:nvPicPr>
                    <pic:cNvPr descr="img/h4_weights.png" id="117" name="Picture"/>
                    <pic:cNvPicPr>
                      <a:picLocks noChangeArrowheads="1" noChangeAspect="1"/>
                    </pic:cNvPicPr>
                  </pic:nvPicPr>
                  <pic:blipFill>
                    <a:blip r:embed="rId115"/>
                    <a:stretch>
                      <a:fillRect/>
                    </a:stretch>
                  </pic:blipFill>
                  <pic:spPr bwMode="auto">
                    <a:xfrm>
                      <a:off x="0" y="0"/>
                      <a:ext cx="5753100" cy="4383314"/>
                    </a:xfrm>
                    <a:prstGeom prst="rect">
                      <a:avLst/>
                    </a:prstGeom>
                    <a:noFill/>
                    <a:ln w="9525">
                      <a:noFill/>
                      <a:headEnd/>
                      <a:tailEnd/>
                    </a:ln>
                  </pic:spPr>
                </pic:pic>
              </a:graphicData>
            </a:graphic>
          </wp:inline>
        </w:drawing>
      </w:r>
    </w:p>
    <w:p>
      <w:pPr>
        <w:pStyle w:val="ImageCaption"/>
      </w:pPr>
      <w:r>
        <w:t xml:space="preserve">Hình 4.5. Tỷ trọng theo thời gian của Risk Parity và Black–Litterman, kịch bản chính</w:t>
      </w:r>
    </w:p>
    <w:p>
      <w:pPr>
        <w:pStyle w:val="SourceNote"/>
      </w:pPr>
      <w:r>
        <w:t xml:space="preserve">Nguồn: Tác giả tính toán từ dữ liệu nghiên cứu.</w:t>
      </w:r>
    </w:p>
    <w:p>
      <w:pPr>
        <w:pStyle w:val="BodyText"/>
      </w:pPr>
      <w:r>
        <w:t xml:space="preserve">Hình 4.5 minh họa hai phong cách phân bổ. Risk Parity thay đổi tỷ trọng chậm và đều: nhóm rủi ro luôn ở đáy dải (40%), trái phiếu tăng dần từ khoảng 40% lên gần 50%, vàng giảm dần khi độ biến động ước lượng của vàng tăng. Black–Litterman thay đổi mạnh giữa các quý: có những quý dồn gần hết nhóm rủi ro vào cổ phiếu, có quý chuyển sang cổ phiếu BĐS, và tỷ trọng vàng có lúc lên tới 50%. Phong cách chủ động này giải thích turnover cao và phân phối lợi nhuận lệch phải của BL.</w:t>
      </w:r>
    </w:p>
    <w:bookmarkEnd w:id="118"/>
    <w:bookmarkEnd w:id="119"/>
    <w:bookmarkStart w:id="120" w:name="X212e7095977b88e75e152387a65bb44c55cf314"/>
    <w:p>
      <w:pPr>
        <w:pStyle w:val="Heading2"/>
      </w:pPr>
      <w:r>
        <w:t xml:space="preserve">4.4 Hiệu quả theo năm và giai đoạn khủng hoảng</w:t>
      </w:r>
    </w:p>
    <w:p>
      <w:pPr>
        <w:pStyle w:val="TableCaption"/>
      </w:pPr>
      <w:r>
        <w:t xml:space="preserve">Bảng 4.12. Lợi nhuận theo năm, kịch bản Cân bằng / Trung hạn (%)</w:t>
      </w:r>
    </w:p>
    <w:tbl>
      <w:tblPr>
        <w:tblStyle w:val="Table"/>
        <w:tblW w:type="pct" w:w="5000"/>
        <w:jc w:val="center"/>
        <w:tblCellMar>
          <w:left w:w="45" w:type="dxa"/>
          <w:right w:w="45" w:type="dxa"/>
        </w:tblCellMar>
        <w:tblLook w:firstRow="1" w:lastRow="0" w:firstColumn="0" w:lastColumn="0" w:noHBand="0" w:noVBand="0" w:val="0020"/>
        <w:tblCaption w:val="Bảng 4.12. Lợi nhuận theo năm, kịch bản Cân bằng / Trung hạn (%)"/>
      </w:tblPr>
      <w:tblGrid>
        <w:gridCol w:w="1600"/>
        <w:gridCol w:w="758"/>
        <w:gridCol w:w="674"/>
        <w:gridCol w:w="674"/>
        <w:gridCol w:w="674"/>
        <w:gridCol w:w="758"/>
        <w:gridCol w:w="674"/>
        <w:gridCol w:w="674"/>
        <w:gridCol w:w="674"/>
        <w:gridCol w:w="758"/>
      </w:tblGrid>
      <w:tr>
        <w:trPr>
          <w:tblHeader w:val="true"/>
        </w:trPr>
        <w:tc>
          <w:tcPr/>
          <w:p>
            <w:pPr>
              <w:pStyle w:val="CompactSmall"/>
              <w:jc w:val="center"/>
            </w:pPr>
            <w:r>
              <w:rPr>
                <w:b/>
              </w:rPr>
              <w:t xml:space="preserve">Phương pháp</w:t>
            </w:r>
          </w:p>
        </w:tc>
        <w:tc>
          <w:tcPr/>
          <w:p>
            <w:pPr>
              <w:pStyle w:val="CompactSmall"/>
              <w:jc w:val="center"/>
            </w:pPr>
            <w:r>
              <w:rPr>
                <w:b/>
              </w:rPr>
              <w:t xml:space="preserve">2018¹</w:t>
            </w:r>
          </w:p>
        </w:tc>
        <w:tc>
          <w:tcPr/>
          <w:p>
            <w:pPr>
              <w:pStyle w:val="CompactSmall"/>
              <w:jc w:val="center"/>
            </w:pPr>
            <w:r>
              <w:rPr>
                <w:b/>
              </w:rPr>
              <w:t xml:space="preserve">2019</w:t>
            </w:r>
          </w:p>
        </w:tc>
        <w:tc>
          <w:tcPr/>
          <w:p>
            <w:pPr>
              <w:pStyle w:val="CompactSmall"/>
              <w:jc w:val="center"/>
            </w:pPr>
            <w:r>
              <w:rPr>
                <w:b/>
              </w:rPr>
              <w:t xml:space="preserve">2020</w:t>
            </w:r>
          </w:p>
        </w:tc>
        <w:tc>
          <w:tcPr/>
          <w:p>
            <w:pPr>
              <w:pStyle w:val="CompactSmall"/>
              <w:jc w:val="center"/>
            </w:pPr>
            <w:r>
              <w:rPr>
                <w:b/>
              </w:rPr>
              <w:t xml:space="preserve">2021</w:t>
            </w:r>
          </w:p>
        </w:tc>
        <w:tc>
          <w:tcPr/>
          <w:p>
            <w:pPr>
              <w:pStyle w:val="CompactSmall"/>
              <w:jc w:val="center"/>
            </w:pPr>
            <w:r>
              <w:rPr>
                <w:b/>
              </w:rPr>
              <w:t xml:space="preserve">2022</w:t>
            </w:r>
          </w:p>
        </w:tc>
        <w:tc>
          <w:tcPr/>
          <w:p>
            <w:pPr>
              <w:pStyle w:val="CompactSmall"/>
              <w:jc w:val="center"/>
            </w:pPr>
            <w:r>
              <w:rPr>
                <w:b/>
              </w:rPr>
              <w:t xml:space="preserve">2023</w:t>
            </w:r>
          </w:p>
        </w:tc>
        <w:tc>
          <w:tcPr/>
          <w:p>
            <w:pPr>
              <w:pStyle w:val="CompactSmall"/>
              <w:jc w:val="center"/>
            </w:pPr>
            <w:r>
              <w:rPr>
                <w:b/>
              </w:rPr>
              <w:t xml:space="preserve">2024</w:t>
            </w:r>
          </w:p>
        </w:tc>
        <w:tc>
          <w:tcPr/>
          <w:p>
            <w:pPr>
              <w:pStyle w:val="CompactSmall"/>
              <w:jc w:val="center"/>
            </w:pPr>
            <w:r>
              <w:rPr>
                <w:b/>
              </w:rPr>
              <w:t xml:space="preserve">2025</w:t>
            </w:r>
          </w:p>
        </w:tc>
        <w:tc>
          <w:tcPr/>
          <w:p>
            <w:pPr>
              <w:pStyle w:val="CompactSmall"/>
              <w:jc w:val="center"/>
            </w:pPr>
            <w:r>
              <w:rPr>
                <w:b/>
              </w:rPr>
              <w:t xml:space="preserve">2026²</w:t>
            </w:r>
          </w:p>
        </w:tc>
      </w:tr>
      <w:tr>
        <w:trPr>
          <w:cantSplit/>
        </w:trPr>
        <w:tc>
          <w:tcPr/>
          <w:p>
            <w:pPr>
              <w:pStyle w:val="CompactSmall"/>
              <w:jc w:val="left"/>
            </w:pPr>
            <w:r>
              <w:t xml:space="preserve">Equal Weight</w:t>
            </w:r>
          </w:p>
        </w:tc>
        <w:tc>
          <w:tcPr/>
          <w:p>
            <w:pPr>
              <w:pStyle w:val="CompactSmall"/>
              <w:jc w:val="left"/>
            </w:pPr>
            <w:r>
              <w:t xml:space="preserve">−3,9</w:t>
            </w:r>
          </w:p>
        </w:tc>
        <w:tc>
          <w:tcPr/>
          <w:p>
            <w:pPr>
              <w:pStyle w:val="CompactSmall"/>
              <w:jc w:val="left"/>
            </w:pPr>
            <w:r>
              <w:t xml:space="preserve">6,8</w:t>
            </w:r>
          </w:p>
        </w:tc>
        <w:tc>
          <w:tcPr/>
          <w:p>
            <w:pPr>
              <w:pStyle w:val="CompactSmall"/>
              <w:jc w:val="left"/>
            </w:pPr>
            <w:r>
              <w:t xml:space="preserve">21,4</w:t>
            </w:r>
          </w:p>
        </w:tc>
        <w:tc>
          <w:tcPr/>
          <w:p>
            <w:pPr>
              <w:pStyle w:val="CompactSmall"/>
              <w:jc w:val="left"/>
            </w:pPr>
            <w:r>
              <w:t xml:space="preserve">29,5</w:t>
            </w:r>
          </w:p>
        </w:tc>
        <w:tc>
          <w:tcPr/>
          <w:p>
            <w:pPr>
              <w:pStyle w:val="CompactSmall"/>
              <w:jc w:val="left"/>
            </w:pPr>
            <w:r>
              <w:t xml:space="preserve">−22,0</w:t>
            </w:r>
          </w:p>
        </w:tc>
        <w:tc>
          <w:tcPr/>
          <w:p>
            <w:pPr>
              <w:pStyle w:val="CompactSmall"/>
              <w:jc w:val="left"/>
            </w:pPr>
            <w:r>
              <w:t xml:space="preserve">11,0</w:t>
            </w:r>
          </w:p>
        </w:tc>
        <w:tc>
          <w:tcPr/>
          <w:p>
            <w:pPr>
              <w:pStyle w:val="CompactSmall"/>
              <w:jc w:val="left"/>
            </w:pPr>
            <w:r>
              <w:t xml:space="preserve">6,4</w:t>
            </w:r>
          </w:p>
        </w:tc>
        <w:tc>
          <w:tcPr/>
          <w:p>
            <w:pPr>
              <w:pStyle w:val="CompactSmall"/>
              <w:jc w:val="left"/>
            </w:pPr>
            <w:r>
              <w:t xml:space="preserve">36,9</w:t>
            </w:r>
          </w:p>
        </w:tc>
        <w:tc>
          <w:tcPr/>
          <w:p>
            <w:pPr>
              <w:pStyle w:val="CompactSmall"/>
              <w:jc w:val="left"/>
            </w:pPr>
            <w:r>
              <w:t xml:space="preserve">−1,4</w:t>
            </w:r>
          </w:p>
        </w:tc>
      </w:tr>
      <w:tr>
        <w:trPr>
          <w:cantSplit/>
        </w:trPr>
        <w:tc>
          <w:tcPr/>
          <w:p>
            <w:pPr>
              <w:pStyle w:val="CompactSmall"/>
              <w:jc w:val="left"/>
            </w:pPr>
            <w:r>
              <w:t xml:space="preserve">Markowitz</w:t>
            </w:r>
          </w:p>
        </w:tc>
        <w:tc>
          <w:tcPr/>
          <w:p>
            <w:pPr>
              <w:pStyle w:val="CompactSmall"/>
              <w:jc w:val="left"/>
            </w:pPr>
            <w:r>
              <w:t xml:space="preserve">−8,3</w:t>
            </w:r>
          </w:p>
        </w:tc>
        <w:tc>
          <w:tcPr/>
          <w:p>
            <w:pPr>
              <w:pStyle w:val="CompactSmall"/>
              <w:jc w:val="left"/>
            </w:pPr>
            <w:r>
              <w:t xml:space="preserve">5,1</w:t>
            </w:r>
          </w:p>
        </w:tc>
        <w:tc>
          <w:tcPr/>
          <w:p>
            <w:pPr>
              <w:pStyle w:val="CompactSmall"/>
              <w:jc w:val="left"/>
            </w:pPr>
            <w:r>
              <w:t xml:space="preserve">16,2</w:t>
            </w:r>
          </w:p>
        </w:tc>
        <w:tc>
          <w:tcPr/>
          <w:p>
            <w:pPr>
              <w:pStyle w:val="CompactSmall"/>
              <w:jc w:val="left"/>
            </w:pPr>
            <w:r>
              <w:t xml:space="preserve">33,6</w:t>
            </w:r>
          </w:p>
        </w:tc>
        <w:tc>
          <w:tcPr/>
          <w:p>
            <w:pPr>
              <w:pStyle w:val="CompactSmall"/>
              <w:jc w:val="left"/>
            </w:pPr>
            <w:r>
              <w:t xml:space="preserve">−23,6</w:t>
            </w:r>
          </w:p>
        </w:tc>
        <w:tc>
          <w:tcPr/>
          <w:p>
            <w:pPr>
              <w:pStyle w:val="CompactSmall"/>
              <w:jc w:val="left"/>
            </w:pPr>
            <w:r>
              <w:t xml:space="preserve">10,8</w:t>
            </w:r>
          </w:p>
        </w:tc>
        <w:tc>
          <w:tcPr/>
          <w:p>
            <w:pPr>
              <w:pStyle w:val="CompactSmall"/>
              <w:jc w:val="left"/>
            </w:pPr>
            <w:r>
              <w:t xml:space="preserve">12,7</w:t>
            </w:r>
          </w:p>
        </w:tc>
        <w:tc>
          <w:tcPr/>
          <w:p>
            <w:pPr>
              <w:pStyle w:val="CompactSmall"/>
              <w:jc w:val="left"/>
            </w:pPr>
            <w:r>
              <w:t xml:space="preserve">34,5</w:t>
            </w:r>
          </w:p>
        </w:tc>
        <w:tc>
          <w:tcPr/>
          <w:p>
            <w:pPr>
              <w:pStyle w:val="CompactSmall"/>
              <w:jc w:val="left"/>
            </w:pPr>
            <w:r>
              <w:t xml:space="preserve">−2,2</w:t>
            </w:r>
          </w:p>
        </w:tc>
      </w:tr>
      <w:tr>
        <w:trPr>
          <w:cantSplit/>
        </w:trPr>
        <w:tc>
          <w:tcPr/>
          <w:p>
            <w:pPr>
              <w:pStyle w:val="CompactSmall"/>
              <w:jc w:val="left"/>
            </w:pPr>
            <w:r>
              <w:t xml:space="preserve">Risk Parity</w:t>
            </w:r>
          </w:p>
        </w:tc>
        <w:tc>
          <w:tcPr/>
          <w:p>
            <w:pPr>
              <w:pStyle w:val="CompactSmall"/>
              <w:jc w:val="left"/>
            </w:pPr>
            <w:r>
              <w:t xml:space="preserve">−4,0</w:t>
            </w:r>
          </w:p>
        </w:tc>
        <w:tc>
          <w:tcPr/>
          <w:p>
            <w:pPr>
              <w:pStyle w:val="CompactSmall"/>
              <w:jc w:val="left"/>
            </w:pPr>
            <w:r>
              <w:t xml:space="preserve">7,4</w:t>
            </w:r>
          </w:p>
        </w:tc>
        <w:tc>
          <w:tcPr/>
          <w:p>
            <w:pPr>
              <w:pStyle w:val="CompactSmall"/>
              <w:jc w:val="left"/>
            </w:pPr>
            <w:r>
              <w:t xml:space="preserve">20,5</w:t>
            </w:r>
          </w:p>
        </w:tc>
        <w:tc>
          <w:tcPr/>
          <w:p>
            <w:pPr>
              <w:pStyle w:val="CompactSmall"/>
              <w:jc w:val="left"/>
            </w:pPr>
            <w:r>
              <w:t xml:space="preserve">30,0</w:t>
            </w:r>
          </w:p>
        </w:tc>
        <w:tc>
          <w:tcPr/>
          <w:p>
            <w:pPr>
              <w:pStyle w:val="CompactSmall"/>
              <w:jc w:val="left"/>
            </w:pPr>
            <w:r>
              <w:t xml:space="preserve">−20,6</w:t>
            </w:r>
          </w:p>
        </w:tc>
        <w:tc>
          <w:tcPr/>
          <w:p>
            <w:pPr>
              <w:pStyle w:val="CompactSmall"/>
              <w:jc w:val="left"/>
            </w:pPr>
            <w:r>
              <w:t xml:space="preserve">11,4</w:t>
            </w:r>
          </w:p>
        </w:tc>
        <w:tc>
          <w:tcPr/>
          <w:p>
            <w:pPr>
              <w:pStyle w:val="CompactSmall"/>
              <w:jc w:val="left"/>
            </w:pPr>
            <w:r>
              <w:t xml:space="preserve">8,6</w:t>
            </w:r>
          </w:p>
        </w:tc>
        <w:tc>
          <w:tcPr/>
          <w:p>
            <w:pPr>
              <w:pStyle w:val="CompactSmall"/>
              <w:jc w:val="left"/>
            </w:pPr>
            <w:r>
              <w:t xml:space="preserve">28,1</w:t>
            </w:r>
          </w:p>
        </w:tc>
        <w:tc>
          <w:tcPr/>
          <w:p>
            <w:pPr>
              <w:pStyle w:val="CompactSmall"/>
              <w:jc w:val="left"/>
            </w:pPr>
            <w:r>
              <w:t xml:space="preserve">0,2</w:t>
            </w:r>
          </w:p>
        </w:tc>
      </w:tr>
      <w:tr>
        <w:trPr>
          <w:cantSplit/>
        </w:trPr>
        <w:tc>
          <w:tcPr/>
          <w:p>
            <w:pPr>
              <w:pStyle w:val="CompactSmall"/>
              <w:jc w:val="left"/>
            </w:pPr>
            <w:r>
              <w:t xml:space="preserve">HRP</w:t>
            </w:r>
          </w:p>
        </w:tc>
        <w:tc>
          <w:tcPr/>
          <w:p>
            <w:pPr>
              <w:pStyle w:val="CompactSmall"/>
              <w:jc w:val="left"/>
            </w:pPr>
            <w:r>
              <w:t xml:space="preserve">−3,6</w:t>
            </w:r>
          </w:p>
        </w:tc>
        <w:tc>
          <w:tcPr/>
          <w:p>
            <w:pPr>
              <w:pStyle w:val="CompactSmall"/>
              <w:jc w:val="left"/>
            </w:pPr>
            <w:r>
              <w:t xml:space="preserve">6,6</w:t>
            </w:r>
          </w:p>
        </w:tc>
        <w:tc>
          <w:tcPr/>
          <w:p>
            <w:pPr>
              <w:pStyle w:val="CompactSmall"/>
              <w:jc w:val="left"/>
            </w:pPr>
            <w:r>
              <w:t xml:space="preserve">18,1</w:t>
            </w:r>
          </w:p>
        </w:tc>
        <w:tc>
          <w:tcPr/>
          <w:p>
            <w:pPr>
              <w:pStyle w:val="CompactSmall"/>
              <w:jc w:val="left"/>
            </w:pPr>
            <w:r>
              <w:t xml:space="preserve">29,8</w:t>
            </w:r>
          </w:p>
        </w:tc>
        <w:tc>
          <w:tcPr/>
          <w:p>
            <w:pPr>
              <w:pStyle w:val="CompactSmall"/>
              <w:jc w:val="left"/>
            </w:pPr>
            <w:r>
              <w:t xml:space="preserve">−19,4</w:t>
            </w:r>
          </w:p>
        </w:tc>
        <w:tc>
          <w:tcPr/>
          <w:p>
            <w:pPr>
              <w:pStyle w:val="CompactSmall"/>
              <w:jc w:val="left"/>
            </w:pPr>
            <w:r>
              <w:t xml:space="preserve">11,0</w:t>
            </w:r>
          </w:p>
        </w:tc>
        <w:tc>
          <w:tcPr/>
          <w:p>
            <w:pPr>
              <w:pStyle w:val="CompactSmall"/>
              <w:jc w:val="left"/>
            </w:pPr>
            <w:r>
              <w:t xml:space="preserve">8,7</w:t>
            </w:r>
          </w:p>
        </w:tc>
        <w:tc>
          <w:tcPr/>
          <w:p>
            <w:pPr>
              <w:pStyle w:val="CompactSmall"/>
              <w:jc w:val="left"/>
            </w:pPr>
            <w:r>
              <w:t xml:space="preserve">23,8</w:t>
            </w:r>
          </w:p>
        </w:tc>
        <w:tc>
          <w:tcPr/>
          <w:p>
            <w:pPr>
              <w:pStyle w:val="CompactSmall"/>
              <w:jc w:val="left"/>
            </w:pPr>
            <w:r>
              <w:t xml:space="preserve">0,3</w:t>
            </w:r>
          </w:p>
        </w:tc>
      </w:tr>
      <w:tr>
        <w:trPr>
          <w:cantSplit/>
        </w:trPr>
        <w:tc>
          <w:tcPr/>
          <w:p>
            <w:pPr>
              <w:pStyle w:val="CompactSmall"/>
              <w:jc w:val="left"/>
            </w:pPr>
            <w:r>
              <w:t xml:space="preserve">Black–Litterman</w:t>
            </w:r>
          </w:p>
        </w:tc>
        <w:tc>
          <w:tcPr/>
          <w:p>
            <w:pPr>
              <w:pStyle w:val="CompactSmall"/>
              <w:jc w:val="left"/>
            </w:pPr>
            <w:r>
              <w:t xml:space="preserve">−6,3</w:t>
            </w:r>
          </w:p>
        </w:tc>
        <w:tc>
          <w:tcPr/>
          <w:p>
            <w:pPr>
              <w:pStyle w:val="CompactSmall"/>
              <w:jc w:val="left"/>
            </w:pPr>
            <w:r>
              <w:t xml:space="preserve">6,6</w:t>
            </w:r>
          </w:p>
        </w:tc>
        <w:tc>
          <w:tcPr/>
          <w:p>
            <w:pPr>
              <w:pStyle w:val="CompactSmall"/>
              <w:jc w:val="left"/>
            </w:pPr>
            <w:r>
              <w:t xml:space="preserve">25,4</w:t>
            </w:r>
          </w:p>
        </w:tc>
        <w:tc>
          <w:tcPr/>
          <w:p>
            <w:pPr>
              <w:pStyle w:val="CompactSmall"/>
              <w:jc w:val="left"/>
            </w:pPr>
            <w:r>
              <w:t xml:space="preserve">44,8</w:t>
            </w:r>
          </w:p>
        </w:tc>
        <w:tc>
          <w:tcPr/>
          <w:p>
            <w:pPr>
              <w:pStyle w:val="CompactSmall"/>
              <w:jc w:val="left"/>
            </w:pPr>
            <w:r>
              <w:t xml:space="preserve">−20,0</w:t>
            </w:r>
          </w:p>
        </w:tc>
        <w:tc>
          <w:tcPr/>
          <w:p>
            <w:pPr>
              <w:pStyle w:val="CompactSmall"/>
              <w:jc w:val="left"/>
            </w:pPr>
            <w:r>
              <w:t xml:space="preserve">6,5</w:t>
            </w:r>
          </w:p>
        </w:tc>
        <w:tc>
          <w:tcPr/>
          <w:p>
            <w:pPr>
              <w:pStyle w:val="CompactSmall"/>
              <w:jc w:val="left"/>
            </w:pPr>
            <w:r>
              <w:t xml:space="preserve">9,6</w:t>
            </w:r>
          </w:p>
        </w:tc>
        <w:tc>
          <w:tcPr/>
          <w:p>
            <w:pPr>
              <w:pStyle w:val="CompactSmall"/>
              <w:jc w:val="left"/>
            </w:pPr>
            <w:r>
              <w:t xml:space="preserve">45,3</w:t>
            </w:r>
          </w:p>
        </w:tc>
        <w:tc>
          <w:tcPr/>
          <w:p>
            <w:pPr>
              <w:pStyle w:val="CompactSmall"/>
              <w:jc w:val="left"/>
            </w:pPr>
            <w:r>
              <w:t xml:space="preserve">−8,0</w:t>
            </w:r>
          </w:p>
        </w:tc>
      </w:tr>
      <w:tr>
        <w:trPr>
          <w:cantSplit/>
        </w:trPr>
        <w:tc>
          <w:tcPr/>
          <w:p>
            <w:pPr>
              <w:pStyle w:val="CompactSmall"/>
              <w:jc w:val="left"/>
            </w:pPr>
            <w:r>
              <w:t xml:space="preserve">MLP_MVO</w:t>
            </w:r>
          </w:p>
        </w:tc>
        <w:tc>
          <w:tcPr/>
          <w:p>
            <w:pPr>
              <w:pStyle w:val="CompactSmall"/>
              <w:jc w:val="left"/>
            </w:pPr>
            <w:r>
              <w:t xml:space="preserve">−8,5</w:t>
            </w:r>
          </w:p>
        </w:tc>
        <w:tc>
          <w:tcPr/>
          <w:p>
            <w:pPr>
              <w:pStyle w:val="CompactSmall"/>
              <w:jc w:val="left"/>
            </w:pPr>
            <w:r>
              <w:t xml:space="preserve">4,9</w:t>
            </w:r>
          </w:p>
        </w:tc>
        <w:tc>
          <w:tcPr/>
          <w:p>
            <w:pPr>
              <w:pStyle w:val="CompactSmall"/>
              <w:jc w:val="left"/>
            </w:pPr>
            <w:r>
              <w:t xml:space="preserve">34,1</w:t>
            </w:r>
          </w:p>
        </w:tc>
        <w:tc>
          <w:tcPr/>
          <w:p>
            <w:pPr>
              <w:pStyle w:val="CompactSmall"/>
              <w:jc w:val="left"/>
            </w:pPr>
            <w:r>
              <w:t xml:space="preserve">36,7</w:t>
            </w:r>
          </w:p>
        </w:tc>
        <w:tc>
          <w:tcPr/>
          <w:p>
            <w:pPr>
              <w:pStyle w:val="CompactSmall"/>
              <w:jc w:val="left"/>
            </w:pPr>
            <w:r>
              <w:t xml:space="preserve">−23,6</w:t>
            </w:r>
          </w:p>
        </w:tc>
        <w:tc>
          <w:tcPr/>
          <w:p>
            <w:pPr>
              <w:pStyle w:val="CompactSmall"/>
              <w:jc w:val="left"/>
            </w:pPr>
            <w:r>
              <w:t xml:space="preserve">9,4</w:t>
            </w:r>
          </w:p>
        </w:tc>
        <w:tc>
          <w:tcPr/>
          <w:p>
            <w:pPr>
              <w:pStyle w:val="CompactSmall"/>
              <w:jc w:val="left"/>
            </w:pPr>
            <w:r>
              <w:t xml:space="preserve">8,4</w:t>
            </w:r>
          </w:p>
        </w:tc>
        <w:tc>
          <w:tcPr/>
          <w:p>
            <w:pPr>
              <w:pStyle w:val="CompactSmall"/>
              <w:jc w:val="left"/>
            </w:pPr>
            <w:r>
              <w:t xml:space="preserve">58,4</w:t>
            </w:r>
          </w:p>
        </w:tc>
        <w:tc>
          <w:tcPr/>
          <w:p>
            <w:pPr>
              <w:pStyle w:val="CompactSmall"/>
              <w:jc w:val="left"/>
            </w:pPr>
            <w:r>
              <w:t xml:space="preserve">−11,1</w:t>
            </w:r>
          </w:p>
        </w:tc>
      </w:tr>
      <w:tr>
        <w:trPr>
          <w:cantSplit/>
        </w:trPr>
        <w:tc>
          <w:tcPr/>
          <w:p>
            <w:pPr>
              <w:pStyle w:val="CompactSmall"/>
              <w:jc w:val="left"/>
            </w:pPr>
            <w:r>
              <w:t xml:space="preserve">RL</w:t>
            </w:r>
          </w:p>
        </w:tc>
        <w:tc>
          <w:tcPr/>
          <w:p>
            <w:pPr>
              <w:pStyle w:val="CompactSmall"/>
              <w:jc w:val="left"/>
            </w:pPr>
            <w:r>
              <w:t xml:space="preserve">−6,7</w:t>
            </w:r>
          </w:p>
        </w:tc>
        <w:tc>
          <w:tcPr/>
          <w:p>
            <w:pPr>
              <w:pStyle w:val="CompactSmall"/>
              <w:jc w:val="left"/>
            </w:pPr>
            <w:r>
              <w:t xml:space="preserve">5,1</w:t>
            </w:r>
          </w:p>
        </w:tc>
        <w:tc>
          <w:tcPr/>
          <w:p>
            <w:pPr>
              <w:pStyle w:val="CompactSmall"/>
              <w:jc w:val="left"/>
            </w:pPr>
            <w:r>
              <w:t xml:space="preserve">24,9</w:t>
            </w:r>
          </w:p>
        </w:tc>
        <w:tc>
          <w:tcPr/>
          <w:p>
            <w:pPr>
              <w:pStyle w:val="CompactSmall"/>
              <w:jc w:val="left"/>
            </w:pPr>
            <w:r>
              <w:t xml:space="preserve">34,4</w:t>
            </w:r>
          </w:p>
        </w:tc>
        <w:tc>
          <w:tcPr/>
          <w:p>
            <w:pPr>
              <w:pStyle w:val="CompactSmall"/>
              <w:jc w:val="left"/>
            </w:pPr>
            <w:r>
              <w:t xml:space="preserve">−27,1</w:t>
            </w:r>
          </w:p>
        </w:tc>
        <w:tc>
          <w:tcPr/>
          <w:p>
            <w:pPr>
              <w:pStyle w:val="CompactSmall"/>
              <w:jc w:val="left"/>
            </w:pPr>
            <w:r>
              <w:t xml:space="preserve">5,9</w:t>
            </w:r>
          </w:p>
        </w:tc>
        <w:tc>
          <w:tcPr/>
          <w:p>
            <w:pPr>
              <w:pStyle w:val="CompactSmall"/>
              <w:jc w:val="left"/>
            </w:pPr>
            <w:r>
              <w:t xml:space="preserve">6,2</w:t>
            </w:r>
          </w:p>
        </w:tc>
        <w:tc>
          <w:tcPr/>
          <w:p>
            <w:pPr>
              <w:pStyle w:val="CompactSmall"/>
              <w:jc w:val="left"/>
            </w:pPr>
            <w:r>
              <w:t xml:space="preserve">43,7</w:t>
            </w:r>
          </w:p>
        </w:tc>
        <w:tc>
          <w:tcPr/>
          <w:p>
            <w:pPr>
              <w:pStyle w:val="CompactSmall"/>
              <w:jc w:val="left"/>
            </w:pPr>
            <w:r>
              <w:t xml:space="preserve">−1,0</w:t>
            </w:r>
          </w:p>
        </w:tc>
      </w:tr>
      <w:tr>
        <w:trPr>
          <w:cantSplit/>
        </w:trPr>
        <w:tc>
          <w:tcPr/>
          <w:p>
            <w:pPr>
              <w:pStyle w:val="CompactSmall"/>
              <w:jc w:val="left"/>
            </w:pPr>
            <w:r>
              <w:rPr>
                <w:iCs/>
                <w:i/>
              </w:rPr>
              <w:t xml:space="preserve">Tiền gửi 12 tháng</w:t>
            </w:r>
          </w:p>
        </w:tc>
        <w:tc>
          <w:tcPr/>
          <w:p>
            <w:pPr>
              <w:pStyle w:val="CompactSmall"/>
              <w:jc w:val="left"/>
            </w:pPr>
            <w:r>
              <w:rPr>
                <w:iCs/>
                <w:i/>
              </w:rPr>
              <w:t xml:space="preserve">6,1</w:t>
            </w:r>
          </w:p>
        </w:tc>
        <w:tc>
          <w:tcPr/>
          <w:p>
            <w:pPr>
              <w:pStyle w:val="CompactSmall"/>
              <w:jc w:val="left"/>
            </w:pPr>
            <w:r>
              <w:rPr>
                <w:iCs/>
                <w:i/>
              </w:rPr>
              <w:t xml:space="preserve">7,0</w:t>
            </w:r>
          </w:p>
        </w:tc>
        <w:tc>
          <w:tcPr/>
          <w:p>
            <w:pPr>
              <w:pStyle w:val="CompactSmall"/>
              <w:jc w:val="left"/>
            </w:pPr>
            <w:r>
              <w:rPr>
                <w:iCs/>
                <w:i/>
              </w:rPr>
              <w:t xml:space="preserve">6,6</w:t>
            </w:r>
          </w:p>
        </w:tc>
        <w:tc>
          <w:tcPr/>
          <w:p>
            <w:pPr>
              <w:pStyle w:val="CompactSmall"/>
              <w:jc w:val="left"/>
            </w:pPr>
            <w:r>
              <w:rPr>
                <w:iCs/>
                <w:i/>
              </w:rPr>
              <w:t xml:space="preserve">5,7</w:t>
            </w:r>
          </w:p>
        </w:tc>
        <w:tc>
          <w:tcPr/>
          <w:p>
            <w:pPr>
              <w:pStyle w:val="CompactSmall"/>
              <w:jc w:val="left"/>
            </w:pPr>
            <w:r>
              <w:rPr>
                <w:iCs/>
                <w:i/>
              </w:rPr>
              <w:t xml:space="preserve">6,1</w:t>
            </w:r>
          </w:p>
        </w:tc>
        <w:tc>
          <w:tcPr/>
          <w:p>
            <w:pPr>
              <w:pStyle w:val="CompactSmall"/>
              <w:jc w:val="left"/>
            </w:pPr>
            <w:r>
              <w:rPr>
                <w:iCs/>
                <w:i/>
              </w:rPr>
              <w:t xml:space="preserve">6,6</w:t>
            </w:r>
          </w:p>
        </w:tc>
        <w:tc>
          <w:tcPr/>
          <w:p>
            <w:pPr>
              <w:pStyle w:val="CompactSmall"/>
              <w:jc w:val="left"/>
            </w:pPr>
            <w:r>
              <w:rPr>
                <w:iCs/>
                <w:i/>
              </w:rPr>
              <w:t xml:space="preserve">4,7</w:t>
            </w:r>
          </w:p>
        </w:tc>
        <w:tc>
          <w:tcPr/>
          <w:p>
            <w:pPr>
              <w:pStyle w:val="CompactSmall"/>
              <w:jc w:val="left"/>
            </w:pPr>
            <w:r>
              <w:rPr>
                <w:iCs/>
                <w:i/>
              </w:rPr>
              <w:t xml:space="preserve">4,7</w:t>
            </w:r>
          </w:p>
        </w:tc>
        <w:tc>
          <w:tcPr/>
          <w:p>
            <w:pPr>
              <w:pStyle w:val="CompactSmall"/>
              <w:jc w:val="left"/>
            </w:pPr>
            <w:r>
              <w:rPr>
                <w:iCs/>
                <w:i/>
              </w:rPr>
              <w:t xml:space="preserve">3,3</w:t>
            </w:r>
          </w:p>
        </w:tc>
      </w:tr>
    </w:tbl>
    <w:p>
      <w:pPr>
        <w:pStyle w:val="BodyText"/>
        <w:spacing w:before="200"/>
      </w:pPr>
      <w:r>
        <w:rPr>
          <w:iCs/>
          <w:i/>
        </w:rPr>
        <w:t xml:space="preserve">¹ 11 tháng (02–12/2018). ² 7 tháng (01–07/2026).</w:t>
      </w:r>
    </w:p>
    <w:p>
      <w:pPr>
        <w:pStyle w:val="BodyText"/>
      </w:pPr>
      <w:r>
        <w:t xml:space="preserve">Không phương pháp nào tốt nhất mọi năm. BL và MLP_MVO vượt trội trong các năm thị trường tăng mạnh (2020, 2021, 2025), khi dự báo động lượng giữ tỷ trọng rủi ro ở mức cao. Ngược lại, Risk Parity và HRP ổn định hơn trong các năm giảm hoặc đi ngang (2018, 2023, 2026). Phần lớn lợi thế Sharpe của BL đến từ hai năm 2021 và 2025; đây là lý do cần kiểm định thống kê ở mục 4.5 trước khi kết luận.</w:t>
      </w:r>
    </w:p>
    <w:p>
      <w:pPr>
        <w:pStyle w:val="BodyText"/>
      </w:pPr>
      <w:r>
        <w:t xml:space="preserve">So với tiền gửi, hầu hết danh mục Cân bằng thua lãi tiết kiệm trong 2018, 2022 và 7 tháng đầu 2026; trong 2019 và 2023, nhiều phương pháp cũng chỉ xấp xỉ hoặc thấp hơn lãi tiết kiệm; các năm còn lại đều vượt. Điều này minh họa bản chất của đầu tư đa tài sản với khẩu vị Cân bằng: không phải năm nào cũng tốt hơn gửi tiết kiệm, nhưng qua cả chu kỳ, danh mục vượt lãi tiền gửi khoảng 2–4 điểm %/năm.</w:t>
      </w:r>
    </w:p>
    <w:p>
      <w:pPr>
        <w:pStyle w:val="TableCaption"/>
      </w:pPr>
      <w:r>
        <w:t xml:space="preserve">Bảng 4.13. Lợi nhuận tích lũy trong ba giai đoạn sụt giảm (%)</w:t>
      </w:r>
    </w:p>
    <w:tbl>
      <w:tblPr>
        <w:tblStyle w:val="Table"/>
        <w:tblW w:type="pct" w:w="5000"/>
        <w:jc w:val="center"/>
        <w:tblCellMar>
          <w:left w:w="45" w:type="dxa"/>
          <w:right w:w="45" w:type="dxa"/>
        </w:tblCellMar>
        <w:tblLook w:firstRow="1" w:lastRow="0" w:firstColumn="0" w:lastColumn="0" w:noHBand="0" w:noVBand="0" w:val="0020"/>
        <w:tblCaption w:val="Bảng 4.13. Lợi nhuận tích lũy trong ba giai đoạn sụt giảm (%)"/>
      </w:tblPr>
      <w:tblGrid>
        <w:gridCol w:w="1361"/>
        <w:gridCol w:w="556"/>
        <w:gridCol w:w="804"/>
        <w:gridCol w:w="556"/>
        <w:gridCol w:w="556"/>
        <w:gridCol w:w="556"/>
        <w:gridCol w:w="680"/>
        <w:gridCol w:w="556"/>
        <w:gridCol w:w="556"/>
        <w:gridCol w:w="680"/>
        <w:gridCol w:w="495"/>
        <w:gridCol w:w="556"/>
      </w:tblGrid>
      <w:tr>
        <w:trPr>
          <w:tblHeader w:val="true"/>
        </w:trPr>
        <w:tc>
          <w:tcPr/>
          <w:p>
            <w:pPr>
              <w:pStyle w:val="CompactSmall"/>
              <w:jc w:val="center"/>
            </w:pPr>
            <w:r>
              <w:rPr>
                <w:b/>
              </w:rPr>
              <w:t xml:space="preserve">Giai đoạn</w:t>
            </w:r>
          </w:p>
        </w:tc>
        <w:tc>
          <w:tcPr/>
          <w:p>
            <w:pPr>
              <w:pStyle w:val="CompactSmall"/>
              <w:jc w:val="center"/>
            </w:pPr>
            <w:r>
              <w:rPr>
                <w:b/>
              </w:rPr>
              <w:t xml:space="preserve">EW</w:t>
            </w:r>
          </w:p>
        </w:tc>
        <w:tc>
          <w:tcPr/>
          <w:p>
            <w:pPr>
              <w:pStyle w:val="CompactSmall"/>
              <w:jc w:val="center"/>
            </w:pPr>
            <w:r>
              <w:rPr>
                <w:b/>
              </w:rPr>
              <w:t xml:space="preserve">Markowitz</w:t>
            </w:r>
          </w:p>
        </w:tc>
        <w:tc>
          <w:tcPr/>
          <w:p>
            <w:pPr>
              <w:pStyle w:val="CompactSmall"/>
              <w:jc w:val="center"/>
            </w:pPr>
            <w:r>
              <w:rPr>
                <w:b/>
              </w:rPr>
              <w:t xml:space="preserve">RP</w:t>
            </w:r>
          </w:p>
        </w:tc>
        <w:tc>
          <w:tcPr/>
          <w:p>
            <w:pPr>
              <w:pStyle w:val="CompactSmall"/>
              <w:jc w:val="center"/>
            </w:pPr>
            <w:r>
              <w:rPr>
                <w:b/>
              </w:rPr>
              <w:t xml:space="preserve">HRP</w:t>
            </w:r>
          </w:p>
        </w:tc>
        <w:tc>
          <w:tcPr/>
          <w:p>
            <w:pPr>
              <w:pStyle w:val="CompactSmall"/>
              <w:jc w:val="center"/>
            </w:pPr>
            <w:r>
              <w:rPr>
                <w:b/>
              </w:rPr>
              <w:t xml:space="preserve">BL</w:t>
            </w:r>
          </w:p>
        </w:tc>
        <w:tc>
          <w:tcPr/>
          <w:p>
            <w:pPr>
              <w:pStyle w:val="CompactSmall"/>
              <w:jc w:val="center"/>
            </w:pPr>
            <w:r>
              <w:rPr>
                <w:b/>
              </w:rPr>
              <w:t xml:space="preserve">MLP_MVO</w:t>
            </w:r>
          </w:p>
        </w:tc>
        <w:tc>
          <w:tcPr/>
          <w:p>
            <w:pPr>
              <w:pStyle w:val="CompactSmall"/>
              <w:jc w:val="center"/>
            </w:pPr>
            <w:r>
              <w:rPr>
                <w:b/>
              </w:rPr>
              <w:t xml:space="preserve">RL</w:t>
            </w:r>
          </w:p>
        </w:tc>
        <w:tc>
          <w:tcPr/>
          <w:p>
            <w:pPr>
              <w:pStyle w:val="CompactSmall"/>
              <w:jc w:val="center"/>
            </w:pPr>
            <w:r>
              <w:rPr>
                <w:b/>
              </w:rPr>
              <w:t xml:space="preserve">Cổ phiếu</w:t>
            </w:r>
          </w:p>
        </w:tc>
        <w:tc>
          <w:tcPr/>
          <w:p>
            <w:pPr>
              <w:pStyle w:val="CompactSmall"/>
              <w:jc w:val="center"/>
            </w:pPr>
            <w:r>
              <w:rPr>
                <w:b/>
              </w:rPr>
              <w:t xml:space="preserve">Cổ phiếu BĐS</w:t>
            </w:r>
          </w:p>
        </w:tc>
        <w:tc>
          <w:tcPr/>
          <w:p>
            <w:pPr>
              <w:pStyle w:val="CompactSmall"/>
              <w:jc w:val="center"/>
            </w:pPr>
            <w:r>
              <w:rPr>
                <w:b/>
              </w:rPr>
              <w:t xml:space="preserve">Vàng</w:t>
            </w:r>
          </w:p>
        </w:tc>
        <w:tc>
          <w:tcPr/>
          <w:p>
            <w:pPr>
              <w:pStyle w:val="CompactSmall"/>
              <w:jc w:val="center"/>
            </w:pPr>
            <w:r>
              <w:rPr>
                <w:b/>
              </w:rPr>
              <w:t xml:space="preserve">Trái phiếu</w:t>
            </w:r>
          </w:p>
        </w:tc>
      </w:tr>
      <w:tr>
        <w:trPr>
          <w:cantSplit/>
        </w:trPr>
        <w:tc>
          <w:tcPr/>
          <w:p>
            <w:pPr>
              <w:pStyle w:val="CompactSmall"/>
              <w:jc w:val="left"/>
            </w:pPr>
            <w:r>
              <w:t xml:space="preserve">Điều chỉnh 2018 (04–12/2018)</w:t>
            </w:r>
          </w:p>
        </w:tc>
        <w:tc>
          <w:tcPr/>
          <w:p>
            <w:pPr>
              <w:pStyle w:val="CompactSmall"/>
              <w:jc w:val="left"/>
            </w:pPr>
            <w:r>
              <w:t xml:space="preserve">−5,9</w:t>
            </w:r>
          </w:p>
        </w:tc>
        <w:tc>
          <w:tcPr/>
          <w:p>
            <w:pPr>
              <w:pStyle w:val="CompactSmall"/>
              <w:jc w:val="left"/>
            </w:pPr>
            <w:r>
              <w:t xml:space="preserve">−11,2</w:t>
            </w:r>
          </w:p>
        </w:tc>
        <w:tc>
          <w:tcPr/>
          <w:p>
            <w:pPr>
              <w:pStyle w:val="CompactSmall"/>
              <w:jc w:val="left"/>
            </w:pPr>
            <w:r>
              <w:t xml:space="preserve">−6,1</w:t>
            </w:r>
          </w:p>
        </w:tc>
        <w:tc>
          <w:tcPr/>
          <w:p>
            <w:pPr>
              <w:pStyle w:val="CompactSmall"/>
              <w:jc w:val="left"/>
            </w:pPr>
            <w:r>
              <w:t xml:space="preserve">−5,8</w:t>
            </w:r>
          </w:p>
        </w:tc>
        <w:tc>
          <w:tcPr/>
          <w:p>
            <w:pPr>
              <w:pStyle w:val="CompactSmall"/>
              <w:jc w:val="left"/>
            </w:pPr>
            <w:r>
              <w:t xml:space="preserve">−8,2</w:t>
            </w:r>
          </w:p>
        </w:tc>
        <w:tc>
          <w:tcPr/>
          <w:p>
            <w:pPr>
              <w:pStyle w:val="CompactSmall"/>
              <w:jc w:val="left"/>
            </w:pPr>
            <w:r>
              <w:t xml:space="preserve">−10,9</w:t>
            </w:r>
          </w:p>
        </w:tc>
        <w:tc>
          <w:tcPr/>
          <w:p>
            <w:pPr>
              <w:pStyle w:val="CompactSmall"/>
              <w:jc w:val="left"/>
            </w:pPr>
            <w:r>
              <w:t xml:space="preserve">−9,4</w:t>
            </w:r>
          </w:p>
        </w:tc>
        <w:tc>
          <w:tcPr/>
          <w:p>
            <w:pPr>
              <w:pStyle w:val="CompactSmall"/>
              <w:jc w:val="left"/>
            </w:pPr>
            <w:r>
              <w:t xml:space="preserve">−24,2</w:t>
            </w:r>
          </w:p>
        </w:tc>
        <w:tc>
          <w:tcPr/>
          <w:p>
            <w:pPr>
              <w:pStyle w:val="CompactSmall"/>
              <w:jc w:val="left"/>
            </w:pPr>
            <w:r>
              <w:t xml:space="preserve">−7,9</w:t>
            </w:r>
          </w:p>
        </w:tc>
        <w:tc>
          <w:tcPr/>
          <w:p>
            <w:pPr>
              <w:pStyle w:val="CompactSmall"/>
              <w:jc w:val="left"/>
            </w:pPr>
            <w:r>
              <w:t xml:space="preserve">−4,4</w:t>
            </w:r>
          </w:p>
        </w:tc>
        <w:tc>
          <w:tcPr/>
          <w:p>
            <w:pPr>
              <w:pStyle w:val="CompactSmall"/>
              <w:jc w:val="left"/>
            </w:pPr>
            <w:r>
              <w:t xml:space="preserve">5,1</w:t>
            </w:r>
          </w:p>
        </w:tc>
      </w:tr>
      <w:tr>
        <w:trPr>
          <w:cantSplit/>
        </w:trPr>
        <w:tc>
          <w:tcPr/>
          <w:p>
            <w:pPr>
              <w:pStyle w:val="CompactSmall"/>
              <w:jc w:val="left"/>
            </w:pPr>
            <w:r>
              <w:t xml:space="preserve">COVID-19 (02–03/2020)</w:t>
            </w:r>
          </w:p>
        </w:tc>
        <w:tc>
          <w:tcPr/>
          <w:p>
            <w:pPr>
              <w:pStyle w:val="CompactSmall"/>
              <w:jc w:val="left"/>
            </w:pPr>
            <w:r>
              <w:t xml:space="preserve">−7,8</w:t>
            </w:r>
          </w:p>
        </w:tc>
        <w:tc>
          <w:tcPr/>
          <w:p>
            <w:pPr>
              <w:pStyle w:val="CompactSmall"/>
              <w:jc w:val="left"/>
            </w:pPr>
            <w:r>
              <w:t xml:space="preserve">−10,6</w:t>
            </w:r>
          </w:p>
        </w:tc>
        <w:tc>
          <w:tcPr/>
          <w:p>
            <w:pPr>
              <w:pStyle w:val="CompactSmall"/>
              <w:jc w:val="left"/>
            </w:pPr>
            <w:r>
              <w:t xml:space="preserve">−7,8</w:t>
            </w:r>
          </w:p>
        </w:tc>
        <w:tc>
          <w:tcPr/>
          <w:p>
            <w:pPr>
              <w:pStyle w:val="CompactSmall"/>
              <w:jc w:val="left"/>
            </w:pPr>
            <w:r>
              <w:t xml:space="preserve">−7,9</w:t>
            </w:r>
          </w:p>
        </w:tc>
        <w:tc>
          <w:tcPr/>
          <w:p>
            <w:pPr>
              <w:pStyle w:val="CompactSmall"/>
              <w:jc w:val="left"/>
            </w:pPr>
            <w:r>
              <w:t xml:space="preserve">−7,2</w:t>
            </w:r>
          </w:p>
        </w:tc>
        <w:tc>
          <w:tcPr/>
          <w:p>
            <w:pPr>
              <w:pStyle w:val="CompactSmall"/>
              <w:jc w:val="left"/>
            </w:pPr>
            <w:r>
              <w:t xml:space="preserve">−7,1</w:t>
            </w:r>
          </w:p>
        </w:tc>
        <w:tc>
          <w:tcPr/>
          <w:p>
            <w:pPr>
              <w:pStyle w:val="CompactSmall"/>
              <w:jc w:val="left"/>
            </w:pPr>
            <w:r>
              <w:t xml:space="preserve">−12,3</w:t>
            </w:r>
          </w:p>
        </w:tc>
        <w:tc>
          <w:tcPr/>
          <w:p>
            <w:pPr>
              <w:pStyle w:val="CompactSmall"/>
              <w:jc w:val="left"/>
            </w:pPr>
            <w:r>
              <w:t xml:space="preserve">−24,0</w:t>
            </w:r>
          </w:p>
        </w:tc>
        <w:tc>
          <w:tcPr/>
          <w:p>
            <w:pPr>
              <w:pStyle w:val="CompactSmall"/>
              <w:jc w:val="left"/>
            </w:pPr>
            <w:r>
              <w:t xml:space="preserve">−18,6</w:t>
            </w:r>
          </w:p>
        </w:tc>
        <w:tc>
          <w:tcPr/>
          <w:p>
            <w:pPr>
              <w:pStyle w:val="CompactSmall"/>
              <w:jc w:val="left"/>
            </w:pPr>
            <w:r>
              <w:t xml:space="preserve">2,2</w:t>
            </w:r>
          </w:p>
        </w:tc>
        <w:tc>
          <w:tcPr/>
          <w:p>
            <w:pPr>
              <w:pStyle w:val="CompactSmall"/>
              <w:jc w:val="left"/>
            </w:pPr>
            <w:r>
              <w:t xml:space="preserve">1,2</w:t>
            </w:r>
          </w:p>
        </w:tc>
      </w:tr>
      <w:tr>
        <w:trPr>
          <w:cantSplit/>
        </w:trPr>
        <w:tc>
          <w:tcPr/>
          <w:p>
            <w:pPr>
              <w:pStyle w:val="CompactSmall"/>
              <w:jc w:val="left"/>
            </w:pPr>
            <w:r>
              <w:t xml:space="preserve">Khủng hoảng TPDN–BĐS (04–11/2022)</w:t>
            </w:r>
          </w:p>
        </w:tc>
        <w:tc>
          <w:tcPr/>
          <w:p>
            <w:pPr>
              <w:pStyle w:val="CompactSmall"/>
              <w:jc w:val="left"/>
            </w:pPr>
            <w:r>
              <w:t xml:space="preserve">−20,6</w:t>
            </w:r>
          </w:p>
        </w:tc>
        <w:tc>
          <w:tcPr/>
          <w:p>
            <w:pPr>
              <w:pStyle w:val="CompactSmall"/>
              <w:jc w:val="left"/>
            </w:pPr>
            <w:r>
              <w:t xml:space="preserve">−20,4</w:t>
            </w:r>
          </w:p>
        </w:tc>
        <w:tc>
          <w:tcPr/>
          <w:p>
            <w:pPr>
              <w:pStyle w:val="CompactSmall"/>
              <w:jc w:val="left"/>
            </w:pPr>
            <w:r>
              <w:t xml:space="preserve">−18,5</w:t>
            </w:r>
          </w:p>
        </w:tc>
        <w:tc>
          <w:tcPr/>
          <w:p>
            <w:pPr>
              <w:pStyle w:val="CompactSmall"/>
              <w:jc w:val="left"/>
            </w:pPr>
            <w:r>
              <w:t xml:space="preserve">−16,8</w:t>
            </w:r>
          </w:p>
        </w:tc>
        <w:tc>
          <w:tcPr/>
          <w:p>
            <w:pPr>
              <w:pStyle w:val="CompactSmall"/>
              <w:jc w:val="left"/>
            </w:pPr>
            <w:r>
              <w:t xml:space="preserve">−18,3</w:t>
            </w:r>
          </w:p>
        </w:tc>
        <w:tc>
          <w:tcPr/>
          <w:p>
            <w:pPr>
              <w:pStyle w:val="CompactSmall"/>
              <w:jc w:val="left"/>
            </w:pPr>
            <w:r>
              <w:t xml:space="preserve">−18,8</w:t>
            </w:r>
          </w:p>
        </w:tc>
        <w:tc>
          <w:tcPr/>
          <w:p>
            <w:pPr>
              <w:pStyle w:val="CompactSmall"/>
              <w:jc w:val="left"/>
            </w:pPr>
            <w:r>
              <w:t xml:space="preserve">−24,8</w:t>
            </w:r>
          </w:p>
        </w:tc>
        <w:tc>
          <w:tcPr/>
          <w:p>
            <w:pPr>
              <w:pStyle w:val="CompactSmall"/>
              <w:jc w:val="left"/>
            </w:pPr>
            <w:r>
              <w:t xml:space="preserve">−29,6</w:t>
            </w:r>
          </w:p>
        </w:tc>
        <w:tc>
          <w:tcPr/>
          <w:p>
            <w:pPr>
              <w:pStyle w:val="CompactSmall"/>
              <w:jc w:val="left"/>
            </w:pPr>
            <w:r>
              <w:t xml:space="preserve">−60,9</w:t>
            </w:r>
          </w:p>
        </w:tc>
        <w:tc>
          <w:tcPr/>
          <w:p>
            <w:pPr>
              <w:pStyle w:val="CompactSmall"/>
              <w:jc w:val="left"/>
            </w:pPr>
            <w:r>
              <w:t xml:space="preserve">−6,2</w:t>
            </w:r>
          </w:p>
        </w:tc>
        <w:tc>
          <w:tcPr/>
          <w:p>
            <w:pPr>
              <w:pStyle w:val="CompactSmall"/>
              <w:jc w:val="left"/>
            </w:pPr>
            <w:r>
              <w:t xml:space="preserve">3,8</w:t>
            </w:r>
          </w:p>
        </w:tc>
      </w:tr>
    </w:tbl>
    <w:p>
      <w:pPr>
        <w:pStyle w:val="BodyText"/>
        <w:spacing w:before="200"/>
      </w:pPr>
      <w:r>
        <w:t xml:space="preserve">Trong cả ba giai đoạn, các danh mục đa tài sản chỉ mất khoảng một phần ba đến một nửa mức giảm của cổ phiếu. Trái phiếu tăng giá trong cả ba đợt và vàng tăng trong đợt COVID-19, cho thấy vai trò phòng thủ của hai lớp này. HRP giảm ít nhất trong đợt 2022 (−16,8%), khi rổ bất động sản mất 60,9%; về mặt thiết kế, HRP xếp hai lớp cổ phiếu tương quan cao (0,63) vào cùng một nhánh nên phân bổ cho lớp biến động mạnh hơn ít hơn. RL giảm nhiều nhất trong cả hai đợt 2020 và 2022, phù hợp với việc tác tử giữ tỷ trọng rủi ro trung bình cao nhất (51,9%, Bảng 4.9) và chỉ thay đổi hành động khi trạng thái động lượng–biến động đã đổi.</w:t>
      </w:r>
    </w:p>
    <w:p>
      <w:pPr>
        <w:pStyle w:val="BodyText"/>
      </w:pPr>
      <w:r>
        <w:t xml:space="preserve">Đợt 2022 cũng cho thấy giới hạn của đa dạng hóa trong một khủng hoảng hệ thống. Khi cả cổ phiếu và cổ phiếu BĐS cùng giảm mạnh, ngay cả danh mục giữ 40% ở nhóm rủi ro cũng mất 17–25%, vì sàn của dải khẩu vị buộc danh mục giữ tối thiểu 40% ở nhóm rủi ro. Lợi ích của vàng và trái phiếu là có thật nhưng chỉ đủ để giảm khoảng một phần ba mức sụt giảm, không đủ để triệt tiêu nó.</w:t>
      </w:r>
    </w:p>
    <w:bookmarkEnd w:id="120"/>
    <w:bookmarkStart w:id="123" w:name="kết-quả-kiểm-định-giả-thuyết-h1h3"/>
    <w:p>
      <w:pPr>
        <w:pStyle w:val="Heading2"/>
      </w:pPr>
      <w:r>
        <w:t xml:space="preserve">4.5 Kết quả kiểm định giả thuyết H1–H3</w:t>
      </w:r>
    </w:p>
    <w:bookmarkStart w:id="121" w:name="kết-quả-chính"/>
    <w:p>
      <w:pPr>
        <w:pStyle w:val="Heading3"/>
      </w:pPr>
      <w:r>
        <w:t xml:space="preserve">4.5.1 Kết quả chính</w:t>
      </w:r>
    </w:p>
    <w:p>
      <w:pPr>
        <w:pStyle w:val="TableCaption"/>
      </w:pPr>
      <w:r>
        <w:t xml:space="preserve">Bảng 4.14. Kiểm định chênh lệch Sharpe, kịch bản Cân bằng / Trung hạn (102 tháng)</w:t>
      </w:r>
    </w:p>
    <w:tbl>
      <w:tblPr>
        <w:tblStyle w:val="Table"/>
        <w:tblW w:type="pct" w:w="5000"/>
        <w:jc w:val="center"/>
        <w:tblCellMar>
          <w:left w:w="45" w:type="dxa"/>
          <w:right w:w="45" w:type="dxa"/>
        </w:tblCellMar>
        <w:tblLook w:firstRow="1" w:lastRow="0" w:firstColumn="0" w:lastColumn="0" w:noHBand="0" w:noVBand="0" w:val="0020"/>
        <w:tblCaption w:val="Bảng 4.14. Kiểm định chênh lệch Sharpe, kịch bản Cân bằng / Trung hạn (102 tháng)"/>
      </w:tblPr>
      <w:tblGrid>
        <w:gridCol w:w="707"/>
        <w:gridCol w:w="1555"/>
        <w:gridCol w:w="565"/>
        <w:gridCol w:w="565"/>
        <w:gridCol w:w="636"/>
        <w:gridCol w:w="1202"/>
        <w:gridCol w:w="1202"/>
        <w:gridCol w:w="565"/>
        <w:gridCol w:w="919"/>
      </w:tblGrid>
      <w:tr>
        <w:trPr>
          <w:tblHeader w:val="true"/>
        </w:trPr>
        <w:tc>
          <w:tcPr/>
          <w:p>
            <w:pPr>
              <w:pStyle w:val="CompactSmall"/>
              <w:jc w:val="center"/>
            </w:pPr>
            <w:r>
              <w:rPr>
                <w:b/>
              </w:rPr>
              <w:t xml:space="preserve">Giả thuyết</w:t>
            </w:r>
          </w:p>
        </w:tc>
        <w:tc>
          <w:tcPr/>
          <w:p>
            <w:pPr>
              <w:pStyle w:val="CompactSmall"/>
              <w:jc w:val="center"/>
            </w:pPr>
            <w:r>
              <w:rPr>
                <w:b/>
              </w:rPr>
              <w:t xml:space="preserve">Cặp so sánh (A so với B)</w:t>
            </w:r>
          </w:p>
        </w:tc>
        <w:tc>
          <w:tcPr/>
          <w:p>
            <w:pPr>
              <w:pStyle w:val="CompactSmall"/>
              <w:jc w:val="center"/>
            </w:pPr>
            <w:r>
              <w:rPr>
                <w:b/>
              </w:rPr>
              <w:t xml:space="preserve">SR</w:t>
            </w:r>
            <w:r>
              <w:rPr>
                <w:b/>
                <w:vertAlign w:val="subscript"/>
              </w:rPr>
              <w:t xml:space="preserve">A</w:t>
            </w:r>
          </w:p>
        </w:tc>
        <w:tc>
          <w:tcPr/>
          <w:p>
            <w:pPr>
              <w:pStyle w:val="CompactSmall"/>
              <w:jc w:val="center"/>
            </w:pPr>
            <w:r>
              <w:rPr>
                <w:b/>
              </w:rPr>
              <w:t xml:space="preserve">SR</w:t>
            </w:r>
            <w:r>
              <w:rPr>
                <w:b/>
                <w:vertAlign w:val="subscript"/>
              </w:rPr>
              <w:t xml:space="preserve">B</w:t>
            </w:r>
          </w:p>
        </w:tc>
        <w:tc>
          <w:tcPr/>
          <w:p>
            <w:pPr>
              <w:pStyle w:val="CompactSmall"/>
              <w:jc w:val="center"/>
            </w:pPr>
            <w:r>
              <w:rPr>
                <w:b/>
              </w:rPr>
              <w:t xml:space="preserve">ΔSR</w:t>
            </w:r>
          </w:p>
        </w:tc>
        <w:tc>
          <w:tcPr/>
          <w:p>
            <w:pPr>
              <w:pStyle w:val="CompactSmall"/>
              <w:jc w:val="center"/>
            </w:pPr>
            <w:r>
              <w:rPr>
                <w:b/>
              </w:rPr>
              <w:t xml:space="preserve">p (Ledoit–Wolf)</w:t>
            </w:r>
          </w:p>
        </w:tc>
        <w:tc>
          <w:tcPr/>
          <w:p>
            <w:pPr>
              <w:pStyle w:val="CompactSmall"/>
              <w:jc w:val="center"/>
            </w:pPr>
            <w:r>
              <w:rPr>
                <w:b/>
              </w:rPr>
              <w:t xml:space="preserve">KTC 90% bootstrap</w:t>
            </w:r>
          </w:p>
        </w:tc>
        <w:tc>
          <w:tcPr/>
          <w:p>
            <w:pPr>
              <w:pStyle w:val="CompactSmall"/>
              <w:jc w:val="center"/>
            </w:pPr>
            <w:r>
              <w:rPr>
                <w:b/>
              </w:rPr>
              <w:t xml:space="preserve">MDE</w:t>
            </w:r>
          </w:p>
        </w:tc>
        <w:tc>
          <w:tcPr/>
          <w:p>
            <w:pPr>
              <w:pStyle w:val="CompactSmall"/>
              <w:jc w:val="center"/>
            </w:pPr>
            <w:r>
              <w:rPr>
                <w:b/>
              </w:rPr>
              <w:t xml:space="preserve">Holm</w:t>
            </w:r>
          </w:p>
        </w:tc>
      </w:tr>
      <w:tr>
        <w:trPr>
          <w:cantSplit/>
        </w:trPr>
        <w:tc>
          <w:tcPr/>
          <w:p>
            <w:pPr>
              <w:pStyle w:val="CompactSmall"/>
              <w:jc w:val="left"/>
            </w:pPr>
            <w:r>
              <w:t xml:space="preserve">H1</w:t>
            </w:r>
          </w:p>
        </w:tc>
        <w:tc>
          <w:tcPr/>
          <w:p>
            <w:pPr>
              <w:pStyle w:val="CompactSmall"/>
              <w:jc w:val="left"/>
            </w:pPr>
            <w:r>
              <w:t xml:space="preserve">Markowitz – EW</w:t>
            </w:r>
          </w:p>
        </w:tc>
        <w:tc>
          <w:tcPr/>
          <w:p>
            <w:pPr>
              <w:pStyle w:val="CompactSmall"/>
              <w:jc w:val="left"/>
            </w:pPr>
            <w:r>
              <w:t xml:space="preserve">0,20</w:t>
            </w:r>
          </w:p>
        </w:tc>
        <w:tc>
          <w:tcPr/>
          <w:p>
            <w:pPr>
              <w:pStyle w:val="CompactSmall"/>
              <w:jc w:val="left"/>
            </w:pPr>
            <w:r>
              <w:t xml:space="preserve">0,29</w:t>
            </w:r>
          </w:p>
        </w:tc>
        <w:tc>
          <w:tcPr/>
          <w:p>
            <w:pPr>
              <w:pStyle w:val="CompactSmall"/>
              <w:jc w:val="left"/>
            </w:pPr>
            <w:r>
              <w:t xml:space="preserve">−0,08</w:t>
            </w:r>
          </w:p>
        </w:tc>
        <w:tc>
          <w:tcPr/>
          <w:p>
            <w:pPr>
              <w:pStyle w:val="CompactSmall"/>
              <w:jc w:val="left"/>
            </w:pPr>
            <w:r>
              <w:t xml:space="preserve">0,478</w:t>
            </w:r>
          </w:p>
        </w:tc>
        <w:tc>
          <w:tcPr/>
          <w:p>
            <w:pPr>
              <w:pStyle w:val="CompactSmall"/>
              <w:jc w:val="left"/>
            </w:pPr>
            <w:r>
              <w:t xml:space="preserve">[−0,29; 0,11]</w:t>
            </w:r>
          </w:p>
        </w:tc>
        <w:tc>
          <w:tcPr/>
          <w:p>
            <w:pPr>
              <w:pStyle w:val="CompactSmall"/>
              <w:jc w:val="left"/>
            </w:pPr>
            <w:r>
              <w:t xml:space="preserve">0,29</w:t>
            </w:r>
          </w:p>
        </w:tc>
        <w:tc>
          <w:tcPr/>
          <w:p>
            <w:pPr>
              <w:pStyle w:val="CompactSmall"/>
              <w:jc w:val="left"/>
            </w:pPr>
            <w:r>
              <w:t xml:space="preserve">Không bác bỏ</w:t>
            </w:r>
          </w:p>
        </w:tc>
      </w:tr>
      <w:tr>
        <w:trPr>
          <w:cantSplit/>
        </w:trPr>
        <w:tc>
          <w:tcPr/>
          <w:p>
            <w:pPr>
              <w:pStyle w:val="CompactSmall"/>
              <w:jc w:val="left"/>
            </w:pPr>
            <w:r>
              <w:t xml:space="preserve">H1</w:t>
            </w:r>
          </w:p>
        </w:tc>
        <w:tc>
          <w:tcPr/>
          <w:p>
            <w:pPr>
              <w:pStyle w:val="CompactSmall"/>
              <w:jc w:val="left"/>
            </w:pPr>
            <w:r>
              <w:t xml:space="preserve">HRP – EW</w:t>
            </w:r>
          </w:p>
        </w:tc>
        <w:tc>
          <w:tcPr/>
          <w:p>
            <w:pPr>
              <w:pStyle w:val="CompactSmall"/>
              <w:jc w:val="left"/>
            </w:pPr>
            <w:r>
              <w:t xml:space="preserve">0,24</w:t>
            </w:r>
          </w:p>
        </w:tc>
        <w:tc>
          <w:tcPr/>
          <w:p>
            <w:pPr>
              <w:pStyle w:val="CompactSmall"/>
              <w:jc w:val="left"/>
            </w:pPr>
            <w:r>
              <w:t xml:space="preserve">0,29</w:t>
            </w:r>
          </w:p>
        </w:tc>
        <w:tc>
          <w:tcPr/>
          <w:p>
            <w:pPr>
              <w:pStyle w:val="CompactSmall"/>
              <w:jc w:val="left"/>
            </w:pPr>
            <w:r>
              <w:t xml:space="preserve">−0,05</w:t>
            </w:r>
          </w:p>
        </w:tc>
        <w:tc>
          <w:tcPr/>
          <w:p>
            <w:pPr>
              <w:pStyle w:val="CompactSmall"/>
              <w:jc w:val="left"/>
            </w:pPr>
            <w:r>
              <w:t xml:space="preserve">0,690</w:t>
            </w:r>
          </w:p>
        </w:tc>
        <w:tc>
          <w:tcPr/>
          <w:p>
            <w:pPr>
              <w:pStyle w:val="CompactSmall"/>
              <w:jc w:val="left"/>
            </w:pPr>
            <w:r>
              <w:t xml:space="preserve">[−0,27; 0,13]</w:t>
            </w:r>
          </w:p>
        </w:tc>
        <w:tc>
          <w:tcPr/>
          <w:p>
            <w:pPr>
              <w:pStyle w:val="CompactSmall"/>
              <w:jc w:val="left"/>
            </w:pPr>
            <w:r>
              <w:t xml:space="preserve">0,28</w:t>
            </w:r>
          </w:p>
        </w:tc>
        <w:tc>
          <w:tcPr/>
          <w:p>
            <w:pPr>
              <w:pStyle w:val="CompactSmall"/>
              <w:jc w:val="left"/>
            </w:pPr>
            <w:r>
              <w:t xml:space="preserve">Không bác bỏ</w:t>
            </w:r>
          </w:p>
        </w:tc>
      </w:tr>
      <w:tr>
        <w:trPr>
          <w:cantSplit/>
        </w:trPr>
        <w:tc>
          <w:tcPr/>
          <w:p>
            <w:pPr>
              <w:pStyle w:val="CompactSmall"/>
              <w:jc w:val="left"/>
            </w:pPr>
            <w:r>
              <w:t xml:space="preserve">H1</w:t>
            </w:r>
          </w:p>
        </w:tc>
        <w:tc>
          <w:tcPr/>
          <w:p>
            <w:pPr>
              <w:pStyle w:val="CompactSmall"/>
              <w:jc w:val="left"/>
            </w:pPr>
            <w:r>
              <w:t xml:space="preserve">Risk Parity – EW</w:t>
            </w:r>
          </w:p>
        </w:tc>
        <w:tc>
          <w:tcPr/>
          <w:p>
            <w:pPr>
              <w:pStyle w:val="CompactSmall"/>
              <w:jc w:val="left"/>
            </w:pPr>
            <w:r>
              <w:t xml:space="preserve">0,29</w:t>
            </w:r>
          </w:p>
        </w:tc>
        <w:tc>
          <w:tcPr/>
          <w:p>
            <w:pPr>
              <w:pStyle w:val="CompactSmall"/>
              <w:jc w:val="left"/>
            </w:pPr>
            <w:r>
              <w:t xml:space="preserve">0,29</w:t>
            </w:r>
          </w:p>
        </w:tc>
        <w:tc>
          <w:tcPr/>
          <w:p>
            <w:pPr>
              <w:pStyle w:val="CompactSmall"/>
              <w:jc w:val="left"/>
            </w:pPr>
            <w:r>
              <w:t xml:space="preserve">0,01</w:t>
            </w:r>
          </w:p>
        </w:tc>
        <w:tc>
          <w:tcPr/>
          <w:p>
            <w:pPr>
              <w:pStyle w:val="CompactSmall"/>
              <w:jc w:val="left"/>
            </w:pPr>
            <w:r>
              <w:t xml:space="preserve">0,933</w:t>
            </w:r>
          </w:p>
        </w:tc>
        <w:tc>
          <w:tcPr/>
          <w:p>
            <w:pPr>
              <w:pStyle w:val="CompactSmall"/>
              <w:jc w:val="left"/>
            </w:pPr>
            <w:r>
              <w:t xml:space="preserve">[−0,13; 0,12]</w:t>
            </w:r>
          </w:p>
        </w:tc>
        <w:tc>
          <w:tcPr/>
          <w:p>
            <w:pPr>
              <w:pStyle w:val="CompactSmall"/>
              <w:jc w:val="left"/>
            </w:pPr>
            <w:r>
              <w:t xml:space="preserve">0,18</w:t>
            </w:r>
          </w:p>
        </w:tc>
        <w:tc>
          <w:tcPr/>
          <w:p>
            <w:pPr>
              <w:pStyle w:val="CompactSmall"/>
              <w:jc w:val="left"/>
            </w:pPr>
            <w:r>
              <w:t xml:space="preserve">Không bác bỏ</w:t>
            </w:r>
          </w:p>
        </w:tc>
      </w:tr>
      <w:tr>
        <w:trPr>
          <w:cantSplit/>
        </w:trPr>
        <w:tc>
          <w:tcPr/>
          <w:p>
            <w:pPr>
              <w:pStyle w:val="CompactSmall"/>
              <w:jc w:val="left"/>
            </w:pPr>
            <w:r>
              <w:t xml:space="preserve">H2</w:t>
            </w:r>
          </w:p>
        </w:tc>
        <w:tc>
          <w:tcPr/>
          <w:p>
            <w:pPr>
              <w:pStyle w:val="CompactSmall"/>
              <w:jc w:val="left"/>
            </w:pPr>
            <w:r>
              <w:t xml:space="preserve">BL (Elastic Net) – Markowitz</w:t>
            </w:r>
          </w:p>
        </w:tc>
        <w:tc>
          <w:tcPr/>
          <w:p>
            <w:pPr>
              <w:pStyle w:val="CompactSmall"/>
              <w:jc w:val="left"/>
            </w:pPr>
            <w:r>
              <w:t xml:space="preserve">0,37</w:t>
            </w:r>
          </w:p>
        </w:tc>
        <w:tc>
          <w:tcPr/>
          <w:p>
            <w:pPr>
              <w:pStyle w:val="CompactSmall"/>
              <w:jc w:val="left"/>
            </w:pPr>
            <w:r>
              <w:t xml:space="preserve">0,20</w:t>
            </w:r>
          </w:p>
        </w:tc>
        <w:tc>
          <w:tcPr/>
          <w:p>
            <w:pPr>
              <w:pStyle w:val="CompactSmall"/>
              <w:jc w:val="left"/>
            </w:pPr>
            <w:r>
              <w:t xml:space="preserve">0,16</w:t>
            </w:r>
          </w:p>
        </w:tc>
        <w:tc>
          <w:tcPr/>
          <w:p>
            <w:pPr>
              <w:pStyle w:val="CompactSmall"/>
              <w:jc w:val="left"/>
            </w:pPr>
            <w:r>
              <w:t xml:space="preserve">0,344</w:t>
            </w:r>
          </w:p>
        </w:tc>
        <w:tc>
          <w:tcPr/>
          <w:p>
            <w:pPr>
              <w:pStyle w:val="CompactSmall"/>
              <w:jc w:val="left"/>
            </w:pPr>
            <w:r>
              <w:t xml:space="preserve">[−0,13; 0,47]</w:t>
            </w:r>
          </w:p>
        </w:tc>
        <w:tc>
          <w:tcPr/>
          <w:p>
            <w:pPr>
              <w:pStyle w:val="CompactSmall"/>
              <w:jc w:val="left"/>
            </w:pPr>
            <w:r>
              <w:t xml:space="preserve">0,40</w:t>
            </w:r>
          </w:p>
        </w:tc>
        <w:tc>
          <w:tcPr/>
          <w:p>
            <w:pPr>
              <w:pStyle w:val="CompactSmall"/>
              <w:jc w:val="left"/>
            </w:pPr>
            <w:r>
              <w:t xml:space="preserve">Không bác bỏ</w:t>
            </w:r>
          </w:p>
        </w:tc>
      </w:tr>
      <w:tr>
        <w:trPr>
          <w:cantSplit/>
        </w:trPr>
        <w:tc>
          <w:tcPr/>
          <w:p>
            <w:pPr>
              <w:pStyle w:val="CompactSmall"/>
              <w:jc w:val="left"/>
            </w:pPr>
            <w:r>
              <w:t xml:space="preserve">H2</w:t>
            </w:r>
          </w:p>
        </w:tc>
        <w:tc>
          <w:tcPr/>
          <w:p>
            <w:pPr>
              <w:pStyle w:val="CompactSmall"/>
              <w:jc w:val="left"/>
            </w:pPr>
            <w:r>
              <w:t xml:space="preserve">BL (LightGBM) – Markowitz</w:t>
            </w:r>
          </w:p>
        </w:tc>
        <w:tc>
          <w:tcPr/>
          <w:p>
            <w:pPr>
              <w:pStyle w:val="CompactSmall"/>
              <w:jc w:val="left"/>
            </w:pPr>
            <w:r>
              <w:t xml:space="preserve">0,25</w:t>
            </w:r>
          </w:p>
        </w:tc>
        <w:tc>
          <w:tcPr/>
          <w:p>
            <w:pPr>
              <w:pStyle w:val="CompactSmall"/>
              <w:jc w:val="left"/>
            </w:pPr>
            <w:r>
              <w:t xml:space="preserve">0,20</w:t>
            </w:r>
          </w:p>
        </w:tc>
        <w:tc>
          <w:tcPr/>
          <w:p>
            <w:pPr>
              <w:pStyle w:val="CompactSmall"/>
              <w:jc w:val="left"/>
            </w:pPr>
            <w:r>
              <w:t xml:space="preserve">0,05</w:t>
            </w:r>
          </w:p>
        </w:tc>
        <w:tc>
          <w:tcPr/>
          <w:p>
            <w:pPr>
              <w:pStyle w:val="CompactSmall"/>
              <w:jc w:val="left"/>
            </w:pPr>
            <w:r>
              <w:t xml:space="preserve">0,825</w:t>
            </w:r>
          </w:p>
        </w:tc>
        <w:tc>
          <w:tcPr/>
          <w:p>
            <w:pPr>
              <w:pStyle w:val="CompactSmall"/>
              <w:jc w:val="left"/>
            </w:pPr>
            <w:r>
              <w:t xml:space="preserve">[−0,34; 0,44]</w:t>
            </w:r>
          </w:p>
        </w:tc>
        <w:tc>
          <w:tcPr/>
          <w:p>
            <w:pPr>
              <w:pStyle w:val="CompactSmall"/>
              <w:jc w:val="left"/>
            </w:pPr>
            <w:r>
              <w:t xml:space="preserve">0,53</w:t>
            </w:r>
          </w:p>
        </w:tc>
        <w:tc>
          <w:tcPr/>
          <w:p>
            <w:pPr>
              <w:pStyle w:val="CompactSmall"/>
              <w:jc w:val="left"/>
            </w:pPr>
            <w:r>
              <w:t xml:space="preserve">Không bác bỏ</w:t>
            </w:r>
          </w:p>
        </w:tc>
      </w:tr>
      <w:tr>
        <w:trPr>
          <w:cantSplit/>
        </w:trPr>
        <w:tc>
          <w:tcPr/>
          <w:p>
            <w:pPr>
              <w:pStyle w:val="CompactSmall"/>
              <w:jc w:val="left"/>
            </w:pPr>
            <w:r>
              <w:t xml:space="preserve">H2</w:t>
            </w:r>
          </w:p>
        </w:tc>
        <w:tc>
          <w:tcPr/>
          <w:p>
            <w:pPr>
              <w:pStyle w:val="CompactSmall"/>
              <w:jc w:val="left"/>
            </w:pPr>
            <w:r>
              <w:t xml:space="preserve">BL (Elastic Net) – BL (LightGBM)</w:t>
            </w:r>
          </w:p>
        </w:tc>
        <w:tc>
          <w:tcPr/>
          <w:p>
            <w:pPr>
              <w:pStyle w:val="CompactSmall"/>
              <w:jc w:val="left"/>
            </w:pPr>
            <w:r>
              <w:t xml:space="preserve">0,37</w:t>
            </w:r>
          </w:p>
        </w:tc>
        <w:tc>
          <w:tcPr/>
          <w:p>
            <w:pPr>
              <w:pStyle w:val="CompactSmall"/>
              <w:jc w:val="left"/>
            </w:pPr>
            <w:r>
              <w:t xml:space="preserve">0,25</w:t>
            </w:r>
          </w:p>
        </w:tc>
        <w:tc>
          <w:tcPr/>
          <w:p>
            <w:pPr>
              <w:pStyle w:val="CompactSmall"/>
              <w:jc w:val="left"/>
            </w:pPr>
            <w:r>
              <w:t xml:space="preserve">0,11</w:t>
            </w:r>
          </w:p>
        </w:tc>
        <w:tc>
          <w:tcPr/>
          <w:p>
            <w:pPr>
              <w:pStyle w:val="CompactSmall"/>
              <w:jc w:val="left"/>
            </w:pPr>
            <w:r>
              <w:t xml:space="preserve">0,417</w:t>
            </w:r>
          </w:p>
        </w:tc>
        <w:tc>
          <w:tcPr/>
          <w:p>
            <w:pPr>
              <w:pStyle w:val="CompactSmall"/>
              <w:jc w:val="left"/>
            </w:pPr>
            <w:r>
              <w:t xml:space="preserve">[−0,10; 0,38]</w:t>
            </w:r>
          </w:p>
        </w:tc>
        <w:tc>
          <w:tcPr/>
          <w:p>
            <w:pPr>
              <w:pStyle w:val="CompactSmall"/>
              <w:jc w:val="left"/>
            </w:pPr>
            <w:r>
              <w:t xml:space="preserve">0,33</w:t>
            </w:r>
          </w:p>
        </w:tc>
        <w:tc>
          <w:tcPr/>
          <w:p>
            <w:pPr>
              <w:pStyle w:val="CompactSmall"/>
              <w:jc w:val="left"/>
            </w:pPr>
            <w:r>
              <w:t xml:space="preserve">Không bác bỏ</w:t>
            </w:r>
          </w:p>
        </w:tc>
      </w:tr>
      <w:tr>
        <w:trPr>
          <w:cantSplit/>
        </w:trPr>
        <w:tc>
          <w:tcPr/>
          <w:p>
            <w:pPr>
              <w:pStyle w:val="CompactSmall"/>
              <w:jc w:val="left"/>
            </w:pPr>
            <w:r>
              <w:t xml:space="preserve">H3</w:t>
            </w:r>
          </w:p>
        </w:tc>
        <w:tc>
          <w:tcPr/>
          <w:p>
            <w:pPr>
              <w:pStyle w:val="CompactSmall"/>
              <w:jc w:val="left"/>
            </w:pPr>
            <w:r>
              <w:t xml:space="preserve">EW: 5 lớp – 2 lớp</w:t>
            </w:r>
          </w:p>
        </w:tc>
        <w:tc>
          <w:tcPr/>
          <w:p>
            <w:pPr>
              <w:pStyle w:val="CompactSmall"/>
              <w:jc w:val="left"/>
            </w:pPr>
            <w:r>
              <w:t xml:space="preserve">0,29</w:t>
            </w:r>
          </w:p>
        </w:tc>
        <w:tc>
          <w:tcPr/>
          <w:p>
            <w:pPr>
              <w:pStyle w:val="CompactSmall"/>
              <w:jc w:val="left"/>
            </w:pPr>
            <w:r>
              <w:t xml:space="preserve">0,23</w:t>
            </w:r>
          </w:p>
        </w:tc>
        <w:tc>
          <w:tcPr/>
          <w:p>
            <w:pPr>
              <w:pStyle w:val="CompactSmall"/>
              <w:jc w:val="left"/>
            </w:pPr>
            <w:r>
              <w:t xml:space="preserve">0,06</w:t>
            </w:r>
          </w:p>
        </w:tc>
        <w:tc>
          <w:tcPr/>
          <w:p>
            <w:pPr>
              <w:pStyle w:val="CompactSmall"/>
              <w:jc w:val="left"/>
            </w:pPr>
            <w:r>
              <w:t xml:space="preserve">0,776</w:t>
            </w:r>
          </w:p>
        </w:tc>
        <w:tc>
          <w:tcPr/>
          <w:p>
            <w:pPr>
              <w:pStyle w:val="CompactSmall"/>
              <w:jc w:val="left"/>
            </w:pPr>
            <w:r>
              <w:t xml:space="preserve">[−0,32; 0,38]</w:t>
            </w:r>
          </w:p>
        </w:tc>
        <w:tc>
          <w:tcPr/>
          <w:p>
            <w:pPr>
              <w:pStyle w:val="CompactSmall"/>
              <w:jc w:val="left"/>
            </w:pPr>
            <w:r>
              <w:t xml:space="preserve">0,48</w:t>
            </w:r>
          </w:p>
        </w:tc>
        <w:tc>
          <w:tcPr/>
          <w:p>
            <w:pPr>
              <w:pStyle w:val="CompactSmall"/>
              <w:jc w:val="left"/>
            </w:pPr>
            <w:r>
              <w:t xml:space="preserve">Không bác bỏ</w:t>
            </w:r>
          </w:p>
        </w:tc>
      </w:tr>
      <w:tr>
        <w:trPr>
          <w:cantSplit/>
        </w:trPr>
        <w:tc>
          <w:tcPr/>
          <w:p>
            <w:pPr>
              <w:pStyle w:val="CompactSmall"/>
              <w:jc w:val="left"/>
            </w:pPr>
            <w:r>
              <w:t xml:space="preserve">H3</w:t>
            </w:r>
          </w:p>
        </w:tc>
        <w:tc>
          <w:tcPr/>
          <w:p>
            <w:pPr>
              <w:pStyle w:val="CompactSmall"/>
              <w:jc w:val="left"/>
            </w:pPr>
            <w:r>
              <w:t xml:space="preserve">Markowitz: 5 lớp – 2 lớp</w:t>
            </w:r>
          </w:p>
        </w:tc>
        <w:tc>
          <w:tcPr/>
          <w:p>
            <w:pPr>
              <w:pStyle w:val="CompactSmall"/>
              <w:jc w:val="left"/>
            </w:pPr>
            <w:r>
              <w:t xml:space="preserve">0,20</w:t>
            </w:r>
          </w:p>
        </w:tc>
        <w:tc>
          <w:tcPr/>
          <w:p>
            <w:pPr>
              <w:pStyle w:val="CompactSmall"/>
              <w:jc w:val="left"/>
            </w:pPr>
            <w:r>
              <w:t xml:space="preserve">0,19</w:t>
            </w:r>
          </w:p>
        </w:tc>
        <w:tc>
          <w:tcPr/>
          <w:p>
            <w:pPr>
              <w:pStyle w:val="CompactSmall"/>
              <w:jc w:val="left"/>
            </w:pPr>
            <w:r>
              <w:t xml:space="preserve">0,01</w:t>
            </w:r>
          </w:p>
        </w:tc>
        <w:tc>
          <w:tcPr/>
          <w:p>
            <w:pPr>
              <w:pStyle w:val="CompactSmall"/>
              <w:jc w:val="left"/>
            </w:pPr>
            <w:r>
              <w:t xml:space="preserve">0,957</w:t>
            </w:r>
          </w:p>
        </w:tc>
        <w:tc>
          <w:tcPr/>
          <w:p>
            <w:pPr>
              <w:pStyle w:val="CompactSmall"/>
              <w:jc w:val="left"/>
            </w:pPr>
            <w:r>
              <w:t xml:space="preserve">[−0,26; 0,22]</w:t>
            </w:r>
          </w:p>
        </w:tc>
        <w:tc>
          <w:tcPr/>
          <w:p>
            <w:pPr>
              <w:pStyle w:val="CompactSmall"/>
              <w:jc w:val="left"/>
            </w:pPr>
            <w:r>
              <w:t xml:space="preserve">0,31</w:t>
            </w:r>
          </w:p>
        </w:tc>
        <w:tc>
          <w:tcPr/>
          <w:p>
            <w:pPr>
              <w:pStyle w:val="CompactSmall"/>
              <w:jc w:val="left"/>
            </w:pPr>
            <w:r>
              <w:t xml:space="preserve">Không bác bỏ</w:t>
            </w:r>
          </w:p>
        </w:tc>
      </w:tr>
      <w:tr>
        <w:trPr>
          <w:cantSplit/>
        </w:trPr>
        <w:tc>
          <w:tcPr/>
          <w:p>
            <w:pPr>
              <w:pStyle w:val="CompactSmall"/>
              <w:jc w:val="left"/>
            </w:pPr>
            <w:r>
              <w:t xml:space="preserve">H3</w:t>
            </w:r>
          </w:p>
        </w:tc>
        <w:tc>
          <w:tcPr/>
          <w:p>
            <w:pPr>
              <w:pStyle w:val="CompactSmall"/>
              <w:jc w:val="left"/>
            </w:pPr>
            <w:r>
              <w:t xml:space="preserve">Risk Parity: 5 lớp – 2 lớp</w:t>
            </w:r>
          </w:p>
        </w:tc>
        <w:tc>
          <w:tcPr/>
          <w:p>
            <w:pPr>
              <w:pStyle w:val="CompactSmall"/>
              <w:jc w:val="left"/>
            </w:pPr>
            <w:r>
              <w:t xml:space="preserve">0,29</w:t>
            </w:r>
          </w:p>
        </w:tc>
        <w:tc>
          <w:tcPr/>
          <w:p>
            <w:pPr>
              <w:pStyle w:val="CompactSmall"/>
              <w:jc w:val="left"/>
            </w:pPr>
            <w:r>
              <w:t xml:space="preserve">0,25</w:t>
            </w:r>
          </w:p>
        </w:tc>
        <w:tc>
          <w:tcPr/>
          <w:p>
            <w:pPr>
              <w:pStyle w:val="CompactSmall"/>
              <w:jc w:val="left"/>
            </w:pPr>
            <w:r>
              <w:t xml:space="preserve">0,04</w:t>
            </w:r>
          </w:p>
        </w:tc>
        <w:tc>
          <w:tcPr/>
          <w:p>
            <w:pPr>
              <w:pStyle w:val="CompactSmall"/>
              <w:jc w:val="left"/>
            </w:pPr>
            <w:r>
              <w:t xml:space="preserve">0,812</w:t>
            </w:r>
          </w:p>
        </w:tc>
        <w:tc>
          <w:tcPr/>
          <w:p>
            <w:pPr>
              <w:pStyle w:val="CompactSmall"/>
              <w:jc w:val="left"/>
            </w:pPr>
            <w:r>
              <w:t xml:space="preserve">[−0,31; 0,29]</w:t>
            </w:r>
          </w:p>
        </w:tc>
        <w:tc>
          <w:tcPr/>
          <w:p>
            <w:pPr>
              <w:pStyle w:val="CompactSmall"/>
              <w:jc w:val="left"/>
            </w:pPr>
            <w:r>
              <w:t xml:space="preserve">0,39</w:t>
            </w:r>
          </w:p>
        </w:tc>
        <w:tc>
          <w:tcPr/>
          <w:p>
            <w:pPr>
              <w:pStyle w:val="CompactSmall"/>
              <w:jc w:val="left"/>
            </w:pPr>
            <w:r>
              <w:t xml:space="preserve">Không bác bỏ</w:t>
            </w:r>
          </w:p>
        </w:tc>
      </w:tr>
      <w:tr>
        <w:trPr>
          <w:cantSplit/>
        </w:trPr>
        <w:tc>
          <w:tcPr/>
          <w:p>
            <w:pPr>
              <w:pStyle w:val="CompactSmall"/>
              <w:jc w:val="left"/>
            </w:pPr>
            <w:r>
              <w:t xml:space="preserve">H3</w:t>
            </w:r>
          </w:p>
        </w:tc>
        <w:tc>
          <w:tcPr/>
          <w:p>
            <w:pPr>
              <w:pStyle w:val="CompactSmall"/>
              <w:jc w:val="left"/>
            </w:pPr>
            <w:r>
              <w:t xml:space="preserve">HRP: 5 lớp – 2 lớp</w:t>
            </w:r>
          </w:p>
        </w:tc>
        <w:tc>
          <w:tcPr/>
          <w:p>
            <w:pPr>
              <w:pStyle w:val="CompactSmall"/>
              <w:jc w:val="left"/>
            </w:pPr>
            <w:r>
              <w:t xml:space="preserve">0,24</w:t>
            </w:r>
          </w:p>
        </w:tc>
        <w:tc>
          <w:tcPr/>
          <w:p>
            <w:pPr>
              <w:pStyle w:val="CompactSmall"/>
              <w:jc w:val="left"/>
            </w:pPr>
            <w:r>
              <w:t xml:space="preserve">0,25</w:t>
            </w:r>
          </w:p>
        </w:tc>
        <w:tc>
          <w:tcPr/>
          <w:p>
            <w:pPr>
              <w:pStyle w:val="CompactSmall"/>
              <w:jc w:val="left"/>
            </w:pPr>
            <w:r>
              <w:t xml:space="preserve">−0,01</w:t>
            </w:r>
          </w:p>
        </w:tc>
        <w:tc>
          <w:tcPr/>
          <w:p>
            <w:pPr>
              <w:pStyle w:val="CompactSmall"/>
              <w:jc w:val="left"/>
            </w:pPr>
            <w:r>
              <w:t xml:space="preserve">0,925</w:t>
            </w:r>
          </w:p>
        </w:tc>
        <w:tc>
          <w:tcPr/>
          <w:p>
            <w:pPr>
              <w:pStyle w:val="CompactSmall"/>
              <w:jc w:val="left"/>
            </w:pPr>
            <w:r>
              <w:t xml:space="preserve">[−0,30; 0,20]</w:t>
            </w:r>
          </w:p>
        </w:tc>
        <w:tc>
          <w:tcPr/>
          <w:p>
            <w:pPr>
              <w:pStyle w:val="CompactSmall"/>
              <w:jc w:val="left"/>
            </w:pPr>
            <w:r>
              <w:t xml:space="preserve">0,32</w:t>
            </w:r>
          </w:p>
        </w:tc>
        <w:tc>
          <w:tcPr/>
          <w:p>
            <w:pPr>
              <w:pStyle w:val="CompactSmall"/>
              <w:jc w:val="left"/>
            </w:pPr>
            <w:r>
              <w:t xml:space="preserve">Không bác bỏ</w:t>
            </w:r>
          </w:p>
        </w:tc>
      </w:tr>
      <w:tr>
        <w:trPr>
          <w:cantSplit/>
        </w:trPr>
        <w:tc>
          <w:tcPr/>
          <w:p>
            <w:pPr>
              <w:pStyle w:val="CompactSmall"/>
              <w:jc w:val="left"/>
            </w:pPr>
            <w:r>
              <w:t xml:space="preserve">H3</w:t>
            </w:r>
          </w:p>
        </w:tc>
        <w:tc>
          <w:tcPr/>
          <w:p>
            <w:pPr>
              <w:pStyle w:val="CompactSmall"/>
              <w:jc w:val="left"/>
            </w:pPr>
            <w:r>
              <w:t xml:space="preserve">BL: 5 lớp – 2 lớp</w:t>
            </w:r>
          </w:p>
        </w:tc>
        <w:tc>
          <w:tcPr/>
          <w:p>
            <w:pPr>
              <w:pStyle w:val="CompactSmall"/>
              <w:jc w:val="left"/>
            </w:pPr>
            <w:r>
              <w:t xml:space="preserve">0,37</w:t>
            </w:r>
          </w:p>
        </w:tc>
        <w:tc>
          <w:tcPr/>
          <w:p>
            <w:pPr>
              <w:pStyle w:val="CompactSmall"/>
              <w:jc w:val="left"/>
            </w:pPr>
            <w:r>
              <w:t xml:space="preserve">0,17</w:t>
            </w:r>
          </w:p>
        </w:tc>
        <w:tc>
          <w:tcPr/>
          <w:p>
            <w:pPr>
              <w:pStyle w:val="CompactSmall"/>
              <w:jc w:val="left"/>
            </w:pPr>
            <w:r>
              <w:t xml:space="preserve">0,20</w:t>
            </w:r>
          </w:p>
        </w:tc>
        <w:tc>
          <w:tcPr/>
          <w:p>
            <w:pPr>
              <w:pStyle w:val="CompactSmall"/>
              <w:jc w:val="left"/>
            </w:pPr>
            <w:r>
              <w:t xml:space="preserve">0,288</w:t>
            </w:r>
          </w:p>
        </w:tc>
        <w:tc>
          <w:tcPr/>
          <w:p>
            <w:pPr>
              <w:pStyle w:val="CompactSmall"/>
              <w:jc w:val="left"/>
            </w:pPr>
            <w:r>
              <w:t xml:space="preserve">[−0,13; 0,49]</w:t>
            </w:r>
          </w:p>
        </w:tc>
        <w:tc>
          <w:tcPr/>
          <w:p>
            <w:pPr>
              <w:pStyle w:val="CompactSmall"/>
              <w:jc w:val="left"/>
            </w:pPr>
            <w:r>
              <w:t xml:space="preserve">0,43</w:t>
            </w:r>
          </w:p>
        </w:tc>
        <w:tc>
          <w:tcPr/>
          <w:p>
            <w:pPr>
              <w:pStyle w:val="CompactSmall"/>
              <w:jc w:val="left"/>
            </w:pPr>
            <w:r>
              <w:t xml:space="preserve">Không bác bỏ</w:t>
            </w:r>
          </w:p>
        </w:tc>
      </w:tr>
    </w:tbl>
    <w:p>
      <w:pPr>
        <w:pStyle w:val="BodyText"/>
        <w:spacing w:before="200"/>
      </w:pPr>
      <w:r>
        <w:rPr>
          <w:iCs/>
          <w:i/>
        </w:rPr>
        <w:t xml:space="preserve">Ghi chú: ΔSR = SR</w:t>
      </w:r>
      <w:r>
        <w:rPr>
          <w:vertAlign w:val="subscript"/>
          <w:iCs/>
          <w:i/>
        </w:rPr>
        <w:t xml:space="preserve">A</w:t>
      </w:r>
      <w:r>
        <w:rPr>
          <w:iCs/>
          <w:i/>
        </w:rPr>
        <w:t xml:space="preserve"> </w:t>
      </w:r>
      <w:r>
        <w:rPr>
          <w:iCs/>
          <w:i/>
        </w:rPr>
        <w:t xml:space="preserve">− SR</w:t>
      </w:r>
      <w:r>
        <w:rPr>
          <w:vertAlign w:val="subscript"/>
          <w:iCs/>
          <w:i/>
        </w:rPr>
        <w:t xml:space="preserve">B</w:t>
      </w:r>
      <w:r>
        <w:rPr>
          <w:iCs/>
          <w:i/>
        </w:rPr>
        <w:t xml:space="preserve">. MDE = chênh lệch Sharpe tối thiểu phát hiện được ở α = 0,10 hai phía, độ mạnh 80%.</w:t>
      </w:r>
      <w:r>
        <w:rPr>
          <w:iCs/>
          <w:i/>
        </w:rPr>
        <w:t xml:space="preserve"> </w:t>
      </w:r>
      <w:r>
        <w:rPr>
          <w:iCs/>
          <w:i/>
        </w:rPr>
        <w:t xml:space="preserve">“</w:t>
      </w:r>
      <w:r>
        <w:rPr>
          <w:iCs/>
          <w:i/>
        </w:rPr>
        <w:t xml:space="preserve">2 lớp</w:t>
      </w:r>
      <w:r>
        <w:rPr>
          <w:iCs/>
          <w:i/>
        </w:rPr>
        <w:t xml:space="preserve">”</w:t>
      </w:r>
      <w:r>
        <w:rPr>
          <w:iCs/>
          <w:i/>
        </w:rPr>
        <w:t xml:space="preserve"> </w:t>
      </w:r>
      <w:r>
        <w:rPr>
          <w:iCs/>
          <w:i/>
        </w:rPr>
        <w:t xml:space="preserve">= danh mục cổ phiếu–trái phiếu cùng phương pháp.</w:t>
      </w:r>
    </w:p>
    <w:p>
      <w:pPr>
        <w:pStyle w:val="BodyText"/>
      </w:pPr>
      <w:r>
        <w:rPr>
          <w:bCs/>
          <w:b/>
        </w:rPr>
        <w:t xml:space="preserve">Không giả thuyết nào bị bác bỏ.</w:t>
      </w:r>
      <w:r>
        <w:t xml:space="preserve"> </w:t>
      </w:r>
      <w:r>
        <w:t xml:space="preserve">Cả 11 cặp thuộc H1–H3 đều có giá trị p từ 0,29 trở lên, không cần đến hiệu chỉnh Holm cũng không có ý nghĩa ở mức 10%. Khoảng tin cậy bootstrap của mọi cặp đều chứa 0. Kiểm định Jobson–Korkie–Memmel cho kết luận tương tự (giá trị p từ 0,32 đến 0,95, chi tiết ở Phụ lục D).</w:t>
      </w:r>
    </w:p>
    <w:p>
      <w:pPr>
        <w:pStyle w:val="BodyText"/>
      </w:pPr>
      <w:r>
        <w:rPr>
          <w:bCs/>
          <w:b/>
        </w:rPr>
        <w:t xml:space="preserve">Nhưng không bác bỏ không có nghĩa là như nhau.</w:t>
      </w:r>
      <w:r>
        <w:t xml:space="preserve"> </w:t>
      </w:r>
      <w:r>
        <w:t xml:space="preserve">Cột MDE cho thấy với 102 tháng, kiểm định chỉ phát hiện được chênh lệch Sharpe từ 0,18 đến 0,53. Chênh lệch quan sát được lớn nhất, BL so với Markowitz (0,16), chưa bằng một nửa ngưỡng 0,40 của cặp này; để phát hiện chênh lệch 0,3 cần khoảng 185 tháng dữ liệu, gần gấp đôi mẫu hiện có. MDE nhỏ nhất thuộc về cặp Risk Parity – EW (0,18), vì hai danh mục này có lợi nhuận tương quan 0,98 nên sai số chuẩn của chênh lệch rất nhỏ; với cặp này, có thể nói khá chắc chắn rằng chênh lệch thật nếu có cũng nhỏ. Ngược lại, các cặp liên quan đến BL có MDE lớn (0,33–0,53) vì BL khác biệt nhiều hơn với các phương pháp còn lại. Kết luận chính xác là: dữ liệu chưa đủ độ mạnh để phân biệt các phương pháp.</w:t>
      </w:r>
    </w:p>
    <w:p>
      <w:pPr>
        <w:pStyle w:val="BodyText"/>
      </w:pPr>
      <w:r>
        <w:rPr>
          <w:bCs/>
          <w:b/>
        </w:rPr>
        <w:t xml:space="preserve">Đọc kết quả kiểm định qua cặp BL – Markowitz.</w:t>
      </w:r>
      <w:r>
        <w:t xml:space="preserve"> </w:t>
      </w:r>
      <w:r>
        <w:t xml:space="preserve">Chênh lệch Sharpe quan sát được là 0,366 − 0,202 = 0,164. Sai số chuẩn của chênh lệch theo Ledoit–Wolf là 0,162, nên thống kê kiểm định chỉ khoảng 0,164/0,162 ≈ 1,0: chênh lệch quan sát được chỉ bằng đúng một lần sai số chuẩn. Trong một thế giới mà hai phương pháp thực sự có cùng Sharpe, một chênh lệch lớn như vậy hoặc lớn hơn vẫn xuất hiện với xác suất khoảng 34% (p = 0,344). Khoảng tin cậy 90% từ bootstrap là [−0,13; 0,47]: dữ liệu phù hợp với cả khả năng BL kém Markowitz 0,13 lẫn khả năng BL tốt hơn gần 0,5.</w:t>
      </w:r>
    </w:p>
    <w:p>
      <w:pPr>
        <w:pStyle w:val="BodyText"/>
      </w:pPr>
      <w:r>
        <w:t xml:space="preserve">Có thể kiểm tra trực giác cho con số 0,162 bằng một xấp xỉ đơn giản. Nếu lợi nhuận độc lập theo thời gian, sai số chuẩn của chênh lệch Sharpe năm hóa xấp xỉ √(2(1 − ρ) × 12/T), với ρ là tương quan giữa lợi nhuận hai danh mục. Với ρ = 0,89 và T = 102, công thức cho √(2 × 0,11 × 12/102) ≈ 0,16, gần đúng con số của Ledoit–Wolf. Công thức này cho thấy hai cách duy nhất để kiểm định có độ mạnh cao hơn: hai danh mục tương quan cao hơn (chênh lệch ổn định hơn qua thời gian), hoặc mẫu dài hơn.</w:t>
      </w:r>
    </w:p>
    <w:p>
      <w:pPr>
        <w:pStyle w:val="BodyText"/>
      </w:pPr>
      <w:r>
        <w:t xml:space="preserve">MDE của cặp này là (1,645 + 0,842) × 0,162 ≈ 0,40: chỉ khi Sharpe thực của BL cao hơn Markowitz ít nhất 0,40, kiểm định mới có 80% cơ hội phát hiện ra. Để phát hiện chênh lệch 0,3 với cùng độ mạnh, sai số chuẩn phải giảm còn khoảng 0,12, tức số tháng phải tăng theo tỷ lệ (0,40/0,30)² ≈ 1,8 lần, khoảng 185 tháng hay hơn 15 năm dữ liệu. Nói cách khác, ngay cả khi lợi thế của BL là thật và lớn cỡ 0,3, phải đến khoảng năm 2033 mới có đủ dữ liệu để kiểm định xác nhận nếu bắt đầu từ 2018.</w:t>
      </w:r>
    </w:p>
    <w:p>
      <w:pPr>
        <w:pStyle w:val="BodyText"/>
      </w:pPr>
      <w:r>
        <w:t xml:space="preserve">Với từng giả thuyết:</w:t>
      </w:r>
    </w:p>
    <w:p>
      <w:pPr>
        <w:numPr>
          <w:ilvl w:val="0"/>
          <w:numId w:val="1013"/>
        </w:numPr>
      </w:pPr>
      <w:r>
        <w:rPr>
          <w:bCs/>
          <w:b/>
        </w:rPr>
        <w:t xml:space="preserve">H1:</w:t>
      </w:r>
      <w:r>
        <w:t xml:space="preserve"> </w:t>
      </w:r>
      <w:r>
        <w:t xml:space="preserve">Ba phương pháp tối ưu không vượt phân bổ đều. Markowitz và HRP còn có Sharpe thấp hơn EW; Risk Parity gần như trùng EW (ΔSR = 0,01) với sai số chuẩn nhỏ nhất, vì hai danh mục có lợi nhuận rất giống nhau. Kết quả này nhất quán với DeMiguel, Garlappi và Uppal (2009).</w:t>
      </w:r>
    </w:p>
    <w:p>
      <w:pPr>
        <w:numPr>
          <w:ilvl w:val="0"/>
          <w:numId w:val="1013"/>
        </w:numPr>
      </w:pPr>
      <w:r>
        <w:rPr>
          <w:bCs/>
          <w:b/>
        </w:rPr>
        <w:t xml:space="preserve">H2:</w:t>
      </w:r>
      <w:r>
        <w:t xml:space="preserve"> </w:t>
      </w:r>
      <w:r>
        <w:t xml:space="preserve">BL dùng dự báo Elastic Net có Sharpe cao hơn Markowitz 0,16 và cao hơn BL dùng LightGBM 0,11, nhưng cả hai chênh lệch đều không có ý nghĩa. Hướng của kết quả khớp với mục 4.2: Elastic Net là mô hình duy nhất có R²</w:t>
      </w:r>
      <w:r>
        <w:rPr>
          <w:vertAlign w:val="subscript"/>
        </w:rPr>
        <w:t xml:space="preserve">OS</w:t>
      </w:r>
      <w:r>
        <w:t xml:space="preserve"> </w:t>
      </w:r>
      <w:r>
        <w:t xml:space="preserve">gộp dương, còn LightGBM gần như trở về hằng số.</w:t>
      </w:r>
    </w:p>
    <w:p>
      <w:pPr>
        <w:numPr>
          <w:ilvl w:val="0"/>
          <w:numId w:val="1013"/>
        </w:numPr>
      </w:pPr>
      <w:r>
        <w:rPr>
          <w:bCs/>
          <w:b/>
        </w:rPr>
        <w:t xml:space="preserve">H3:</w:t>
      </w:r>
      <w:r>
        <w:t xml:space="preserve"> </w:t>
      </w:r>
      <w:r>
        <w:t xml:space="preserve">Danh mục 5 lớp có Sharpe cao hơn danh mục cổ phiếu–trái phiếu ở 4/5 phương pháp, lớn nhất với BL (0,20), nhưng không có cặp nào đạt ý nghĩa. HRP là ngoại lệ duy nhất (−0,01).</w:t>
      </w:r>
    </w:p>
    <w:p>
      <w:pPr>
        <w:pStyle w:val="FirstParagraph"/>
      </w:pPr>
      <w:r>
        <w:t xml:space="preserve">Kết quả H4 (RL so với 5 phương pháp chính) và MLP_MVO so với Markowitz cũng không có cặp nào có ý nghĩa; chi tiết ở Phụ lục D.</w:t>
      </w:r>
    </w:p>
    <w:bookmarkEnd w:id="121"/>
    <w:bookmarkStart w:id="122" w:name="lớp-nào-tạo-ra-lợi-ích-đa-dạng-hóa"/>
    <w:p>
      <w:pPr>
        <w:pStyle w:val="Heading3"/>
      </w:pPr>
      <w:r>
        <w:t xml:space="preserve">4.5.2 Lớp nào tạo ra lợi ích đa dạng hóa</w:t>
      </w:r>
    </w:p>
    <w:p>
      <w:pPr>
        <w:pStyle w:val="TableCaption"/>
      </w:pPr>
      <w:r>
        <w:t xml:space="preserve">Bảng 4.15. Sharpe khi thêm từng lớp vào danh mục cổ phiếu–trái phiếu, kịch bản chính</w:t>
      </w:r>
    </w:p>
    <w:tbl>
      <w:tblPr>
        <w:tblStyle w:val="Table"/>
        <w:tblW w:type="pct" w:w="5000"/>
        <w:jc w:val="center"/>
        <w:tblLook w:firstRow="1" w:lastRow="0" w:firstColumn="0" w:lastColumn="0" w:noHBand="0" w:noVBand="0" w:val="0020"/>
        <w:tblCaption w:val="Bảng 4.15. Sharpe khi thêm từng lớp vào danh mục cổ phiếu–trái phiếu, kịch bản chính"/>
      </w:tblPr>
      <w:tblGrid>
        <w:gridCol w:w="2096"/>
        <w:gridCol w:w="1048"/>
        <w:gridCol w:w="1630"/>
        <w:gridCol w:w="1048"/>
        <w:gridCol w:w="1048"/>
        <w:gridCol w:w="1048"/>
      </w:tblGrid>
      <w:tr>
        <w:trPr>
          <w:tblHeader w:val="true"/>
        </w:trPr>
        <w:tc>
          <w:tcPr/>
          <w:p>
            <w:pPr>
              <w:pStyle w:val="Compact"/>
              <w:jc w:val="center"/>
            </w:pPr>
            <w:r>
              <w:rPr>
                <w:b/>
              </w:rPr>
              <w:t xml:space="preserve">Danh mục</w:t>
            </w:r>
          </w:p>
        </w:tc>
        <w:tc>
          <w:tcPr/>
          <w:p>
            <w:pPr>
              <w:pStyle w:val="Compact"/>
              <w:jc w:val="center"/>
            </w:pPr>
            <w:r>
              <w:rPr>
                <w:b/>
              </w:rPr>
              <w:t xml:space="preserve">EW</w:t>
            </w:r>
          </w:p>
        </w:tc>
        <w:tc>
          <w:tcPr/>
          <w:p>
            <w:pPr>
              <w:pStyle w:val="Compact"/>
              <w:jc w:val="center"/>
            </w:pPr>
            <w:r>
              <w:rPr>
                <w:b/>
              </w:rPr>
              <w:t xml:space="preserve">Markowitz</w:t>
            </w:r>
          </w:p>
        </w:tc>
        <w:tc>
          <w:tcPr/>
          <w:p>
            <w:pPr>
              <w:pStyle w:val="Compact"/>
              <w:jc w:val="center"/>
            </w:pPr>
            <w:r>
              <w:rPr>
                <w:b/>
              </w:rPr>
              <w:t xml:space="preserve">RP</w:t>
            </w:r>
          </w:p>
        </w:tc>
        <w:tc>
          <w:tcPr/>
          <w:p>
            <w:pPr>
              <w:pStyle w:val="Compact"/>
              <w:jc w:val="center"/>
            </w:pPr>
            <w:r>
              <w:rPr>
                <w:b/>
              </w:rPr>
              <w:t xml:space="preserve">HRP</w:t>
            </w:r>
          </w:p>
        </w:tc>
        <w:tc>
          <w:tcPr/>
          <w:p>
            <w:pPr>
              <w:pStyle w:val="Compact"/>
              <w:jc w:val="center"/>
            </w:pPr>
            <w:r>
              <w:rPr>
                <w:b/>
              </w:rPr>
              <w:t xml:space="preserve">BL</w:t>
            </w:r>
          </w:p>
        </w:tc>
      </w:tr>
      <w:tr>
        <w:trPr>
          <w:cantSplit/>
        </w:trPr>
        <w:tc>
          <w:tcPr/>
          <w:p>
            <w:pPr>
              <w:pStyle w:val="Compact"/>
              <w:jc w:val="left"/>
            </w:pPr>
            <w:r>
              <w:t xml:space="preserve">Cổ phiếu + trái phiếu</w:t>
            </w:r>
          </w:p>
        </w:tc>
        <w:tc>
          <w:tcPr/>
          <w:p>
            <w:pPr>
              <w:pStyle w:val="Compact"/>
              <w:jc w:val="left"/>
            </w:pPr>
            <w:r>
              <w:t xml:space="preserve">0,23</w:t>
            </w:r>
          </w:p>
        </w:tc>
        <w:tc>
          <w:tcPr/>
          <w:p>
            <w:pPr>
              <w:pStyle w:val="Compact"/>
              <w:jc w:val="left"/>
            </w:pPr>
            <w:r>
              <w:t xml:space="preserve">0,19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0,17</w:t>
            </w:r>
          </w:p>
        </w:tc>
      </w:tr>
      <w:tr>
        <w:trPr>
          <w:cantSplit/>
        </w:trPr>
        <w:tc>
          <w:tcPr/>
          <w:p>
            <w:pPr>
              <w:pStyle w:val="Compact"/>
              <w:jc w:val="left"/>
            </w:pPr>
            <w:r>
              <w:t xml:space="preserve">+ vàng</w:t>
            </w:r>
          </w:p>
        </w:tc>
        <w:tc>
          <w:tcPr/>
          <w:p>
            <w:pPr>
              <w:pStyle w:val="Compact"/>
              <w:jc w:val="left"/>
            </w:pPr>
            <w:r>
              <w:t xml:space="preserve">0,50</w:t>
            </w:r>
          </w:p>
        </w:tc>
        <w:tc>
          <w:tcPr/>
          <w:p>
            <w:pPr>
              <w:pStyle w:val="Compact"/>
              <w:jc w:val="left"/>
            </w:pPr>
            <w:r>
              <w:t xml:space="preserve">0,18</w:t>
            </w:r>
          </w:p>
        </w:tc>
        <w:tc>
          <w:tcPr/>
          <w:p>
            <w:pPr>
              <w:pStyle w:val="Compact"/>
              <w:jc w:val="left"/>
            </w:pPr>
            <w:r>
              <w:t xml:space="preserve">0,34</w:t>
            </w:r>
          </w:p>
        </w:tc>
        <w:tc>
          <w:tcPr/>
          <w:p>
            <w:pPr>
              <w:pStyle w:val="Compact"/>
              <w:jc w:val="left"/>
            </w:pPr>
            <w:r>
              <w:t xml:space="preserve">0,27</w:t>
            </w:r>
          </w:p>
        </w:tc>
        <w:tc>
          <w:tcPr/>
          <w:p>
            <w:pPr>
              <w:pStyle w:val="Compact"/>
              <w:jc w:val="left"/>
            </w:pPr>
            <w:r>
              <w:t xml:space="preserve">0,63</w:t>
            </w:r>
          </w:p>
        </w:tc>
      </w:tr>
      <w:tr>
        <w:trPr>
          <w:cantSplit/>
        </w:trPr>
        <w:tc>
          <w:tcPr/>
          <w:p>
            <w:pPr>
              <w:pStyle w:val="Compact"/>
              <w:jc w:val="left"/>
            </w:pPr>
            <w:r>
              <w:t xml:space="preserve">+ cổ phiếu BĐS</w:t>
            </w:r>
          </w:p>
        </w:tc>
        <w:tc>
          <w:tcPr/>
          <w:p>
            <w:pPr>
              <w:pStyle w:val="Compact"/>
              <w:jc w:val="left"/>
            </w:pPr>
            <w:r>
              <w:t xml:space="preserve">0,13</w:t>
            </w:r>
          </w:p>
        </w:tc>
        <w:tc>
          <w:tcPr/>
          <w:p>
            <w:pPr>
              <w:pStyle w:val="Compact"/>
              <w:jc w:val="left"/>
            </w:pPr>
            <w:r>
              <w:t xml:space="preserve">0,12</w:t>
            </w:r>
          </w:p>
        </w:tc>
        <w:tc>
          <w:tcPr/>
          <w:p>
            <w:pPr>
              <w:pStyle w:val="Compact"/>
              <w:jc w:val="left"/>
            </w:pPr>
            <w:r>
              <w:t xml:space="preserve">0,22</w:t>
            </w:r>
          </w:p>
        </w:tc>
        <w:tc>
          <w:tcPr/>
          <w:p>
            <w:pPr>
              <w:pStyle w:val="Compact"/>
              <w:jc w:val="left"/>
            </w:pPr>
            <w:r>
              <w:t xml:space="preserve">0,25</w:t>
            </w:r>
          </w:p>
        </w:tc>
        <w:tc>
          <w:tcPr/>
          <w:p>
            <w:pPr>
              <w:pStyle w:val="Compact"/>
              <w:jc w:val="left"/>
            </w:pPr>
            <w:r>
              <w:t xml:space="preserve">0,10</w:t>
            </w:r>
          </w:p>
        </w:tc>
      </w:tr>
      <w:tr>
        <w:trPr>
          <w:cantSplit/>
        </w:trPr>
        <w:tc>
          <w:tcPr/>
          <w:p>
            <w:pPr>
              <w:pStyle w:val="Compact"/>
              <w:jc w:val="left"/>
            </w:pPr>
            <w:r>
              <w:t xml:space="preserve">+ tiền mặt</w:t>
            </w:r>
          </w:p>
        </w:tc>
        <w:tc>
          <w:tcPr/>
          <w:p>
            <w:pPr>
              <w:pStyle w:val="Compact"/>
              <w:jc w:val="left"/>
            </w:pPr>
            <w:r>
              <w:t xml:space="preserve">0,13</w:t>
            </w:r>
          </w:p>
        </w:tc>
        <w:tc>
          <w:tcPr/>
          <w:p>
            <w:pPr>
              <w:pStyle w:val="Compact"/>
              <w:jc w:val="left"/>
            </w:pPr>
            <w:r>
              <w:t xml:space="preserve">0,19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0,16</w:t>
            </w:r>
          </w:p>
        </w:tc>
      </w:tr>
      <w:tr>
        <w:trPr>
          <w:cantSplit/>
        </w:trPr>
        <w:tc>
          <w:tcPr/>
          <w:p>
            <w:pPr>
              <w:pStyle w:val="Compact"/>
              <w:jc w:val="left"/>
            </w:pPr>
            <w:r>
              <w:t xml:space="preserve">Bản chính 5 lớp</w:t>
            </w:r>
          </w:p>
        </w:tc>
        <w:tc>
          <w:tcPr/>
          <w:p>
            <w:pPr>
              <w:pStyle w:val="Compact"/>
              <w:jc w:val="left"/>
            </w:pPr>
            <w:r>
              <w:t xml:space="preserve">0,29</w:t>
            </w:r>
          </w:p>
        </w:tc>
        <w:tc>
          <w:tcPr/>
          <w:p>
            <w:pPr>
              <w:pStyle w:val="Compact"/>
              <w:jc w:val="left"/>
            </w:pPr>
            <w:r>
              <w:t xml:space="preserve">0,20</w:t>
            </w:r>
          </w:p>
        </w:tc>
        <w:tc>
          <w:tcPr/>
          <w:p>
            <w:pPr>
              <w:pStyle w:val="Compact"/>
              <w:jc w:val="left"/>
            </w:pPr>
            <w:r>
              <w:t xml:space="preserve">0,29</w:t>
            </w:r>
          </w:p>
        </w:tc>
        <w:tc>
          <w:tcPr/>
          <w:p>
            <w:pPr>
              <w:pStyle w:val="Compact"/>
              <w:jc w:val="left"/>
            </w:pPr>
            <w:r>
              <w:t xml:space="preserve">0,24</w:t>
            </w:r>
          </w:p>
        </w:tc>
        <w:tc>
          <w:tcPr/>
          <w:p>
            <w:pPr>
              <w:pStyle w:val="Compact"/>
              <w:jc w:val="left"/>
            </w:pPr>
            <w:r>
              <w:t xml:space="preserve">0,37</w:t>
            </w:r>
          </w:p>
        </w:tc>
      </w:tr>
    </w:tbl>
    <w:p>
      <w:pPr>
        <w:pStyle w:val="BodyText"/>
        <w:spacing w:before="200"/>
      </w:pPr>
      <w:r>
        <w:t xml:space="preserve">Bảng 4.15 tách lợi ích của từng lớp. Thêm vàng vào danh mục cổ phiếu–trái phiếu làm Sharpe của EW tăng từ 0,23 lên 0,50 và của BL từ 0,17 lên 0,63; với Risk Parity mức tăng nhỏ hơn (0,25 lên 0,34), còn với HRP và Markowitz gần như không đổi vì hai phương pháp này giữ rất ít vàng. Ngược lại, thêm cổ phiếu BĐS làm giảm Sharpe ở bốn phương pháp và giữ nguyên với HRP, vì lớp này có lợi nhuận thấp, biến động cao và tương quan cao với cổ phiếu trong giai đoạn kiểm tra. Thêm tiền mặt làm giảm Sharpe của EW (vì EW buộc giữ một phần đáng kể ở tiền mặt) và không ảnh hưởng đến các phương pháp còn lại.</w:t>
      </w:r>
    </w:p>
    <w:p>
      <w:pPr>
        <w:pStyle w:val="BodyText"/>
      </w:pPr>
      <w:r>
        <w:t xml:space="preserve">Như vậy, lợi ích đa dạng hóa của danh mục 5 lớp trong giai đoạn kiểm tra đến gần như hoàn toàn từ vàng, và bị cổ phiếu BĐS làm giảm bớt. Danh mục</w:t>
      </w:r>
      <w:r>
        <w:t xml:space="preserve"> </w:t>
      </w:r>
      <w:r>
        <w:t xml:space="preserve">“</w:t>
      </w:r>
      <w:r>
        <w:t xml:space="preserve">cổ phiếu + trái phiếu + vàng</w:t>
      </w:r>
      <w:r>
        <w:t xml:space="preserve">”</w:t>
      </w:r>
      <w:r>
        <w:t xml:space="preserve"> </w:t>
      </w:r>
      <w:r>
        <w:t xml:space="preserve">với BL có Sharpe cao hơn cả bản chính 5 lớp. Phát hiện này cần được đọc thận trọng: giai đoạn kiểm tra bao gồm đợt tăng giá vàng đặc biệt mạnh 2024–2025, và như mục 4.6 sẽ cho thấy, kết quả nhạy với giai đoạn này.</w:t>
      </w:r>
    </w:p>
    <w:bookmarkEnd w:id="122"/>
    <w:bookmarkEnd w:id="123"/>
    <w:bookmarkStart w:id="128" w:name="độ-vững"/>
    <w:p>
      <w:pPr>
        <w:pStyle w:val="Heading2"/>
      </w:pPr>
      <w:r>
        <w:t xml:space="preserve">4.6 Độ vững</w:t>
      </w:r>
    </w:p>
    <w:bookmarkStart w:id="124" w:name="độ-nhạy-theo-giả-định"/>
    <w:p>
      <w:pPr>
        <w:pStyle w:val="Heading3"/>
      </w:pPr>
      <w:r>
        <w:t xml:space="preserve">4.6.1 Độ nhạy theo giả định</w:t>
      </w:r>
    </w:p>
    <w:p>
      <w:pPr>
        <w:pStyle w:val="TableCaption"/>
      </w:pPr>
      <w:r>
        <w:t xml:space="preserve">Bảng 4.16. Sharpe kịch bản chính khi thay đổi từng giả định</w:t>
      </w:r>
    </w:p>
    <w:tbl>
      <w:tblPr>
        <w:tblStyle w:val="Table"/>
        <w:tblW w:type="pct" w:w="5000"/>
        <w:jc w:val="center"/>
        <w:tblLook w:firstRow="1" w:lastRow="0" w:firstColumn="0" w:lastColumn="0" w:noHBand="0" w:noVBand="0" w:val="0020"/>
        <w:tblCaption w:val="Bảng 4.16. Sharpe kịch bản chính khi thay đổi từng giả định"/>
      </w:tblPr>
      <w:tblGrid>
        <w:gridCol w:w="2674"/>
        <w:gridCol w:w="925"/>
        <w:gridCol w:w="1440"/>
        <w:gridCol w:w="925"/>
        <w:gridCol w:w="925"/>
        <w:gridCol w:w="1028"/>
      </w:tblGrid>
      <w:tr>
        <w:trPr>
          <w:tblHeader w:val="true"/>
        </w:trPr>
        <w:tc>
          <w:tcPr/>
          <w:p>
            <w:pPr>
              <w:pStyle w:val="Compact"/>
              <w:jc w:val="center"/>
            </w:pPr>
            <w:r>
              <w:rPr>
                <w:b/>
              </w:rPr>
              <w:t xml:space="preserve">Biến thể</w:t>
            </w:r>
          </w:p>
        </w:tc>
        <w:tc>
          <w:tcPr/>
          <w:p>
            <w:pPr>
              <w:pStyle w:val="Compact"/>
              <w:jc w:val="center"/>
            </w:pPr>
            <w:r>
              <w:rPr>
                <w:b/>
              </w:rPr>
              <w:t xml:space="preserve">EW</w:t>
            </w:r>
          </w:p>
        </w:tc>
        <w:tc>
          <w:tcPr/>
          <w:p>
            <w:pPr>
              <w:pStyle w:val="Compact"/>
              <w:jc w:val="center"/>
            </w:pPr>
            <w:r>
              <w:rPr>
                <w:b/>
              </w:rPr>
              <w:t xml:space="preserve">Markowitz</w:t>
            </w:r>
          </w:p>
        </w:tc>
        <w:tc>
          <w:tcPr/>
          <w:p>
            <w:pPr>
              <w:pStyle w:val="Compact"/>
              <w:jc w:val="center"/>
            </w:pPr>
            <w:r>
              <w:rPr>
                <w:b/>
              </w:rPr>
              <w:t xml:space="preserve">RP</w:t>
            </w:r>
          </w:p>
        </w:tc>
        <w:tc>
          <w:tcPr/>
          <w:p>
            <w:pPr>
              <w:pStyle w:val="Compact"/>
              <w:jc w:val="center"/>
            </w:pPr>
            <w:r>
              <w:rPr>
                <w:b/>
              </w:rPr>
              <w:t xml:space="preserve">HRP</w:t>
            </w:r>
          </w:p>
        </w:tc>
        <w:tc>
          <w:tcPr/>
          <w:p>
            <w:pPr>
              <w:pStyle w:val="Compact"/>
              <w:jc w:val="center"/>
            </w:pPr>
            <w:r>
              <w:rPr>
                <w:b/>
              </w:rPr>
              <w:t xml:space="preserve">BL</w:t>
            </w:r>
          </w:p>
        </w:tc>
      </w:tr>
      <w:tr>
        <w:trPr>
          <w:cantSplit/>
        </w:trPr>
        <w:tc>
          <w:tcPr/>
          <w:p>
            <w:pPr>
              <w:pStyle w:val="Compact"/>
              <w:jc w:val="left"/>
            </w:pPr>
            <w:r>
              <w:rPr>
                <w:bCs/>
                <w:b/>
              </w:rPr>
              <w:t xml:space="preserve">Gốc</w:t>
            </w:r>
          </w:p>
        </w:tc>
        <w:tc>
          <w:tcPr/>
          <w:p>
            <w:pPr>
              <w:pStyle w:val="Compact"/>
              <w:jc w:val="left"/>
            </w:pPr>
            <w:r>
              <w:rPr>
                <w:bCs/>
                <w:b/>
              </w:rPr>
              <w:t xml:space="preserve">0,29</w:t>
            </w:r>
          </w:p>
        </w:tc>
        <w:tc>
          <w:tcPr/>
          <w:p>
            <w:pPr>
              <w:pStyle w:val="Compact"/>
              <w:jc w:val="left"/>
            </w:pPr>
            <w:r>
              <w:rPr>
                <w:bCs/>
                <w:b/>
              </w:rPr>
              <w:t xml:space="preserve">0,20</w:t>
            </w:r>
          </w:p>
        </w:tc>
        <w:tc>
          <w:tcPr/>
          <w:p>
            <w:pPr>
              <w:pStyle w:val="Compact"/>
              <w:jc w:val="left"/>
            </w:pPr>
            <w:r>
              <w:rPr>
                <w:bCs/>
                <w:b/>
              </w:rPr>
              <w:t xml:space="preserve">0,29</w:t>
            </w:r>
          </w:p>
        </w:tc>
        <w:tc>
          <w:tcPr/>
          <w:p>
            <w:pPr>
              <w:pStyle w:val="Compact"/>
              <w:jc w:val="left"/>
            </w:pPr>
            <w:r>
              <w:rPr>
                <w:bCs/>
                <w:b/>
              </w:rPr>
              <w:t xml:space="preserve">0,24</w:t>
            </w:r>
          </w:p>
        </w:tc>
        <w:tc>
          <w:tcPr/>
          <w:p>
            <w:pPr>
              <w:pStyle w:val="Compact"/>
              <w:jc w:val="left"/>
            </w:pPr>
            <w:r>
              <w:rPr>
                <w:bCs/>
                <w:b/>
              </w:rPr>
              <w:t xml:space="preserve">0,37</w:t>
            </w:r>
          </w:p>
        </w:tc>
      </w:tr>
      <w:tr>
        <w:trPr>
          <w:cantSplit/>
        </w:trPr>
        <w:tc>
          <w:tcPr/>
          <w:p>
            <w:pPr>
              <w:pStyle w:val="Compact"/>
              <w:jc w:val="left"/>
            </w:pPr>
            <w:r>
              <w:t xml:space="preserve">δ = 1,5</w:t>
            </w:r>
          </w:p>
        </w:tc>
        <w:tc>
          <w:tcPr/>
          <w:p>
            <w:pPr>
              <w:pStyle w:val="Compact"/>
              <w:jc w:val="left"/>
            </w:pPr>
            <w:r>
              <w:t xml:space="preserve">0,29</w:t>
            </w:r>
          </w:p>
        </w:tc>
        <w:tc>
          <w:tcPr/>
          <w:p>
            <w:pPr>
              <w:pStyle w:val="Compact"/>
              <w:jc w:val="left"/>
            </w:pPr>
            <w:r>
              <w:t xml:space="preserve">0,11</w:t>
            </w:r>
          </w:p>
        </w:tc>
        <w:tc>
          <w:tcPr/>
          <w:p>
            <w:pPr>
              <w:pStyle w:val="Compact"/>
              <w:jc w:val="left"/>
            </w:pPr>
            <w:r>
              <w:t xml:space="preserve">0,29</w:t>
            </w:r>
          </w:p>
        </w:tc>
        <w:tc>
          <w:tcPr/>
          <w:p>
            <w:pPr>
              <w:pStyle w:val="Compact"/>
              <w:jc w:val="left"/>
            </w:pPr>
            <w:r>
              <w:t xml:space="preserve">0,24</w:t>
            </w:r>
          </w:p>
        </w:tc>
        <w:tc>
          <w:tcPr/>
          <w:p>
            <w:pPr>
              <w:pStyle w:val="Compact"/>
              <w:jc w:val="left"/>
            </w:pPr>
            <w:r>
              <w:t xml:space="preserve">0,40</w:t>
            </w:r>
          </w:p>
        </w:tc>
      </w:tr>
      <w:tr>
        <w:trPr>
          <w:cantSplit/>
        </w:trPr>
        <w:tc>
          <w:tcPr/>
          <w:p>
            <w:pPr>
              <w:pStyle w:val="Compact"/>
              <w:jc w:val="left"/>
            </w:pPr>
            <w:r>
              <w:t xml:space="preserve">δ = 4</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0,29</w:t>
            </w:r>
          </w:p>
        </w:tc>
        <w:tc>
          <w:tcPr/>
          <w:p>
            <w:pPr>
              <w:pStyle w:val="Compact"/>
              <w:jc w:val="left"/>
            </w:pPr>
            <w:r>
              <w:t xml:space="preserve">0,24</w:t>
            </w:r>
          </w:p>
        </w:tc>
        <w:tc>
          <w:tcPr/>
          <w:p>
            <w:pPr>
              <w:pStyle w:val="Compact"/>
              <w:jc w:val="left"/>
            </w:pPr>
            <w:r>
              <w:t xml:space="preserve">0,35</w:t>
            </w:r>
          </w:p>
        </w:tc>
      </w:tr>
      <w:tr>
        <w:trPr>
          <w:cantSplit/>
        </w:trPr>
        <w:tc>
          <w:tcPr/>
          <w:p>
            <w:pPr>
              <w:pStyle w:val="Compact"/>
              <w:jc w:val="left"/>
            </w:pPr>
            <w:r>
              <w:t xml:space="preserve">Half-life EWMA 12 tháng</w:t>
            </w:r>
          </w:p>
        </w:tc>
        <w:tc>
          <w:tcPr/>
          <w:p>
            <w:pPr>
              <w:pStyle w:val="Compact"/>
              <w:jc w:val="left"/>
            </w:pPr>
            <w:r>
              <w:t xml:space="preserve">0,29</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0,24</w:t>
            </w:r>
          </w:p>
        </w:tc>
        <w:tc>
          <w:tcPr/>
          <w:p>
            <w:pPr>
              <w:pStyle w:val="Compact"/>
              <w:jc w:val="left"/>
            </w:pPr>
            <w:r>
              <w:t xml:space="preserve">0,38</w:t>
            </w:r>
          </w:p>
        </w:tc>
      </w:tr>
      <w:tr>
        <w:trPr>
          <w:cantSplit/>
        </w:trPr>
        <w:tc>
          <w:tcPr/>
          <w:p>
            <w:pPr>
              <w:pStyle w:val="Compact"/>
              <w:jc w:val="left"/>
            </w:pPr>
            <w:r>
              <w:t xml:space="preserve">Half-life EWMA 24 tháng</w:t>
            </w:r>
          </w:p>
        </w:tc>
        <w:tc>
          <w:tcPr/>
          <w:p>
            <w:pPr>
              <w:pStyle w:val="Compact"/>
              <w:jc w:val="left"/>
            </w:pPr>
            <w:r>
              <w:t xml:space="preserve">0,29</w:t>
            </w:r>
          </w:p>
        </w:tc>
        <w:tc>
          <w:tcPr/>
          <w:p>
            <w:pPr>
              <w:pStyle w:val="Compact"/>
              <w:jc w:val="left"/>
            </w:pPr>
            <w:r>
              <w:t xml:space="preserve">0,19</w:t>
            </w:r>
          </w:p>
        </w:tc>
        <w:tc>
          <w:tcPr/>
          <w:p>
            <w:pPr>
              <w:pStyle w:val="Compact"/>
              <w:jc w:val="left"/>
            </w:pPr>
            <w:r>
              <w:t xml:space="preserve">0,30</w:t>
            </w:r>
          </w:p>
        </w:tc>
        <w:tc>
          <w:tcPr/>
          <w:p>
            <w:pPr>
              <w:pStyle w:val="Compact"/>
              <w:jc w:val="left"/>
            </w:pPr>
            <w:r>
              <w:t xml:space="preserve">0,24</w:t>
            </w:r>
          </w:p>
        </w:tc>
        <w:tc>
          <w:tcPr/>
          <w:p>
            <w:pPr>
              <w:pStyle w:val="Compact"/>
              <w:jc w:val="left"/>
            </w:pPr>
            <w:r>
              <w:t xml:space="preserve">0,37</w:t>
            </w:r>
          </w:p>
        </w:tc>
      </w:tr>
      <w:tr>
        <w:trPr>
          <w:cantSplit/>
        </w:trPr>
        <w:tc>
          <w:tcPr/>
          <w:p>
            <w:pPr>
              <w:pStyle w:val="Compact"/>
              <w:jc w:val="left"/>
            </w:pPr>
            <w:r>
              <w:t xml:space="preserve">Cửa sổ trượt 24 tháng</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0,41</w:t>
            </w:r>
          </w:p>
        </w:tc>
      </w:tr>
      <w:tr>
        <w:trPr>
          <w:cantSplit/>
        </w:trPr>
        <w:tc>
          <w:tcPr/>
          <w:p>
            <w:pPr>
              <w:pStyle w:val="Compact"/>
              <w:jc w:val="left"/>
            </w:pPr>
            <w:r>
              <w:t xml:space="preserve">Cửa sổ trượt 36 tháng</w:t>
            </w:r>
          </w:p>
        </w:tc>
        <w:tc>
          <w:tcPr/>
          <w:p>
            <w:pPr>
              <w:pStyle w:val="Compact"/>
              <w:jc w:val="left"/>
            </w:pPr>
            <w:r>
              <w:t xml:space="preserve">0,29</w:t>
            </w:r>
          </w:p>
        </w:tc>
        <w:tc>
          <w:tcPr/>
          <w:p>
            <w:pPr>
              <w:pStyle w:val="Compact"/>
              <w:jc w:val="left"/>
            </w:pPr>
            <w:r>
              <w:t xml:space="preserve">0,20</w:t>
            </w:r>
          </w:p>
        </w:tc>
        <w:tc>
          <w:tcPr/>
          <w:p>
            <w:pPr>
              <w:pStyle w:val="Compact"/>
              <w:jc w:val="left"/>
            </w:pPr>
            <w:r>
              <w:t xml:space="preserve">0,31</w:t>
            </w:r>
          </w:p>
        </w:tc>
        <w:tc>
          <w:tcPr/>
          <w:p>
            <w:pPr>
              <w:pStyle w:val="Compact"/>
              <w:jc w:val="left"/>
            </w:pPr>
            <w:r>
              <w:t xml:space="preserve">0,24</w:t>
            </w:r>
          </w:p>
        </w:tc>
        <w:tc>
          <w:tcPr/>
          <w:p>
            <w:pPr>
              <w:pStyle w:val="Compact"/>
              <w:jc w:val="left"/>
            </w:pPr>
            <w:r>
              <w:t xml:space="preserve">0,39</w:t>
            </w:r>
          </w:p>
        </w:tc>
      </w:tr>
      <w:tr>
        <w:trPr>
          <w:cantSplit/>
        </w:trPr>
        <w:tc>
          <w:tcPr/>
          <w:p>
            <w:pPr>
              <w:pStyle w:val="Compact"/>
              <w:jc w:val="left"/>
            </w:pPr>
            <w:r>
              <w:t xml:space="preserve">Lãi tiền gửi +0,5 điểm %</w:t>
            </w:r>
          </w:p>
        </w:tc>
        <w:tc>
          <w:tcPr/>
          <w:p>
            <w:pPr>
              <w:pStyle w:val="Compact"/>
              <w:jc w:val="left"/>
            </w:pPr>
            <w:r>
              <w:t xml:space="preserve">0,25</w:t>
            </w:r>
          </w:p>
        </w:tc>
        <w:tc>
          <w:tcPr/>
          <w:p>
            <w:pPr>
              <w:pStyle w:val="Compact"/>
              <w:jc w:val="left"/>
            </w:pPr>
            <w:r>
              <w:t xml:space="preserve">0,16</w:t>
            </w:r>
          </w:p>
        </w:tc>
        <w:tc>
          <w:tcPr/>
          <w:p>
            <w:pPr>
              <w:pStyle w:val="Compact"/>
              <w:jc w:val="left"/>
            </w:pPr>
            <w:r>
              <w:t xml:space="preserve">0,24</w:t>
            </w:r>
          </w:p>
        </w:tc>
        <w:tc>
          <w:tcPr/>
          <w:p>
            <w:pPr>
              <w:pStyle w:val="Compact"/>
              <w:jc w:val="left"/>
            </w:pPr>
            <w:r>
              <w:t xml:space="preserve">0,19</w:t>
            </w:r>
          </w:p>
        </w:tc>
        <w:tc>
          <w:tcPr/>
          <w:p>
            <w:pPr>
              <w:pStyle w:val="Compact"/>
              <w:jc w:val="left"/>
            </w:pPr>
            <w:r>
              <w:t xml:space="preserve">0,30</w:t>
            </w:r>
          </w:p>
        </w:tc>
      </w:tr>
      <w:tr>
        <w:trPr>
          <w:cantSplit/>
        </w:trPr>
        <w:tc>
          <w:tcPr/>
          <w:p>
            <w:pPr>
              <w:pStyle w:val="Compact"/>
              <w:jc w:val="left"/>
            </w:pPr>
            <w:r>
              <w:t xml:space="preserve">Lãi tiền gửi +1,0 điểm %</w:t>
            </w:r>
          </w:p>
        </w:tc>
        <w:tc>
          <w:tcPr/>
          <w:p>
            <w:pPr>
              <w:pStyle w:val="Compact"/>
              <w:jc w:val="left"/>
            </w:pPr>
            <w:r>
              <w:t xml:space="preserve">0,21</w:t>
            </w:r>
          </w:p>
        </w:tc>
        <w:tc>
          <w:tcPr/>
          <w:p>
            <w:pPr>
              <w:pStyle w:val="Compact"/>
              <w:jc w:val="left"/>
            </w:pPr>
            <w:r>
              <w:t xml:space="preserve">0,11</w:t>
            </w:r>
          </w:p>
        </w:tc>
        <w:tc>
          <w:tcPr/>
          <w:p>
            <w:pPr>
              <w:pStyle w:val="Compact"/>
              <w:jc w:val="left"/>
            </w:pPr>
            <w:r>
              <w:t xml:space="preserve">0,19</w:t>
            </w:r>
          </w:p>
        </w:tc>
        <w:tc>
          <w:tcPr/>
          <w:p>
            <w:pPr>
              <w:pStyle w:val="Compact"/>
              <w:jc w:val="left"/>
            </w:pPr>
            <w:r>
              <w:t xml:space="preserve">0,14</w:t>
            </w:r>
          </w:p>
        </w:tc>
        <w:tc>
          <w:tcPr/>
          <w:p>
            <w:pPr>
              <w:pStyle w:val="Compact"/>
              <w:jc w:val="left"/>
            </w:pPr>
            <w:r>
              <w:t xml:space="preserve">0,26</w:t>
            </w:r>
          </w:p>
        </w:tc>
      </w:tr>
      <w:tr>
        <w:trPr>
          <w:cantSplit/>
        </w:trPr>
        <w:tc>
          <w:tcPr/>
          <w:p>
            <w:pPr>
              <w:pStyle w:val="Compact"/>
              <w:jc w:val="left"/>
            </w:pPr>
            <w:r>
              <w:t xml:space="preserve">Phí đồng nhất 0,15%</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0,30</w:t>
            </w:r>
          </w:p>
        </w:tc>
        <w:tc>
          <w:tcPr/>
          <w:p>
            <w:pPr>
              <w:pStyle w:val="Compact"/>
              <w:jc w:val="left"/>
            </w:pPr>
            <w:r>
              <w:t xml:space="preserve">0,24</w:t>
            </w:r>
          </w:p>
        </w:tc>
        <w:tc>
          <w:tcPr/>
          <w:p>
            <w:pPr>
              <w:pStyle w:val="Compact"/>
              <w:jc w:val="left"/>
            </w:pPr>
            <w:r>
              <w:t xml:space="preserve">0,42</w:t>
            </w:r>
          </w:p>
        </w:tc>
      </w:tr>
      <w:tr>
        <w:trPr>
          <w:cantSplit/>
        </w:trPr>
        <w:tc>
          <w:tcPr/>
          <w:p>
            <w:pPr>
              <w:pStyle w:val="Compact"/>
              <w:jc w:val="left"/>
            </w:pPr>
            <w:r>
              <w:t xml:space="preserve">Bản 6 lớp gốc</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0,29</w:t>
            </w:r>
          </w:p>
        </w:tc>
        <w:tc>
          <w:tcPr/>
          <w:p>
            <w:pPr>
              <w:pStyle w:val="Compact"/>
              <w:jc w:val="left"/>
            </w:pPr>
            <w:r>
              <w:t xml:space="preserve">0,21</w:t>
            </w:r>
          </w:p>
        </w:tc>
        <w:tc>
          <w:tcPr/>
          <w:p>
            <w:pPr>
              <w:pStyle w:val="Compact"/>
              <w:jc w:val="left"/>
            </w:pPr>
            <w:r>
              <w:t xml:space="preserve">0,32</w:t>
            </w:r>
          </w:p>
        </w:tc>
      </w:tr>
      <w:tr>
        <w:trPr>
          <w:cantSplit/>
        </w:trPr>
        <w:tc>
          <w:tcPr/>
          <w:p>
            <w:pPr>
              <w:pStyle w:val="Compact"/>
              <w:jc w:val="left"/>
            </w:pPr>
            <w:r>
              <w:t xml:space="preserve">Bỏ giá vàng dựng lại (47 tháng)</w:t>
            </w:r>
          </w:p>
        </w:tc>
        <w:tc>
          <w:tcPr/>
          <w:p>
            <w:pPr>
              <w:pStyle w:val="Compact"/>
              <w:jc w:val="left"/>
            </w:pPr>
            <w:r>
              <w:t xml:space="preserve">0,06</w:t>
            </w:r>
          </w:p>
        </w:tc>
        <w:tc>
          <w:tcPr/>
          <w:p>
            <w:pPr>
              <w:pStyle w:val="Compact"/>
              <w:jc w:val="left"/>
            </w:pPr>
            <w:r>
              <w:t xml:space="preserve">0,21</w:t>
            </w:r>
          </w:p>
        </w:tc>
        <w:tc>
          <w:tcPr/>
          <w:p>
            <w:pPr>
              <w:pStyle w:val="Compact"/>
              <w:jc w:val="left"/>
            </w:pPr>
            <w:r>
              <w:t xml:space="preserve">0,16</w:t>
            </w:r>
          </w:p>
        </w:tc>
        <w:tc>
          <w:tcPr/>
          <w:p>
            <w:pPr>
              <w:pStyle w:val="Compact"/>
              <w:jc w:val="left"/>
            </w:pPr>
            <w:r>
              <w:t xml:space="preserve">0,13</w:t>
            </w:r>
          </w:p>
        </w:tc>
        <w:tc>
          <w:tcPr/>
          <w:p>
            <w:pPr>
              <w:pStyle w:val="Compact"/>
              <w:jc w:val="left"/>
            </w:pPr>
            <w:r>
              <w:t xml:space="preserve">−0,20</w:t>
            </w:r>
          </w:p>
        </w:tc>
      </w:tr>
    </w:tbl>
    <w:p>
      <w:pPr>
        <w:pStyle w:val="BodyText"/>
        <w:spacing w:before="200"/>
      </w:pPr>
      <w:r>
        <w:rPr>
          <w:iCs/>
          <w:i/>
        </w:rPr>
        <w:t xml:space="preserve">Hai biến thể</w:t>
      </w:r>
      <w:r>
        <w:rPr>
          <w:iCs/>
          <w:i/>
        </w:rPr>
        <w:t xml:space="preserve"> </w:t>
      </w:r>
      <w:r>
        <w:rPr>
          <w:iCs/>
          <w:i/>
        </w:rPr>
        <w:t xml:space="preserve">“</w:t>
      </w:r>
      <w:r>
        <w:rPr>
          <w:iCs/>
          <w:i/>
        </w:rPr>
        <w:t xml:space="preserve">tắt chênh lệch kỳ hạn phần tiền mặt</w:t>
      </w:r>
      <w:r>
        <w:rPr>
          <w:iCs/>
          <w:i/>
        </w:rPr>
        <w:t xml:space="preserve">”</w:t>
      </w:r>
      <w:r>
        <w:rPr>
          <w:iCs/>
          <w:i/>
        </w:rPr>
        <w:t xml:space="preserve"> </w:t>
      </w:r>
      <w:r>
        <w:rPr>
          <w:iCs/>
          <w:i/>
        </w:rPr>
        <w:t xml:space="preserve">và</w:t>
      </w:r>
      <w:r>
        <w:rPr>
          <w:iCs/>
          <w:i/>
        </w:rPr>
        <w:t xml:space="preserve"> </w:t>
      </w:r>
      <w:r>
        <w:rPr>
          <w:iCs/>
          <w:i/>
        </w:rPr>
        <w:t xml:space="preserve">“</w:t>
      </w:r>
      <w:r>
        <w:rPr>
          <w:iCs/>
          <w:i/>
        </w:rPr>
        <w:t xml:space="preserve">cho phép quan điểm trái phiếu</w:t>
      </w:r>
      <w:r>
        <w:rPr>
          <w:iCs/>
          <w:i/>
        </w:rPr>
        <w:t xml:space="preserve">”</w:t>
      </w:r>
      <w:r>
        <w:rPr>
          <w:iCs/>
          <w:i/>
        </w:rPr>
        <w:t xml:space="preserve"> </w:t>
      </w:r>
      <w:r>
        <w:rPr>
          <w:iCs/>
          <w:i/>
        </w:rPr>
        <w:t xml:space="preserve">cho kết quả trùng bản gốc nên không liệt kê; lý do được giải thích ngay dưới bảng.</w:t>
      </w:r>
    </w:p>
    <w:p>
      <w:pPr>
        <w:pStyle w:val="BodyText"/>
      </w:pPr>
      <w:r>
        <w:t xml:space="preserve">Hai biến thể cho kết quả trùng bản gốc không phải do lỗi cài đặt mà có lý do cụ thể. Với biến thể</w:t>
      </w:r>
      <w:r>
        <w:t xml:space="preserve"> </w:t>
      </w:r>
      <w:r>
        <w:rPr>
          <w:iCs/>
          <w:i/>
        </w:rPr>
        <w:t xml:space="preserve">cho phép quan điểm trái phiếu</w:t>
      </w:r>
      <w:r>
        <w:t xml:space="preserve">, bộ lọc kỹ năng vẫn được áp dụng, và trong cả 34 lần tái cân bằng, R²</w:t>
      </w:r>
      <w:r>
        <w:rPr>
          <w:vertAlign w:val="subscript"/>
        </w:rPr>
        <w:t xml:space="preserve">OS</w:t>
      </w:r>
      <w:r>
        <w:t xml:space="preserve"> </w:t>
      </w:r>
      <w:r>
        <w:t xml:space="preserve">tích lũy đến thời điểm quyết định của Elastic Net cho trái phiếu đều âm (từ −7,0% đến −1,8%); vì vậy không có quan điểm trái phiếu nào được đưa vào và danh mục không đổi. Điều này có vẻ mâu thuẫn với R²</w:t>
      </w:r>
      <w:r>
        <w:rPr>
          <w:vertAlign w:val="subscript"/>
        </w:rPr>
        <w:t xml:space="preserve">OS</w:t>
      </w:r>
      <w:r>
        <w:t xml:space="preserve"> </w:t>
      </w:r>
      <w:r>
        <w:t xml:space="preserve">dương 9,9% của trái phiếu trong Bảng 4.4, nhưng con số ở Bảng 4.4 được tính gộp cho toàn giai đoạn kiểm tra, còn bộ lọc chỉ dùng các tháng đã qua tại từng thời điểm quyết định, bao gồm cả những tháng đầu mà mô hình dự báo trái phiếu rất kém. Với biến thể</w:t>
      </w:r>
      <w:r>
        <w:t xml:space="preserve"> </w:t>
      </w:r>
      <w:r>
        <w:rPr>
          <w:iCs/>
          <w:i/>
        </w:rPr>
        <w:t xml:space="preserve">tắt chênh lệch kỳ hạn</w:t>
      </w:r>
      <w:r>
        <w:t xml:space="preserve">, chênh lệch giả định chỉ là phương án dự phòng khi thiếu lãi suất thực kỳ hạn 1 và 3 tháng; trong giai đoạn kiểm tra, chuỗi lãi suất thực của Vietcombank có đủ mọi tháng (chênh lệch thực giữa kỳ hạn 12 tháng với 1 tháng bình quân 2,65 điểm %, với 3 tháng 2,27 điểm %), nên giả định dự phòng không bao giờ được dùng và tắt nó không làm thay đổi kết quả.</w:t>
      </w:r>
    </w:p>
    <w:p>
      <w:pPr>
        <w:pStyle w:val="BodyText"/>
      </w:pPr>
      <w:r>
        <w:t xml:space="preserve">Với các tham số ước lượng (δ, half-life, cửa sổ) và chi phí, BL giữ vị trí cao nhất trong mọi biến thể với Sharpe 0,35–0,42; EW, Risk Parity và HRP gần như không đổi vì không dùng ước lượng lợi nhuận. Markowitz nhạy nhất (0,11–0,28), đúng với nhận định của Michaud (1989) và Chopra và Ziemba (1993) về sai số ước lượng lợi nhuận kỳ vọng: chỉ thay đổi hệ số ngại rủi ro từ 1,5 sang 4 đã làm Sharpe của Markowitz tăng gần gấp ba. Nâng lãi phi rủi ro làm mọi Sharpe giảm đều nhau và không đổi thứ hạng. Bản 6 lớp gốc làm giảm Sharpe của hầu hết phương pháp, vì tách VN-Index (không đầu tư trực tiếp được, không gồm cổ tức) thành một lớp riêng chỉ thêm một tài sản gần trùng với ETF.</w:t>
      </w:r>
    </w:p>
    <w:p>
      <w:pPr>
        <w:pStyle w:val="BodyText"/>
      </w:pPr>
      <w:r>
        <w:rPr>
          <w:bCs/>
          <w:b/>
        </w:rPr>
        <w:t xml:space="preserve">Ngoại lệ quan trọng là giai đoạn vàng.</w:t>
      </w:r>
      <w:r>
        <w:t xml:space="preserve"> </w:t>
      </w:r>
      <w:r>
        <w:t xml:space="preserve">Khi bỏ giá vàng dựng lại, vàng chỉ vào danh mục khi có đủ 24 tháng giá thật và giai đoạn kiểm tra rút còn 47 tháng. Trong điều kiện này BL giảm xuống −0,20 và Markowitz (0,21) đứng đầu. Điều này cho thấy lợi thế của BL phụ thuộc vào việc có vàng trong danh mục và vào giai đoạn mẫu; với 47 tháng, mọi chênh lệch còn kém tin cậy hơn nữa.</w:t>
      </w:r>
    </w:p>
    <w:bookmarkEnd w:id="124"/>
    <w:bookmarkStart w:id="125" w:name="mô-phỏng-bootstrap"/>
    <w:p>
      <w:pPr>
        <w:pStyle w:val="Heading3"/>
      </w:pPr>
      <w:r>
        <w:t xml:space="preserve">4.6.2 Mô phỏng bootstrap</w:t>
      </w:r>
    </w:p>
    <w:p>
      <w:pPr>
        <w:pStyle w:val="TableCaption"/>
      </w:pPr>
      <w:r>
        <w:t xml:space="preserve">Bảng 4.17. Sharpe ngoài mẫu trên 1.000 lịch sử mô phỏng (stationary bootstrap)</w:t>
      </w:r>
    </w:p>
    <w:tbl>
      <w:tblPr>
        <w:tblStyle w:val="Table"/>
        <w:tblW w:type="pct" w:w="5000"/>
        <w:jc w:val="center"/>
        <w:tblLook w:firstRow="1" w:lastRow="0" w:firstColumn="0" w:lastColumn="0" w:noHBand="0" w:noVBand="0" w:val="0020"/>
        <w:tblCaption w:val="Bảng 4.17. Sharpe ngoài mẫu trên 1.000 lịch sử mô phỏng (stationary bootstrap)"/>
      </w:tblPr>
      <w:tblGrid>
        <w:gridCol w:w="2514"/>
        <w:gridCol w:w="1257"/>
        <w:gridCol w:w="1257"/>
        <w:gridCol w:w="1257"/>
        <w:gridCol w:w="1634"/>
      </w:tblGrid>
      <w:tr>
        <w:trPr>
          <w:tblHeader w:val="true"/>
        </w:trPr>
        <w:tc>
          <w:tcPr/>
          <w:p>
            <w:pPr>
              <w:pStyle w:val="Compact"/>
              <w:jc w:val="center"/>
            </w:pPr>
            <w:r>
              <w:rPr>
                <w:b/>
              </w:rPr>
              <w:t xml:space="preserve">Phương pháp</w:t>
            </w:r>
          </w:p>
        </w:tc>
        <w:tc>
          <w:tcPr/>
          <w:p>
            <w:pPr>
              <w:pStyle w:val="Compact"/>
              <w:jc w:val="center"/>
            </w:pPr>
            <w:r>
              <w:rPr>
                <w:b/>
              </w:rPr>
              <w:t xml:space="preserve">Trung vị</w:t>
            </w:r>
          </w:p>
        </w:tc>
        <w:tc>
          <w:tcPr/>
          <w:p>
            <w:pPr>
              <w:pStyle w:val="Compact"/>
              <w:jc w:val="center"/>
            </w:pPr>
            <w:r>
              <w:rPr>
                <w:b/>
              </w:rPr>
              <w:t xml:space="preserve">Phân vị 5%</w:t>
            </w:r>
          </w:p>
        </w:tc>
        <w:tc>
          <w:tcPr/>
          <w:p>
            <w:pPr>
              <w:pStyle w:val="Compact"/>
              <w:jc w:val="center"/>
            </w:pPr>
            <w:r>
              <w:rPr>
                <w:b/>
              </w:rPr>
              <w:t xml:space="preserve">Phân vị 95%</w:t>
            </w:r>
          </w:p>
        </w:tc>
        <w:tc>
          <w:tcPr/>
          <w:p>
            <w:pPr>
              <w:pStyle w:val="Compact"/>
              <w:jc w:val="center"/>
            </w:pPr>
            <w:r>
              <w:rPr>
                <w:b/>
              </w:rPr>
              <w:t xml:space="preserve">Xác suất đứng đầu</w:t>
            </w:r>
          </w:p>
        </w:tc>
      </w:tr>
      <w:tr>
        <w:trPr>
          <w:cantSplit/>
        </w:trPr>
        <w:tc>
          <w:tcPr/>
          <w:p>
            <w:pPr>
              <w:pStyle w:val="Compact"/>
              <w:jc w:val="left"/>
            </w:pPr>
            <w:r>
              <w:t xml:space="preserve">Markowitz</w:t>
            </w:r>
          </w:p>
        </w:tc>
        <w:tc>
          <w:tcPr/>
          <w:p>
            <w:pPr>
              <w:pStyle w:val="Compact"/>
              <w:jc w:val="left"/>
            </w:pPr>
            <w:r>
              <w:t xml:space="preserve">0,61</w:t>
            </w:r>
          </w:p>
        </w:tc>
        <w:tc>
          <w:tcPr/>
          <w:p>
            <w:pPr>
              <w:pStyle w:val="Compact"/>
              <w:jc w:val="left"/>
            </w:pPr>
            <w:r>
              <w:t xml:space="preserve">−0,08</w:t>
            </w:r>
          </w:p>
        </w:tc>
        <w:tc>
          <w:tcPr/>
          <w:p>
            <w:pPr>
              <w:pStyle w:val="Compact"/>
              <w:jc w:val="left"/>
            </w:pPr>
            <w:r>
              <w:t xml:space="preserve">1,32</w:t>
            </w:r>
          </w:p>
        </w:tc>
        <w:tc>
          <w:tcPr/>
          <w:p>
            <w:pPr>
              <w:pStyle w:val="Compact"/>
              <w:jc w:val="left"/>
            </w:pPr>
            <w:r>
              <w:t xml:space="preserve">42,6%</w:t>
            </w:r>
          </w:p>
        </w:tc>
      </w:tr>
      <w:tr>
        <w:trPr>
          <w:cantSplit/>
        </w:trPr>
        <w:tc>
          <w:tcPr/>
          <w:p>
            <w:pPr>
              <w:pStyle w:val="Compact"/>
              <w:jc w:val="left"/>
            </w:pPr>
            <w:r>
              <w:t xml:space="preserve">Risk Parity</w:t>
            </w:r>
          </w:p>
        </w:tc>
        <w:tc>
          <w:tcPr/>
          <w:p>
            <w:pPr>
              <w:pStyle w:val="Compact"/>
              <w:jc w:val="left"/>
            </w:pPr>
            <w:r>
              <w:t xml:space="preserve">0,57</w:t>
            </w:r>
          </w:p>
        </w:tc>
        <w:tc>
          <w:tcPr/>
          <w:p>
            <w:pPr>
              <w:pStyle w:val="Compact"/>
              <w:jc w:val="left"/>
            </w:pPr>
            <w:r>
              <w:t xml:space="preserve">−0,20</w:t>
            </w:r>
          </w:p>
        </w:tc>
        <w:tc>
          <w:tcPr/>
          <w:p>
            <w:pPr>
              <w:pStyle w:val="Compact"/>
              <w:jc w:val="left"/>
            </w:pPr>
            <w:r>
              <w:t xml:space="preserve">1,31</w:t>
            </w:r>
          </w:p>
        </w:tc>
        <w:tc>
          <w:tcPr/>
          <w:p>
            <w:pPr>
              <w:pStyle w:val="Compact"/>
              <w:jc w:val="left"/>
            </w:pPr>
            <w:r>
              <w:t xml:space="preserve">21,7%</w:t>
            </w:r>
          </w:p>
        </w:tc>
      </w:tr>
      <w:tr>
        <w:trPr>
          <w:cantSplit/>
        </w:trPr>
        <w:tc>
          <w:tcPr/>
          <w:p>
            <w:pPr>
              <w:pStyle w:val="Compact"/>
              <w:jc w:val="left"/>
            </w:pPr>
            <w:r>
              <w:t xml:space="preserve">Black–Litterman</w:t>
            </w:r>
          </w:p>
        </w:tc>
        <w:tc>
          <w:tcPr/>
          <w:p>
            <w:pPr>
              <w:pStyle w:val="Compact"/>
              <w:jc w:val="left"/>
            </w:pPr>
            <w:r>
              <w:t xml:space="preserve">0,56</w:t>
            </w:r>
          </w:p>
        </w:tc>
        <w:tc>
          <w:tcPr/>
          <w:p>
            <w:pPr>
              <w:pStyle w:val="Compact"/>
              <w:jc w:val="left"/>
            </w:pPr>
            <w:r>
              <w:t xml:space="preserve">−0,18</w:t>
            </w:r>
          </w:p>
        </w:tc>
        <w:tc>
          <w:tcPr/>
          <w:p>
            <w:pPr>
              <w:pStyle w:val="Compact"/>
              <w:jc w:val="left"/>
            </w:pPr>
            <w:r>
              <w:t xml:space="preserve">1,29</w:t>
            </w:r>
          </w:p>
        </w:tc>
        <w:tc>
          <w:tcPr/>
          <w:p>
            <w:pPr>
              <w:pStyle w:val="Compact"/>
              <w:jc w:val="left"/>
            </w:pPr>
            <w:r>
              <w:t xml:space="preserve">19,2%</w:t>
            </w:r>
          </w:p>
        </w:tc>
      </w:tr>
      <w:tr>
        <w:trPr>
          <w:cantSplit/>
        </w:trPr>
        <w:tc>
          <w:tcPr/>
          <w:p>
            <w:pPr>
              <w:pStyle w:val="Compact"/>
              <w:jc w:val="left"/>
            </w:pPr>
            <w:r>
              <w:t xml:space="preserve">HRP</w:t>
            </w:r>
          </w:p>
        </w:tc>
        <w:tc>
          <w:tcPr/>
          <w:p>
            <w:pPr>
              <w:pStyle w:val="Compact"/>
              <w:jc w:val="left"/>
            </w:pPr>
            <w:r>
              <w:t xml:space="preserve">0,53</w:t>
            </w:r>
          </w:p>
        </w:tc>
        <w:tc>
          <w:tcPr/>
          <w:p>
            <w:pPr>
              <w:pStyle w:val="Compact"/>
              <w:jc w:val="left"/>
            </w:pPr>
            <w:r>
              <w:t xml:space="preserve">−0,20</w:t>
            </w:r>
          </w:p>
        </w:tc>
        <w:tc>
          <w:tcPr/>
          <w:p>
            <w:pPr>
              <w:pStyle w:val="Compact"/>
              <w:jc w:val="left"/>
            </w:pPr>
            <w:r>
              <w:t xml:space="preserve">1,29</w:t>
            </w:r>
          </w:p>
        </w:tc>
        <w:tc>
          <w:tcPr/>
          <w:p>
            <w:pPr>
              <w:pStyle w:val="Compact"/>
              <w:jc w:val="left"/>
            </w:pPr>
            <w:r>
              <w:t xml:space="preserve">11,2%</w:t>
            </w:r>
          </w:p>
        </w:tc>
      </w:tr>
      <w:tr>
        <w:trPr>
          <w:cantSplit/>
        </w:trPr>
        <w:tc>
          <w:tcPr/>
          <w:p>
            <w:pPr>
              <w:pStyle w:val="Compact"/>
              <w:jc w:val="left"/>
            </w:pPr>
            <w:r>
              <w:t xml:space="preserve">Equal Weight</w:t>
            </w:r>
          </w:p>
        </w:tc>
        <w:tc>
          <w:tcPr/>
          <w:p>
            <w:pPr>
              <w:pStyle w:val="Compact"/>
              <w:jc w:val="left"/>
            </w:pPr>
            <w:r>
              <w:t xml:space="preserve">0,53</w:t>
            </w:r>
          </w:p>
        </w:tc>
        <w:tc>
          <w:tcPr/>
          <w:p>
            <w:pPr>
              <w:pStyle w:val="Compact"/>
              <w:jc w:val="left"/>
            </w:pPr>
            <w:r>
              <w:t xml:space="preserve">−0,28</w:t>
            </w:r>
          </w:p>
        </w:tc>
        <w:tc>
          <w:tcPr/>
          <w:p>
            <w:pPr>
              <w:pStyle w:val="Compact"/>
              <w:jc w:val="left"/>
            </w:pPr>
            <w:r>
              <w:t xml:space="preserve">1,30</w:t>
            </w:r>
          </w:p>
        </w:tc>
        <w:tc>
          <w:tcPr/>
          <w:p>
            <w:pPr>
              <w:pStyle w:val="Compact"/>
              <w:jc w:val="left"/>
            </w:pPr>
            <w:r>
              <w:t xml:space="preserve">5,3%</w:t>
            </w:r>
          </w:p>
        </w:tc>
      </w:tr>
    </w:tbl>
    <w:p>
      <w:pPr>
        <w:pStyle w:val="BodyText"/>
        <w:spacing w:before="200"/>
      </w:pPr>
      <w:r>
        <w:t xml:space="preserve">Xác suất theo cặp: P(Markowitz &gt; EW) = 0,67; P(Risk Parity &gt; EW) = 0,70; P(HRP &gt; EW) = 0,52; P(BL &gt; Markowitz) = 0,36.</w:t>
      </w:r>
    </w:p>
    <w:p>
      <w:pPr>
        <w:pStyle w:val="BodyText"/>
      </w:pPr>
      <w:r>
        <w:t xml:space="preserve">Mô phỏng cho một bức tranh khác lịch sử thực: trên các lịch sử được lấy mẫu lại, Markowitz đứng đầu nhiều nhất và BL chỉ vượt Markowitz trong 36% trường hợp. Khoảng 5%–95% của mọi phương pháp đều rất rộng (khoảng 1,5 đơn vị Sharpe) và chồng lấn gần như hoàn toàn. Trung vị Sharpe trong mô phỏng (0,53–0,61) cao hơn Sharpe thực tế (0,20–0,37). Nguyên nhân là stationary bootstrap lấy mẫu từ toàn bộ 126 tháng của panel, kể cả 23 tháng 2016–2017 vốn chỉ dùng để khởi động và không nằm trong giai đoạn kiểm tra thực. Đây là giai đoạn cổ phiếu tăng rất mạnh, trái phiếu có hai tháng tăng đột biến và cả năm lớp đều có lợi nhuận dương, nên các tháng của nó làm tăng lợi nhuận trung bình của mọi lịch sử mô phỏng. Vì vậy mức Sharpe tuyệt đối trong mô phỏng không so sánh trực tiếp được với lịch sử thực; điều có ý nghĩa là thứ hạng tương đối và mức chồng lấn giữa các phương pháp. Việc Markowitz đứng đầu nhiều nhất trong mô phỏng cũng nhất quán với lập luận này: khi các tháng thuận lợi cho cổ phiếu xuất hiện nhiều hơn, phương pháp giữ cổ phiếu ở mức cao và ổn định (Markowitz giữ trung bình 33,5% cổ phiếu, Bảng 4.11) được lợi. Hai lưu ý khác khi đọc: BL trong mô phỏng dùng siêu tham số Elastic Net cố định, và bootstrap phá vỡ một phần cấu trúc động lượng dài hạn mà dự báo khai thác. Dù vậy, kết quả củng cố kết luận ở mục 4.5: thứ hạng quan sát được trên lịch sử thực không ổn định.</w:t>
      </w:r>
    </w:p>
    <w:p>
      <w:pPr>
        <w:pStyle w:val="BodyText"/>
      </w:pPr>
      <w:r>
        <w:t xml:space="preserve">Risk Parity là phương pháp duy nhất vừa có Sharpe thực tế không thấp hơn EW, vừa có xác suất vượt EW cao nhất trong mô phỏng (70%). Đây là một trong các căn cứ để chọn Risk Parity cho ứng dụng tư vấn ở Chương 5.</w:t>
      </w:r>
    </w:p>
    <w:bookmarkEnd w:id="125"/>
    <w:bookmarkStart w:id="126" w:name="deflated-sharpe-ratio-1"/>
    <w:p>
      <w:pPr>
        <w:pStyle w:val="Heading3"/>
      </w:pPr>
      <w:r>
        <w:t xml:space="preserve">4.6.3 Deflated Sharpe Ratio</w:t>
      </w:r>
    </w:p>
    <w:p>
      <w:pPr>
        <w:pStyle w:val="FirstParagraph"/>
      </w:pPr>
      <w:r>
        <w:t xml:space="preserve">Với N = 63 cấu hình đã thử, mức Sharpe năm hóa cần vượt để loại trừ yếu tố may mắn do chọn lọc là 0,37 (N = 252: 0,44). Không phương pháp nào đạt mức này. Deflated Sharpe của BL là 0,50 (N = 63) và 0,41 (N = 252), của MLP_MVO là 0,45 và 0,37, các phương pháp còn lại từ 0,24 đến 0,41, đều xa ngưỡng 0,95 thường dùng. Lợi nhuận của BL và MLP_MVO có độ lệch dương (0,35 và 0,41), một đặc điểm có lợi trong công thức DSR, nhưng không đủ bù cho Sharpe thấp và số cấu hình đã thử. Sau khi tính đến số cấu hình đã thử, không có bằng chứng phương pháp nào có Sharpe thực dương một cách thuyết phục.</w:t>
      </w:r>
    </w:p>
    <w:bookmarkEnd w:id="126"/>
    <w:bookmarkStart w:id="127" w:name="mức-độ-giống-nhau-giữa-các-phương-pháp"/>
    <w:p>
      <w:pPr>
        <w:pStyle w:val="Heading3"/>
      </w:pPr>
      <w:r>
        <w:t xml:space="preserve">4.6.4 Mức độ giống nhau giữa các phương pháp</w:t>
      </w:r>
    </w:p>
    <w:p>
      <w:pPr>
        <w:pStyle w:val="FirstParagraph"/>
      </w:pPr>
      <w:r>
        <w:t xml:space="preserve">Lợi nhuận tháng của các phương pháp tương quan rất cao với nhau: từ 0,81 (HRP và MLP_MVO) đến 0,99 (Risk Parity và HRP). Equal Weight, Risk Parity, HRP và RL tương quan với nhau từ 0,96 trở lên; BL và MLP_MVO khác biệt nhất với nhóm còn lại (0,81–0,92). Mức tương quan cao này có hai hệ quả. Thứ nhất, phần lớn biến động lợi nhuận đến từ yếu tố chung (dải khẩu vị buộc mọi phương pháp giữ cùng một mức rủi ro), nên chênh lệch giữa các phương pháp chỉ là một phần nhỏ của rủi ro tổng. Thứ hai, với tương quan cao, sai số chuẩn của chênh lệch Sharpe nhỏ hơn nhiều so với sai số chuẩn của từng Sharpe, nên kiểm định cặp vẫn có ý nghĩa thông tin dù độ mạnh chưa đủ.</w:t>
      </w:r>
    </w:p>
    <w:bookmarkEnd w:id="127"/>
    <w:bookmarkEnd w:id="128"/>
    <w:bookmarkStart w:id="134" w:name="phân-rã-đóng-góp-vào-hiệu-quả"/>
    <w:p>
      <w:pPr>
        <w:pStyle w:val="Heading2"/>
      </w:pPr>
      <w:r>
        <w:t xml:space="preserve">4.7 Phân rã đóng góp vào hiệu quả</w:t>
      </w:r>
    </w:p>
    <w:bookmarkStart w:id="132" w:name="đóng-góp-theo-lớp-tài-sản"/>
    <w:p>
      <w:pPr>
        <w:pStyle w:val="Heading3"/>
      </w:pPr>
      <w:r>
        <w:t xml:space="preserve">4.7.1 Đóng góp theo lớp tài sản</w:t>
      </w:r>
    </w:p>
    <w:p>
      <w:pPr>
        <w:pStyle w:val="CaptionedFigure"/>
      </w:pPr>
      <w:r>
        <w:drawing>
          <wp:inline>
            <wp:extent cx="5753100" cy="2922209"/>
            <wp:effectExtent b="0" l="0" r="0" t="0"/>
            <wp:docPr descr="Hình 4.6. Đóng góp của từng lớp vào lợi nhuận danh mục" title="" id="130" name="Picture"/>
            <a:graphic>
              <a:graphicData uri="http://schemas.openxmlformats.org/drawingml/2006/picture">
                <pic:pic>
                  <pic:nvPicPr>
                    <pic:cNvPr descr="img/h43.png" id="131" name="Picture"/>
                    <pic:cNvPicPr>
                      <a:picLocks noChangeArrowheads="1" noChangeAspect="1"/>
                    </pic:cNvPicPr>
                  </pic:nvPicPr>
                  <pic:blipFill>
                    <a:blip r:embed="rId129"/>
                    <a:stretch>
                      <a:fillRect/>
                    </a:stretch>
                  </pic:blipFill>
                  <pic:spPr bwMode="auto">
                    <a:xfrm>
                      <a:off x="0" y="0"/>
                      <a:ext cx="5753100" cy="2922209"/>
                    </a:xfrm>
                    <a:prstGeom prst="rect">
                      <a:avLst/>
                    </a:prstGeom>
                    <a:noFill/>
                    <a:ln w="9525">
                      <a:noFill/>
                      <a:headEnd/>
                      <a:tailEnd/>
                    </a:ln>
                  </pic:spPr>
                </pic:pic>
              </a:graphicData>
            </a:graphic>
          </wp:inline>
        </w:drawing>
      </w:r>
    </w:p>
    <w:p>
      <w:pPr>
        <w:pStyle w:val="ImageCaption"/>
      </w:pPr>
      <w:r>
        <w:t xml:space="preserve">Hình 4.6. Đóng góp của từng lớp vào lợi nhuận danh mục</w:t>
      </w:r>
    </w:p>
    <w:p>
      <w:pPr>
        <w:pStyle w:val="SourceNote"/>
      </w:pPr>
      <w:r>
        <w:t xml:space="preserve">Nguồn: Tác giả tính toán từ dữ liệu nghiên cứu.</w:t>
      </w:r>
    </w:p>
    <w:p>
      <w:pPr>
        <w:pStyle w:val="BodyText"/>
      </w:pPr>
      <w:r>
        <w:t xml:space="preserve">Nguồn lợi nhuận của các phương pháp khác nhau rõ rệt dù Sharpe gần nhau. BL lấy 54% lợi nhuận từ vàng (tỷ trọng vàng trung bình 27,6%), EW 38% (20%), trong khi Markowitz, Risk Parity và HRP dựa chủ yếu vào trái phiếu (37–43% lợi nhuận). HRP gần như không giữ vàng (tỷ trọng trung bình 4%) vì vàng có độ biến động cao hơn trái phiếu nhiều lần và được xếp vào cụm riêng. Kết quả này giải thích hai điều ở mục trước: BL thuận lợi nhất trong giai đoạn vàng tăng mạnh 2024–2025, và mất lợi thế khi bỏ giai đoạn vàng dựng lại (Bảng 4.16). Nó cũng nhất quán với Bảng 4.15: phương pháp nào giữ nhiều vàng thì hưởng lợi nhiều nhất từ việc mở rộng danh mục.</w:t>
      </w:r>
    </w:p>
    <w:bookmarkEnd w:id="132"/>
    <w:bookmarkStart w:id="133" w:name="X09189859cc0988f4a383fc99655c29b1435f8ce"/>
    <w:p>
      <w:pPr>
        <w:pStyle w:val="Heading3"/>
      </w:pPr>
      <w:r>
        <w:t xml:space="preserve">4.7.2 Tác động của dải khẩu vị và cách chia tỷ trọng</w:t>
      </w:r>
    </w:p>
    <w:p>
      <w:pPr>
        <w:pStyle w:val="FirstParagraph"/>
      </w:pPr>
      <w:r>
        <w:t xml:space="preserve">Sharpe của mỗi phương pháp được tách thành ba phần: hiệu ứng dải (so với cùng phương pháp không có dải khẩu vị), hiệu ứng chia trong nhóm (so với cùng tỷ trọng ba nhóm rủi ro/phòng thủ/tiền mặt nhưng chia đều trong mỗi nhóm), và hiệu ứng chia nhóm (so với EW cùng khẩu vị).</w:t>
      </w:r>
    </w:p>
    <w:p>
      <w:pPr>
        <w:pStyle w:val="TableCaption"/>
      </w:pPr>
      <w:r>
        <w:t xml:space="preserve">Bảng 4.18. Phân rã Sharpe, khẩu vị Cân bằng, khung Trung hạn</w:t>
      </w:r>
    </w:p>
    <w:tbl>
      <w:tblPr>
        <w:tblStyle w:val="Table"/>
        <w:tblW w:type="pct" w:w="5000"/>
        <w:jc w:val="center"/>
        <w:tblLook w:firstRow="1" w:lastRow="0" w:firstColumn="0" w:lastColumn="0" w:noHBand="0" w:noVBand="0" w:val="0020"/>
        <w:tblCaption w:val="Bảng 4.18. Phân rã Sharpe, khẩu vị Cân bằng, khung Trung hạn"/>
      </w:tblPr>
      <w:tblGrid>
        <w:gridCol w:w="1440"/>
        <w:gridCol w:w="792"/>
        <w:gridCol w:w="1007"/>
        <w:gridCol w:w="792"/>
        <w:gridCol w:w="1296"/>
        <w:gridCol w:w="1007"/>
        <w:gridCol w:w="1584"/>
      </w:tblGrid>
      <w:tr>
        <w:trPr>
          <w:tblHeader w:val="true"/>
        </w:trPr>
        <w:tc>
          <w:tcPr/>
          <w:p>
            <w:pPr>
              <w:pStyle w:val="Compact"/>
              <w:jc w:val="center"/>
            </w:pPr>
            <w:r>
              <w:rPr>
                <w:b/>
              </w:rPr>
              <w:t xml:space="preserve">Phương pháp</w:t>
            </w:r>
          </w:p>
        </w:tc>
        <w:tc>
          <w:tcPr/>
          <w:p>
            <w:pPr>
              <w:pStyle w:val="Compact"/>
              <w:jc w:val="center"/>
            </w:pPr>
            <w:r>
              <w:rPr>
                <w:b/>
              </w:rPr>
              <w:t xml:space="preserve">Sharpe thực tế</w:t>
            </w:r>
          </w:p>
        </w:tc>
        <w:tc>
          <w:tcPr/>
          <w:p>
            <w:pPr>
              <w:pStyle w:val="Compact"/>
              <w:jc w:val="center"/>
            </w:pPr>
            <w:r>
              <w:rPr>
                <w:b/>
              </w:rPr>
              <w:t xml:space="preserve">Sharpe không có dải</w:t>
            </w:r>
          </w:p>
        </w:tc>
        <w:tc>
          <w:tcPr/>
          <w:p>
            <w:pPr>
              <w:pStyle w:val="Compact"/>
              <w:jc w:val="center"/>
            </w:pPr>
            <w:r>
              <w:rPr>
                <w:b/>
              </w:rPr>
              <w:t xml:space="preserve">Hiệu ứng dải</w:t>
            </w:r>
          </w:p>
        </w:tc>
        <w:tc>
          <w:tcPr/>
          <w:p>
            <w:pPr>
              <w:pStyle w:val="Compact"/>
              <w:jc w:val="center"/>
            </w:pPr>
            <w:r>
              <w:rPr>
                <w:b/>
              </w:rPr>
              <w:t xml:space="preserve">Hiệu ứng chia trong nhóm</w:t>
            </w:r>
          </w:p>
        </w:tc>
        <w:tc>
          <w:tcPr/>
          <w:p>
            <w:pPr>
              <w:pStyle w:val="Compact"/>
              <w:jc w:val="center"/>
            </w:pPr>
            <w:r>
              <w:rPr>
                <w:b/>
              </w:rPr>
              <w:t xml:space="preserve">Hiệu ứng chia nhóm</w:t>
            </w:r>
          </w:p>
        </w:tc>
        <w:tc>
          <w:tcPr/>
          <w:p>
            <w:pPr>
              <w:pStyle w:val="Compact"/>
              <w:jc w:val="center"/>
            </w:pPr>
            <w:r>
              <w:rPr>
                <w:b/>
              </w:rPr>
              <w:t xml:space="preserve">Tỷ trọng rủi ro khi không có dải</w:t>
            </w:r>
          </w:p>
        </w:tc>
      </w:tr>
      <w:tr>
        <w:trPr>
          <w:cantSplit/>
        </w:trPr>
        <w:tc>
          <w:tcPr/>
          <w:p>
            <w:pPr>
              <w:pStyle w:val="Compact"/>
              <w:jc w:val="left"/>
            </w:pPr>
            <w:r>
              <w:t xml:space="preserve">Equal Weight</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40,1%</w:t>
            </w:r>
          </w:p>
        </w:tc>
      </w:tr>
      <w:tr>
        <w:trPr>
          <w:cantSplit/>
        </w:trPr>
        <w:tc>
          <w:tcPr/>
          <w:p>
            <w:pPr>
              <w:pStyle w:val="Compact"/>
              <w:jc w:val="left"/>
            </w:pPr>
            <w:r>
              <w:t xml:space="preserve">Markowitz</w:t>
            </w:r>
          </w:p>
        </w:tc>
        <w:tc>
          <w:tcPr/>
          <w:p>
            <w:pPr>
              <w:pStyle w:val="Compact"/>
              <w:jc w:val="left"/>
            </w:pPr>
            <w:r>
              <w:t xml:space="preserve">0,20</w:t>
            </w:r>
          </w:p>
        </w:tc>
        <w:tc>
          <w:tcPr/>
          <w:p>
            <w:pPr>
              <w:pStyle w:val="Compact"/>
              <w:jc w:val="left"/>
            </w:pPr>
            <w:r>
              <w:t xml:space="preserve">0,16</w:t>
            </w:r>
          </w:p>
        </w:tc>
        <w:tc>
          <w:tcPr/>
          <w:p>
            <w:pPr>
              <w:pStyle w:val="Compact"/>
              <w:jc w:val="left"/>
            </w:pPr>
            <w:r>
              <w:t xml:space="preserve">+0,04</w:t>
            </w:r>
          </w:p>
        </w:tc>
        <w:tc>
          <w:tcPr/>
          <w:p>
            <w:pPr>
              <w:pStyle w:val="Compact"/>
              <w:jc w:val="left"/>
            </w:pPr>
            <w:r>
              <w:t xml:space="preserve">−0,13</w:t>
            </w:r>
          </w:p>
        </w:tc>
        <w:tc>
          <w:tcPr/>
          <w:p>
            <w:pPr>
              <w:pStyle w:val="Compact"/>
              <w:jc w:val="left"/>
            </w:pPr>
            <w:r>
              <w:t xml:space="preserve">+0,05</w:t>
            </w:r>
          </w:p>
        </w:tc>
        <w:tc>
          <w:tcPr/>
          <w:p>
            <w:pPr>
              <w:pStyle w:val="Compact"/>
              <w:jc w:val="left"/>
            </w:pPr>
            <w:r>
              <w:t xml:space="preserve">47,2%</w:t>
            </w:r>
          </w:p>
        </w:tc>
      </w:tr>
      <w:tr>
        <w:trPr>
          <w:cantSplit/>
        </w:trPr>
        <w:tc>
          <w:tcPr/>
          <w:p>
            <w:pPr>
              <w:pStyle w:val="Compact"/>
              <w:jc w:val="left"/>
            </w:pPr>
            <w:r>
              <w:t xml:space="preserve">Risk Parity</w:t>
            </w:r>
          </w:p>
        </w:tc>
        <w:tc>
          <w:tcPr/>
          <w:p>
            <w:pPr>
              <w:pStyle w:val="Compact"/>
              <w:jc w:val="left"/>
            </w:pPr>
            <w:r>
              <w:t xml:space="preserve">0,29</w:t>
            </w:r>
          </w:p>
        </w:tc>
        <w:tc>
          <w:tcPr/>
          <w:p>
            <w:pPr>
              <w:pStyle w:val="Compact"/>
              <w:jc w:val="left"/>
            </w:pPr>
            <w:r>
              <w:t xml:space="preserve">0,55</w:t>
            </w:r>
          </w:p>
        </w:tc>
        <w:tc>
          <w:tcPr/>
          <w:p>
            <w:pPr>
              <w:pStyle w:val="Compact"/>
              <w:jc w:val="left"/>
            </w:pPr>
            <w:r>
              <w:t xml:space="preserve">−0,26</w:t>
            </w:r>
          </w:p>
        </w:tc>
        <w:tc>
          <w:tcPr/>
          <w:p>
            <w:pPr>
              <w:pStyle w:val="Compact"/>
              <w:jc w:val="left"/>
            </w:pPr>
            <w:r>
              <w:t xml:space="preserve">−0,12</w:t>
            </w:r>
          </w:p>
        </w:tc>
        <w:tc>
          <w:tcPr/>
          <w:p>
            <w:pPr>
              <w:pStyle w:val="Compact"/>
              <w:jc w:val="left"/>
            </w:pPr>
            <w:r>
              <w:t xml:space="preserve">+0,13</w:t>
            </w:r>
          </w:p>
        </w:tc>
        <w:tc>
          <w:tcPr/>
          <w:p>
            <w:pPr>
              <w:pStyle w:val="Compact"/>
              <w:jc w:val="left"/>
            </w:pPr>
            <w:r>
              <w:t xml:space="preserve">13,4%</w:t>
            </w:r>
          </w:p>
        </w:tc>
      </w:tr>
      <w:tr>
        <w:trPr>
          <w:cantSplit/>
        </w:trPr>
        <w:tc>
          <w:tcPr/>
          <w:p>
            <w:pPr>
              <w:pStyle w:val="Compact"/>
              <w:jc w:val="left"/>
            </w:pPr>
            <w:r>
              <w:t xml:space="preserve">HRP</w:t>
            </w:r>
          </w:p>
        </w:tc>
        <w:tc>
          <w:tcPr/>
          <w:p>
            <w:pPr>
              <w:pStyle w:val="Compact"/>
              <w:jc w:val="left"/>
            </w:pPr>
            <w:r>
              <w:t xml:space="preserve">0,24</w:t>
            </w:r>
          </w:p>
        </w:tc>
        <w:tc>
          <w:tcPr/>
          <w:p>
            <w:pPr>
              <w:pStyle w:val="Compact"/>
              <w:jc w:val="left"/>
            </w:pPr>
            <w:r>
              <w:t xml:space="preserve">0,71</w:t>
            </w:r>
          </w:p>
        </w:tc>
        <w:tc>
          <w:tcPr/>
          <w:p>
            <w:pPr>
              <w:pStyle w:val="Compact"/>
              <w:jc w:val="left"/>
            </w:pPr>
            <w:r>
              <w:t xml:space="preserve">−0,47</w:t>
            </w:r>
          </w:p>
        </w:tc>
        <w:tc>
          <w:tcPr/>
          <w:p>
            <w:pPr>
              <w:pStyle w:val="Compact"/>
              <w:jc w:val="left"/>
            </w:pPr>
            <w:r>
              <w:t xml:space="preserve">−0,13</w:t>
            </w:r>
          </w:p>
        </w:tc>
        <w:tc>
          <w:tcPr/>
          <w:p>
            <w:pPr>
              <w:pStyle w:val="Compact"/>
              <w:jc w:val="left"/>
            </w:pPr>
            <w:r>
              <w:t xml:space="preserve">+0,09</w:t>
            </w:r>
          </w:p>
        </w:tc>
        <w:tc>
          <w:tcPr/>
          <w:p>
            <w:pPr>
              <w:pStyle w:val="Compact"/>
              <w:jc w:val="left"/>
            </w:pPr>
            <w:r>
              <w:t xml:space="preserve">2,7%</w:t>
            </w:r>
          </w:p>
        </w:tc>
      </w:tr>
      <w:tr>
        <w:trPr>
          <w:cantSplit/>
        </w:trPr>
        <w:tc>
          <w:tcPr/>
          <w:p>
            <w:pPr>
              <w:pStyle w:val="Compact"/>
              <w:jc w:val="left"/>
            </w:pPr>
            <w:r>
              <w:t xml:space="preserve">Black–Litterman</w:t>
            </w:r>
          </w:p>
        </w:tc>
        <w:tc>
          <w:tcPr/>
          <w:p>
            <w:pPr>
              <w:pStyle w:val="Compact"/>
              <w:jc w:val="left"/>
            </w:pPr>
            <w:r>
              <w:t xml:space="preserve">0,37</w:t>
            </w:r>
          </w:p>
        </w:tc>
        <w:tc>
          <w:tcPr/>
          <w:p>
            <w:pPr>
              <w:pStyle w:val="Compact"/>
              <w:jc w:val="left"/>
            </w:pPr>
            <w:r>
              <w:t xml:space="preserve">−0,07</w:t>
            </w:r>
          </w:p>
        </w:tc>
        <w:tc>
          <w:tcPr/>
          <w:p>
            <w:pPr>
              <w:pStyle w:val="Compact"/>
              <w:jc w:val="left"/>
            </w:pPr>
            <w:r>
              <w:t xml:space="preserve">+0,44</w:t>
            </w:r>
          </w:p>
        </w:tc>
        <w:tc>
          <w:tcPr/>
          <w:p>
            <w:pPr>
              <w:pStyle w:val="Compact"/>
              <w:jc w:val="left"/>
            </w:pPr>
            <w:r>
              <w:t xml:space="preserve">+0,15</w:t>
            </w:r>
          </w:p>
        </w:tc>
        <w:tc>
          <w:tcPr/>
          <w:p>
            <w:pPr>
              <w:pStyle w:val="Compact"/>
              <w:jc w:val="left"/>
            </w:pPr>
            <w:r>
              <w:t xml:space="preserve">−0,07</w:t>
            </w:r>
          </w:p>
        </w:tc>
        <w:tc>
          <w:tcPr/>
          <w:p>
            <w:pPr>
              <w:pStyle w:val="Compact"/>
              <w:jc w:val="left"/>
            </w:pPr>
            <w:r>
              <w:t xml:space="preserve">40,5%</w:t>
            </w:r>
          </w:p>
        </w:tc>
      </w:tr>
    </w:tbl>
    <w:p>
      <w:pPr>
        <w:pStyle w:val="BodyText"/>
        <w:spacing w:before="200"/>
      </w:pPr>
      <w:r>
        <w:t xml:space="preserve">Bảng 4.18 cho thấy hai cơ chế ngược chiều. Với Risk Parity và HRP, dải khẩu vị làm giảm Sharpe mạnh: nếu để tự do, hai phương pháp này chỉ giữ 13% và 3% ở nhóm rủi ro, phần còn lại dồn vào trái phiếu có độ biến động bị đánh giá thấp, nên Sharpe cao (0,55 và 0,71) nhưng không phù hợp với nhà đầu tư Cân bằng. Con số này không phải lợi thế thực của phương pháp mà là hệ quả của việc định giá trơn (mục 4.1). Với BL, ngược lại, dải khẩu vị giúp cải thiện Sharpe (+0,44): khi không có dải, quan điểm dễ đẩy danh mục vào các vị thế cực đoan và Sharpe xuống −0,07. Phần đóng góp riêng của quan điểm BL trong nhóm (+0,15) là hiệu ứng chia trong nhóm dương duy nhất: Markowitz, Risk Parity và HRP đều kém hơn cách chia đều trong nhóm khoảng 0,12–0,13.</w:t>
      </w:r>
    </w:p>
    <w:p>
      <w:pPr>
        <w:pStyle w:val="TableCaption"/>
      </w:pPr>
      <w:r>
        <w:t xml:space="preserve">Bảng 4.19. Tỷ lệ lần tái cân bằng mà dải khẩu vị bị chạm, khung Trung hạn</w:t>
      </w:r>
    </w:p>
    <w:tbl>
      <w:tblPr>
        <w:tblStyle w:val="Table"/>
        <w:tblW w:type="pct" w:w="5000"/>
        <w:jc w:val="center"/>
        <w:tblLook w:firstRow="1" w:lastRow="0" w:firstColumn="0" w:lastColumn="0" w:noHBand="0" w:noVBand="0" w:val="0020"/>
        <w:tblCaption w:val="Bảng 4.19. Tỷ lệ lần tái cân bằng mà dải khẩu vị bị chạm, khung Trung hạn"/>
      </w:tblPr>
      <w:tblGrid>
        <w:gridCol w:w="2169"/>
        <w:gridCol w:w="1952"/>
        <w:gridCol w:w="1844"/>
        <w:gridCol w:w="1952"/>
      </w:tblGrid>
      <w:tr>
        <w:trPr>
          <w:tblHeader w:val="true"/>
        </w:trPr>
        <w:tc>
          <w:tcPr/>
          <w:p>
            <w:pPr>
              <w:pStyle w:val="Compact"/>
              <w:jc w:val="center"/>
            </w:pPr>
            <w:r>
              <w:rPr>
                <w:b/>
              </w:rPr>
              <w:t xml:space="preserve">Phương pháp</w:t>
            </w:r>
          </w:p>
        </w:tc>
        <w:tc>
          <w:tcPr/>
          <w:p>
            <w:pPr>
              <w:pStyle w:val="Compact"/>
              <w:jc w:val="center"/>
            </w:pPr>
            <w:r>
              <w:rPr>
                <w:b/>
              </w:rPr>
              <w:t xml:space="preserve">Thận trọng: sàn / trần</w:t>
            </w:r>
          </w:p>
        </w:tc>
        <w:tc>
          <w:tcPr/>
          <w:p>
            <w:pPr>
              <w:pStyle w:val="Compact"/>
              <w:jc w:val="center"/>
            </w:pPr>
            <w:r>
              <w:rPr>
                <w:b/>
              </w:rPr>
              <w:t xml:space="preserve">Cân bằng: sàn / trần</w:t>
            </w:r>
          </w:p>
        </w:tc>
        <w:tc>
          <w:tcPr/>
          <w:p>
            <w:pPr>
              <w:pStyle w:val="Compact"/>
              <w:jc w:val="center"/>
            </w:pPr>
            <w:r>
              <w:rPr>
                <w:b/>
              </w:rPr>
              <w:t xml:space="preserve">Tăng trưởng: sàn / trần</w:t>
            </w:r>
          </w:p>
        </w:tc>
      </w:tr>
      <w:tr>
        <w:trPr>
          <w:cantSplit/>
        </w:trPr>
        <w:tc>
          <w:tcPr/>
          <w:p>
            <w:pPr>
              <w:pStyle w:val="Compact"/>
              <w:jc w:val="left"/>
            </w:pPr>
            <w:r>
              <w:t xml:space="preserve">Equal Weight</w:t>
            </w:r>
          </w:p>
        </w:tc>
        <w:tc>
          <w:tcPr/>
          <w:p>
            <w:pPr>
              <w:pStyle w:val="Compact"/>
              <w:jc w:val="left"/>
            </w:pPr>
            <w:r>
              <w:t xml:space="preserve">0% / 100%</w:t>
            </w:r>
          </w:p>
        </w:tc>
        <w:tc>
          <w:tcPr/>
          <w:p>
            <w:pPr>
              <w:pStyle w:val="Compact"/>
              <w:jc w:val="left"/>
            </w:pPr>
            <w:r>
              <w:t xml:space="preserve">100% / 0%</w:t>
            </w:r>
          </w:p>
        </w:tc>
        <w:tc>
          <w:tcPr/>
          <w:p>
            <w:pPr>
              <w:pStyle w:val="Compact"/>
              <w:jc w:val="left"/>
            </w:pPr>
            <w:r>
              <w:t xml:space="preserve">100% / 0%</w:t>
            </w:r>
          </w:p>
        </w:tc>
      </w:tr>
      <w:tr>
        <w:trPr>
          <w:cantSplit/>
        </w:trPr>
        <w:tc>
          <w:tcPr/>
          <w:p>
            <w:pPr>
              <w:pStyle w:val="Compact"/>
              <w:jc w:val="left"/>
            </w:pPr>
            <w:r>
              <w:t xml:space="preserve">Markowitz</w:t>
            </w:r>
          </w:p>
        </w:tc>
        <w:tc>
          <w:tcPr/>
          <w:p>
            <w:pPr>
              <w:pStyle w:val="Compact"/>
              <w:jc w:val="left"/>
            </w:pPr>
            <w:r>
              <w:t xml:space="preserve">0% / 21%</w:t>
            </w:r>
          </w:p>
        </w:tc>
        <w:tc>
          <w:tcPr/>
          <w:p>
            <w:pPr>
              <w:pStyle w:val="Compact"/>
              <w:jc w:val="left"/>
            </w:pPr>
            <w:r>
              <w:t xml:space="preserve">35% / 6%</w:t>
            </w:r>
          </w:p>
        </w:tc>
        <w:tc>
          <w:tcPr/>
          <w:p>
            <w:pPr>
              <w:pStyle w:val="Compact"/>
              <w:jc w:val="left"/>
            </w:pPr>
            <w:r>
              <w:t xml:space="preserve">85% / 3%</w:t>
            </w:r>
          </w:p>
        </w:tc>
      </w:tr>
      <w:tr>
        <w:trPr>
          <w:cantSplit/>
        </w:trPr>
        <w:tc>
          <w:tcPr/>
          <w:p>
            <w:pPr>
              <w:pStyle w:val="Compact"/>
              <w:jc w:val="left"/>
            </w:pPr>
            <w:r>
              <w:t xml:space="preserve">Risk Parity</w:t>
            </w:r>
          </w:p>
        </w:tc>
        <w:tc>
          <w:tcPr/>
          <w:p>
            <w:pPr>
              <w:pStyle w:val="Compact"/>
              <w:jc w:val="left"/>
            </w:pPr>
            <w:r>
              <w:t xml:space="preserve">53% / 0%</w:t>
            </w:r>
          </w:p>
        </w:tc>
        <w:tc>
          <w:tcPr/>
          <w:p>
            <w:pPr>
              <w:pStyle w:val="Compact"/>
              <w:jc w:val="left"/>
            </w:pPr>
            <w:r>
              <w:t xml:space="preserve">100% / 0%</w:t>
            </w:r>
          </w:p>
        </w:tc>
        <w:tc>
          <w:tcPr/>
          <w:p>
            <w:pPr>
              <w:pStyle w:val="Compact"/>
              <w:jc w:val="left"/>
            </w:pPr>
            <w:r>
              <w:t xml:space="preserve">100% / 0%</w:t>
            </w:r>
          </w:p>
        </w:tc>
      </w:tr>
      <w:tr>
        <w:trPr>
          <w:cantSplit/>
        </w:trPr>
        <w:tc>
          <w:tcPr/>
          <w:p>
            <w:pPr>
              <w:pStyle w:val="Compact"/>
              <w:jc w:val="left"/>
            </w:pPr>
            <w:r>
              <w:t xml:space="preserve">HRP</w:t>
            </w:r>
          </w:p>
        </w:tc>
        <w:tc>
          <w:tcPr/>
          <w:p>
            <w:pPr>
              <w:pStyle w:val="Compact"/>
              <w:jc w:val="left"/>
            </w:pPr>
            <w:r>
              <w:t xml:space="preserve">94% / 0%</w:t>
            </w:r>
          </w:p>
        </w:tc>
        <w:tc>
          <w:tcPr/>
          <w:p>
            <w:pPr>
              <w:pStyle w:val="Compact"/>
              <w:jc w:val="left"/>
            </w:pPr>
            <w:r>
              <w:t xml:space="preserve">100% / 0%</w:t>
            </w:r>
          </w:p>
        </w:tc>
        <w:tc>
          <w:tcPr/>
          <w:p>
            <w:pPr>
              <w:pStyle w:val="Compact"/>
              <w:jc w:val="left"/>
            </w:pPr>
            <w:r>
              <w:t xml:space="preserve">100% / 0%</w:t>
            </w:r>
          </w:p>
        </w:tc>
      </w:tr>
      <w:tr>
        <w:trPr>
          <w:cantSplit/>
        </w:trPr>
        <w:tc>
          <w:tcPr/>
          <w:p>
            <w:pPr>
              <w:pStyle w:val="Compact"/>
              <w:jc w:val="left"/>
            </w:pPr>
            <w:r>
              <w:t xml:space="preserve">Black–Litterman</w:t>
            </w:r>
          </w:p>
        </w:tc>
        <w:tc>
          <w:tcPr/>
          <w:p>
            <w:pPr>
              <w:pStyle w:val="Compact"/>
              <w:jc w:val="left"/>
            </w:pPr>
            <w:r>
              <w:t xml:space="preserve">18% / 47%</w:t>
            </w:r>
          </w:p>
        </w:tc>
        <w:tc>
          <w:tcPr/>
          <w:p>
            <w:pPr>
              <w:pStyle w:val="Compact"/>
              <w:jc w:val="left"/>
            </w:pPr>
            <w:r>
              <w:t xml:space="preserve">38% / 21%</w:t>
            </w:r>
          </w:p>
        </w:tc>
        <w:tc>
          <w:tcPr/>
          <w:p>
            <w:pPr>
              <w:pStyle w:val="Compact"/>
              <w:jc w:val="left"/>
            </w:pPr>
            <w:r>
              <w:t xml:space="preserve">76% / 15%</w:t>
            </w:r>
          </w:p>
        </w:tc>
      </w:tr>
      <w:tr>
        <w:trPr>
          <w:cantSplit/>
        </w:trPr>
        <w:tc>
          <w:tcPr/>
          <w:p>
            <w:pPr>
              <w:pStyle w:val="Compact"/>
              <w:jc w:val="left"/>
            </w:pPr>
            <w:r>
              <w:t xml:space="preserve">MLP_MVO</w:t>
            </w:r>
          </w:p>
        </w:tc>
        <w:tc>
          <w:tcPr/>
          <w:p>
            <w:pPr>
              <w:pStyle w:val="Compact"/>
              <w:jc w:val="left"/>
            </w:pPr>
            <w:r>
              <w:t xml:space="preserve">29% / 56%</w:t>
            </w:r>
          </w:p>
        </w:tc>
        <w:tc>
          <w:tcPr/>
          <w:p>
            <w:pPr>
              <w:pStyle w:val="Compact"/>
              <w:jc w:val="left"/>
            </w:pPr>
            <w:r>
              <w:t xml:space="preserve">41% / 29%</w:t>
            </w:r>
          </w:p>
        </w:tc>
        <w:tc>
          <w:tcPr/>
          <w:p>
            <w:pPr>
              <w:pStyle w:val="Compact"/>
              <w:jc w:val="left"/>
            </w:pPr>
            <w:r>
              <w:t xml:space="preserve">68% / 24%</w:t>
            </w:r>
          </w:p>
        </w:tc>
      </w:tr>
      <w:tr>
        <w:trPr>
          <w:cantSplit/>
        </w:trPr>
        <w:tc>
          <w:tcPr/>
          <w:p>
            <w:pPr>
              <w:pStyle w:val="Compact"/>
              <w:jc w:val="left"/>
            </w:pPr>
            <w:r>
              <w:t xml:space="preserve">RL</w:t>
            </w:r>
          </w:p>
        </w:tc>
        <w:tc>
          <w:tcPr/>
          <w:p>
            <w:pPr>
              <w:pStyle w:val="Compact"/>
              <w:jc w:val="left"/>
            </w:pPr>
            <w:r>
              <w:t xml:space="preserve">35% / 62%</w:t>
            </w:r>
          </w:p>
        </w:tc>
        <w:tc>
          <w:tcPr/>
          <w:p>
            <w:pPr>
              <w:pStyle w:val="Compact"/>
              <w:jc w:val="left"/>
            </w:pPr>
            <w:r>
              <w:t xml:space="preserve">41% / 59%</w:t>
            </w:r>
          </w:p>
        </w:tc>
        <w:tc>
          <w:tcPr/>
          <w:p>
            <w:pPr>
              <w:pStyle w:val="Compact"/>
              <w:jc w:val="left"/>
            </w:pPr>
            <w:r>
              <w:t xml:space="preserve">44% / 56%</w:t>
            </w:r>
          </w:p>
        </w:tc>
      </w:tr>
    </w:tbl>
    <w:p>
      <w:pPr>
        <w:pStyle w:val="BodyText"/>
        <w:spacing w:before="200"/>
      </w:pPr>
      <w:r>
        <w:t xml:space="preserve">Bảng 4.19 cho thấy mức độ mà dải khẩu vị, chứ không phải phương pháp, quyết định tỷ trọng rủi ro. Với Risk Parity và HRP ở khẩu vị Cân bằng và Tăng trưởng, dải bị chạm sàn ở 100% số lần tái cân bằng: hai phương pháp này luôn muốn giữ ít rủi ro hơn mức tối thiểu của khẩu vị. Equal Weight cũng luôn nằm ở sàn (Cân bằng, Tăng trưởng) hoặc trần (Thận trọng), vì tỷ trọng 40% của nhóm rủi ro trước khi áp dải không đổi. Chỉ các phương pháp có lợi nhuận kỳ vọng (Markowitz, BL, MLP_MVO) và RL mới thực sự di chuyển bên trong dải. Điều này củng cố nhận định ở mục 4.3: khi dải khẩu vị là ràng buộc chặt, câu hỏi</w:t>
      </w:r>
      <w:r>
        <w:t xml:space="preserve"> </w:t>
      </w:r>
      <w:r>
        <w:t xml:space="preserve">“</w:t>
      </w:r>
      <w:r>
        <w:t xml:space="preserve">phương pháp nào tốt nhất</w:t>
      </w:r>
      <w:r>
        <w:t xml:space="preserve">”</w:t>
      </w:r>
      <w:r>
        <w:t xml:space="preserve"> </w:t>
      </w:r>
      <w:r>
        <w:t xml:space="preserve">thực chất là câu hỏi</w:t>
      </w:r>
      <w:r>
        <w:t xml:space="preserve"> </w:t>
      </w:r>
      <w:r>
        <w:t xml:space="preserve">“</w:t>
      </w:r>
      <w:r>
        <w:t xml:space="preserve">cách chia bên trong mỗi nhóm nào tốt nhất</w:t>
      </w:r>
      <w:r>
        <w:t xml:space="preserve">”</w:t>
      </w:r>
      <w:r>
        <w:t xml:space="preserve">, và ở câu hỏi đó, chỉ BL có hiệu ứng dương.</w:t>
      </w:r>
    </w:p>
    <w:bookmarkEnd w:id="133"/>
    <w:bookmarkEnd w:id="134"/>
    <w:bookmarkStart w:id="135" w:name="thảo-luận"/>
    <w:p>
      <w:pPr>
        <w:pStyle w:val="Heading2"/>
      </w:pPr>
      <w:r>
        <w:t xml:space="preserve">4.8 Thảo luận</w:t>
      </w:r>
    </w:p>
    <w:p>
      <w:pPr>
        <w:pStyle w:val="FirstParagraph"/>
      </w:pPr>
      <w:r>
        <w:rPr>
          <w:bCs/>
          <w:b/>
        </w:rPr>
        <w:t xml:space="preserve">Về các phương pháp tối ưu truyền thống (H1).</w:t>
      </w:r>
      <w:r>
        <w:t xml:space="preserve"> </w:t>
      </w:r>
      <w:r>
        <w:t xml:space="preserve">Kết quả trên dữ liệu Việt Nam lặp lại phát hiện của DeMiguel, Garlappi và Uppal (2009): với mẫu khoảng 100 tháng, không phương pháp tối ưu nào vượt danh mục phân bổ đều một cách có ý nghĩa. Markowitz nhạy với tham số nhất, đúng như lập luận về sai số ước lượng của Michaud (1989), và trong mô phỏng bootstrap lại đứng đầu nhiều nhất, một dấu hiệu nữa cho thấy thứ hạng của nó phụ thuộc mạnh vào lịch sử cụ thể. Một điểm khác với các nghiên cứu trên cổ phiếu Việt Nam như Nguyễn Minh Nhật và Phạm Thị Thu Hường (2024) là trong bối cảnh đa tài sản, các phương pháp dựa trên rủi ro (Risk Parity, HRP) bị chi phối bởi lớp trái phiếu định giá trơn; nếu không có trần 50% và dải khẩu vị, Sharpe cao của chúng chủ yếu phản ánh đặc điểm định giá chứ không phải lợi ích đa dạng hóa thực. Bài học phương pháp luận là: trước khi áp dụng một phương pháp dựa trên rủi ro cho danh mục đa tài sản, cần kiểm tra xem rủi ro của từng lớp có được đo đúng hay không.</w:t>
      </w:r>
    </w:p>
    <w:p>
      <w:pPr>
        <w:pStyle w:val="BodyText"/>
      </w:pPr>
      <w:r>
        <w:rPr>
          <w:bCs/>
          <w:b/>
        </w:rPr>
        <w:t xml:space="preserve">Về học máy (H2).</w:t>
      </w:r>
      <w:r>
        <w:t xml:space="preserve"> </w:t>
      </w:r>
      <w:r>
        <w:t xml:space="preserve">Phù hợp với Welch và Goyal (2008), lợi nhuận cổ phiếu Việt Nam không dự báo được tốt hơn trung bình lịch sử, kể cả với LightGBM và MLP. Kỹ năng dự báo chỉ xuất hiện ở vàng, nơi thị trường trong nước bị ngăn cách với thế giới và giá có tính dai dẳng. Mô hình tuyến tính đơn giản (Elastic Net) cho kết quả ổn định nhất, và các hệ số của nó có dấu phù hợp với lý thuyết động lượng (Moskowitz, Ooi và Pedersen, 2012) và chu kỳ lãi suất (Fama và French, 1989). LightGBM, khi được chính quy hóa đúng cách, gần như trở về hằng số, cho thấy dữ liệu không chứa quan hệ phi tuyến đủ mạnh để khai thác. Điều này không mâu thuẫn với Gu, Kelly và Xiu (2020) vì họ dùng hàng nghìn cổ phiếu và hàng trăm biến, còn mẫu của luận văn chỉ có 4 lớp và 7 biến; lợi thế của học máy phi tuyến đòi hỏi quy mô dữ liệu mà bài toán phân bổ giữa vài lớp tài sản không có.</w:t>
      </w:r>
    </w:p>
    <w:p>
      <w:pPr>
        <w:pStyle w:val="BodyText"/>
      </w:pPr>
      <w:r>
        <w:t xml:space="preserve">Cách đưa dự báo vào qua Black–Litterman, chỉ khi có kỹ năng và với mức tin cậy theo kỹ năng, cho Sharpe cao hơn cách dùng trực tiếp (MLP_MVO) và ổn định hơn qua các kịch bản, với turnover chỉ bằng khoảng một nửa. Đây là phát hiện có giá trị thực tiễn: cơ chế neo vào điểm cân bằng và lọc theo kỹ năng giúp danh mục không bị tổn hại khi dự báo kém. Tuy vậy, lợi thế của BL không có ý nghĩa thống kê, không vững trong mô phỏng bootstrap và phụ thuộc nhiều vào vàng, nên chưa thể kết luận học máy đã cải thiện phân bổ một cách bền vững.</w:t>
      </w:r>
    </w:p>
    <w:p>
      <w:pPr>
        <w:pStyle w:val="BodyText"/>
      </w:pPr>
      <w:r>
        <w:rPr>
          <w:bCs/>
          <w:b/>
        </w:rPr>
        <w:t xml:space="preserve">Về đa dạng hóa (H3).</w:t>
      </w:r>
      <w:r>
        <w:t xml:space="preserve"> </w:t>
      </w:r>
      <w:r>
        <w:t xml:space="preserve">Tương quan thấp của vàng và trái phiếu với cổ phiếu, cùng kết quả trong ba giai đoạn sụt giảm, ủng hộ vai trò phòng thủ của hai lớp này như Le và Nguyen (2017) đã chỉ ra với vàng và phù hợp với khái niệm tài sản trú ẩn của Baur và Lucey (2010). Danh mục 5 lớp có Sharpe cao hơn danh mục cổ phiếu–trái phiếu ở 4/5 phương pháp, nhưng chênh lệch chưa đủ lớn để kiểm định xác nhận trong 102 tháng. Phân tích thêm từng lớp cho thấy lợi ích đến từ vàng, còn cổ phiếu BĐS làm giảm hiệu quả. Với nhà đầu tư cá nhân, điều này có nghĩa đa dạng hóa hiệu quả là đa dạng hóa sang tài sản có cơ chế sinh lợi khác (vàng, trái phiếu), chứ không phải sang một ngành cổ phiếu khác.</w:t>
      </w:r>
    </w:p>
    <w:p>
      <w:pPr>
        <w:pStyle w:val="BodyText"/>
      </w:pPr>
      <w:r>
        <w:rPr>
          <w:bCs/>
          <w:b/>
        </w:rPr>
        <w:t xml:space="preserve">Về vai trò của khẩu vị rủi ro.</w:t>
      </w:r>
      <w:r>
        <w:t xml:space="preserve"> </w:t>
      </w:r>
      <w:r>
        <w:t xml:space="preserve">Một kết quả xuyên suốt là khẩu vị và khung thời gian ảnh hưởng đến hiệu quả nhiều hơn phương pháp. Chênh lệch Sharpe bình quân giữa khẩu vị Thận trọng và Tăng trưởng (0,22) lớn hơn chênh lệch giữa phương pháp tốt nhất và kém nhất trong kịch bản chính (0,17), và chênh lệch giữa khung dài hạn và ngắn hạn (0,15) cũng tương đương. Điều này phù hợp với Brinson, Hood và Beebower (1986) về tầm quan trọng của chính sách phân bổ, và cho thấy giá trị lớn nhất của một công cụ tư vấn nằm ở việc giúp nhà đầu tư chọn đúng mức rủi ro và kiên định với kế hoạch tái cân bằng thưa, hơn là ở thuật toán tối ưu.</w:t>
      </w:r>
    </w:p>
    <w:p>
      <w:pPr>
        <w:pStyle w:val="BodyText"/>
      </w:pPr>
      <w:r>
        <w:rPr>
          <w:bCs/>
          <w:b/>
        </w:rPr>
        <w:t xml:space="preserve">Về lựa chọn cho ứng dụng tư vấn.</w:t>
      </w:r>
      <w:r>
        <w:t xml:space="preserve"> </w:t>
      </w:r>
      <w:r>
        <w:t xml:space="preserve">Vì không phương pháp nào vượt trội có ý nghĩa, lựa chọn phương pháp cho ứng dụng PortfolioVN dựa trên lý thuyết và tính ổn định thay vì Sharpe quan sát được. Risk Parity được chọn vì bốn lý do: (i) không phụ thuộc vào ước lượng lợi nhuận kỳ vọng nên ít nhạy với tham số (Bảng 4.16); (ii) turnover thấp (2,1% mỗi lần) và chi phí khoảng 0,1%/năm, phù hợp nhà đầu tư cá nhân; (iii) CVaR thấp, sụt giảm nhỏ trong các giai đoạn khủng hoảng và xác suất vượt EW cao nhất trong mô phỏng (70%); (iv) có cơ sở lý thuyết rõ ràng, dễ giải thích cho người dùng (mỗi lớp đóng góp rủi ro bằng nhau). BL có Sharpe lịch sử cao nhất nhưng phụ thuộc vào dự báo và vào vàng, nên phù hợp làm phương án tham khảo hơn là khuyến nghị mặc định.</w:t>
      </w:r>
    </w:p>
    <w:p>
      <w:pPr>
        <w:pStyle w:val="BodyText"/>
      </w:pPr>
      <w:r>
        <w:rPr>
          <w:bCs/>
          <w:b/>
        </w:rPr>
        <w:t xml:space="preserve">Giới hạn của kết quả.</w:t>
      </w:r>
      <w:r>
        <w:t xml:space="preserve"> </w:t>
      </w:r>
      <w:r>
        <w:t xml:space="preserve">Giai đoạn kiểm tra 102 tháng chỉ đủ phát hiện chênh lệch Sharpe từ 0,18 đến 0,53. Giá vàng trước 08/2022 là giá dựng lại với độ biến động thấp hơn thực tế khoảng 4 điểm % (mục 3.2.2), và kết quả nhạy với giai đoạn này. NAV quỹ trái phiếu được định giá trơn dù đã khử độ trơn một phần. Giai đoạn kiểm tra bắt đầu sau một năm cổ phiếu tăng rất mạnh, nên bất lợi cho các phương pháp giữ nhiều cổ phiếu. Các giới hạn này được nêu đầy đủ ở mục 6.3.</w:t>
      </w:r>
    </w:p>
    <w:bookmarkEnd w:id="135"/>
    <w:bookmarkStart w:id="136" w:name="tóm-tắt-chương-2"/>
    <w:p>
      <w:pPr>
        <w:pStyle w:val="Heading2"/>
      </w:pPr>
      <w:r>
        <w:t xml:space="preserve">4.9 Tóm tắt chương</w:t>
      </w:r>
    </w:p>
    <w:p>
      <w:pPr>
        <w:pStyle w:val="FirstParagraph"/>
      </w:pPr>
      <w:r>
        <w:t xml:space="preserve">Trong giai đoạn 02/2018–07/2026, vàng và trái phiếu có hiệu quả điều chỉnh rủi ro tốt hơn hai lớp cổ phiếu, và khẩu vị rủi ro cùng khung thời gian quyết định Sharpe nhiều hơn phương pháp phân bổ. Mô hình học máy không dự báo được cổ phiếu nhưng có kỹ năng với vàng; Elastic Net học được các quan hệ đúng dấu lý thuyết, còn LightGBM gần như trở về hằng số. Black–Litterman dùng dự báo Elastic Net có Sharpe cao nhất trong nhóm 5 phương pháp chính ở 8/9 kịch bản, với hơn một nửa lợi nhuận đến từ vàng. Tuy nhiên, không cặp so sánh nào thuộc H1–H3 có ý nghĩa thống kê; Deflated Sharpe, mô phỏng bootstrap và phân tích độ nhạy đều cho thấy thứ hạng chưa ổn định. Lợi ích đa dạng hóa của danh mục 5 lớp đến chủ yếu từ vàng, còn cổ phiếu BĐS làm giảm hiệu quả. Kết luận chính: với dữ liệu hiện có, các phương pháp phức tạp chưa chứng minh được lợi thế so với phân bổ đều hay Risk Parity, và lựa chọn cho nhà đầu tư nên dựa trên tính ổn định và chi phí. Chương 5 trình bày cách kết quả này được đưa vào ứng dụng tư vấn.</w:t>
      </w:r>
    </w:p>
    <w:bookmarkEnd w:id="136"/>
    <w:bookmarkEnd w:id="137"/>
    <w:bookmarkStart w:id="160" w:name="chương-5.-ứng-dụng-tư-vấn-portfoliovn"/>
    <w:p>
      <w:pPr>
        <w:pStyle w:val="Heading1"/>
      </w:pPr>
      <w:r>
        <w:t xml:space="preserve">Chương 5. Ứng dụng tư vấn PortfolioVN</w:t>
      </w:r>
    </w:p>
    <w:p>
      <w:pPr>
        <w:pStyle w:val="FirstParagraph"/>
      </w:pPr>
      <w:r>
        <w:t xml:space="preserve">Chương này trình bày cách kết quả nghiên cứu ở Chương 4 được chuyển thành một công cụ tư vấn có thể sử dụng. Mục 5.1 xác định yêu cầu; mục 5.2 mô tả kiến trúc, mô hình dữ liệu và giao diện lập trình; mục 5.3 trình bày luồng tư vấn từ bảng hỏi đến báo cáo kế hoạch, kèm một ví dụ cụ thể; mục 5.4 trình bày kiểm thử và tái lập; mục 5.5 nêu các giới hạn.</w:t>
      </w:r>
    </w:p>
    <w:bookmarkStart w:id="140" w:name="yêu-cầu-và-đối-tượng-người-dùng"/>
    <w:p>
      <w:pPr>
        <w:pStyle w:val="Heading2"/>
      </w:pPr>
      <w:r>
        <w:t xml:space="preserve">5.1 Yêu cầu và đối tượng người dùng</w:t>
      </w:r>
    </w:p>
    <w:bookmarkStart w:id="138" w:name="vai-trò-người-dùng"/>
    <w:p>
      <w:pPr>
        <w:pStyle w:val="Heading3"/>
      </w:pPr>
      <w:r>
        <w:t xml:space="preserve">5.1.1 Vai trò người dùng</w:t>
      </w:r>
    </w:p>
    <w:p>
      <w:pPr>
        <w:pStyle w:val="FirstParagraph"/>
      </w:pPr>
      <w:r>
        <w:t xml:space="preserve">Kết quả Chương 4 chỉ có ích cho nhà đầu tư cá nhân nếu được chuyển thành câu trả lời cụ thể cho câu hỏi</w:t>
      </w:r>
      <w:r>
        <w:t xml:space="preserve"> </w:t>
      </w:r>
      <w:r>
        <w:t xml:space="preserve">“</w:t>
      </w:r>
      <w:r>
        <w:t xml:space="preserve">với số tiền này và khẩu vị này, tôi nên mua gì, bao nhiêu</w:t>
      </w:r>
      <w:r>
        <w:t xml:space="preserve">”</w:t>
      </w:r>
      <w:r>
        <w:t xml:space="preserve">. PortfolioVN được xây dựng để làm việc đó và để hội đồng có thể kiểm tra cách kết quả nghiên cứu được sử dụng.</w:t>
      </w:r>
    </w:p>
    <w:p>
      <w:pPr>
        <w:pStyle w:val="TableCaption"/>
      </w:pPr>
      <w:r>
        <w:t xml:space="preserve">Bảng 5.1. Vai trò người dùng và quyền hạn</w:t>
      </w:r>
    </w:p>
    <w:tbl>
      <w:tblPr>
        <w:tblStyle w:val="Table"/>
        <w:tblW w:type="pct" w:w="5000"/>
        <w:jc w:val="center"/>
        <w:tblLook w:firstRow="1" w:lastRow="0" w:firstColumn="0" w:lastColumn="0" w:noHBand="0" w:noVBand="0" w:val="0020"/>
        <w:tblCaption w:val="Bảng 5.1. Vai trò người dùng và quyền hạn"/>
      </w:tblPr>
      <w:tblGrid>
        <w:gridCol w:w="1584"/>
        <w:gridCol w:w="3168"/>
        <w:gridCol w:w="3168"/>
      </w:tblGrid>
      <w:tr>
        <w:trPr>
          <w:tblHeader w:val="true"/>
        </w:trPr>
        <w:tc>
          <w:tcPr/>
          <w:p>
            <w:pPr>
              <w:pStyle w:val="Compact"/>
              <w:jc w:val="center"/>
            </w:pPr>
            <w:r>
              <w:rPr>
                <w:b/>
              </w:rPr>
              <w:t xml:space="preserve">Vai trò</w:t>
            </w:r>
          </w:p>
        </w:tc>
        <w:tc>
          <w:tcPr/>
          <w:p>
            <w:pPr>
              <w:pStyle w:val="Compact"/>
              <w:jc w:val="center"/>
            </w:pPr>
            <w:r>
              <w:rPr>
                <w:b/>
              </w:rPr>
              <w:t xml:space="preserve">Nhu cầu</w:t>
            </w:r>
          </w:p>
        </w:tc>
        <w:tc>
          <w:tcPr/>
          <w:p>
            <w:pPr>
              <w:pStyle w:val="Compact"/>
              <w:jc w:val="center"/>
            </w:pPr>
            <w:r>
              <w:rPr>
                <w:b/>
              </w:rPr>
              <w:t xml:space="preserve">Quyền trong ứng dụng</w:t>
            </w:r>
          </w:p>
        </w:tc>
      </w:tr>
      <w:tr>
        <w:trPr>
          <w:cantSplit/>
        </w:trPr>
        <w:tc>
          <w:tcPr/>
          <w:p>
            <w:pPr>
              <w:pStyle w:val="Compact"/>
              <w:jc w:val="left"/>
            </w:pPr>
            <w:r>
              <w:t xml:space="preserve">Nhà đầu tư (Investor)</w:t>
            </w:r>
          </w:p>
        </w:tc>
        <w:tc>
          <w:tcPr/>
          <w:p>
            <w:pPr>
              <w:pStyle w:val="Compact"/>
              <w:jc w:val="left"/>
            </w:pPr>
            <w:r>
              <w:t xml:space="preserve">Biết khẩu vị của mình và nhận kế hoạch phân bổ có thể thực hiện</w:t>
            </w:r>
          </w:p>
        </w:tc>
        <w:tc>
          <w:tcPr/>
          <w:p>
            <w:pPr>
              <w:pStyle w:val="Compact"/>
              <w:jc w:val="left"/>
            </w:pPr>
            <w:r>
              <w:t xml:space="preserve">Làm bảng hỏi, tạo và xem kế hoạch của chính mình, chia sẻ liên kết, xem dữ liệu thị trường</w:t>
            </w:r>
          </w:p>
        </w:tc>
      </w:tr>
      <w:tr>
        <w:trPr>
          <w:cantSplit/>
        </w:trPr>
        <w:tc>
          <w:tcPr/>
          <w:p>
            <w:pPr>
              <w:pStyle w:val="Compact"/>
              <w:jc w:val="left"/>
            </w:pPr>
            <w:r>
              <w:t xml:space="preserve">Hội đồng (Reviewer)</w:t>
            </w:r>
          </w:p>
        </w:tc>
        <w:tc>
          <w:tcPr/>
          <w:p>
            <w:pPr>
              <w:pStyle w:val="Compact"/>
              <w:jc w:val="left"/>
            </w:pPr>
            <w:r>
              <w:t xml:space="preserve">Rà soát phương pháp, kết quả so sánh và kiểm định</w:t>
            </w:r>
          </w:p>
        </w:tc>
        <w:tc>
          <w:tcPr/>
          <w:p>
            <w:pPr>
              <w:pStyle w:val="Compact"/>
              <w:jc w:val="left"/>
            </w:pPr>
            <w:r>
              <w:t xml:space="preserve">Chỉ đọc các màn hình phân tích và phương pháp</w:t>
            </w:r>
          </w:p>
        </w:tc>
      </w:tr>
      <w:tr>
        <w:trPr>
          <w:cantSplit/>
        </w:trPr>
        <w:tc>
          <w:tcPr/>
          <w:p>
            <w:pPr>
              <w:pStyle w:val="Compact"/>
              <w:jc w:val="left"/>
            </w:pPr>
            <w:r>
              <w:t xml:space="preserve">Quản trị (Admin)</w:t>
            </w:r>
          </w:p>
        </w:tc>
        <w:tc>
          <w:tcPr/>
          <w:p>
            <w:pPr>
              <w:pStyle w:val="Compact"/>
              <w:jc w:val="left"/>
            </w:pPr>
            <w:r>
              <w:t xml:space="preserve">Cập nhật kết quả khi có dữ liệu mới, quản lý nội dung</w:t>
            </w:r>
          </w:p>
        </w:tc>
        <w:tc>
          <w:tcPr/>
          <w:p>
            <w:pPr>
              <w:pStyle w:val="Compact"/>
              <w:jc w:val="left"/>
            </w:pPr>
            <w:r>
              <w:t xml:space="preserve">Chạy lại backtest, kích hoạt phiên bản kết quả, sửa quy tắc thực hiện, xem nhật ký, đặt lại demo</w:t>
            </w:r>
          </w:p>
        </w:tc>
      </w:tr>
    </w:tbl>
    <w:bookmarkEnd w:id="138"/>
    <w:bookmarkStart w:id="139" w:name="yêu-cầu-chức-năng-và-phi-chức-năng"/>
    <w:p>
      <w:pPr>
        <w:pStyle w:val="Heading3"/>
        <w:spacing w:before="200"/>
      </w:pPr>
      <w:r>
        <w:t xml:space="preserve">5.1.2 Yêu cầu chức năng và phi chức năng</w:t>
      </w:r>
    </w:p>
    <w:p>
      <w:pPr>
        <w:pStyle w:val="FirstParagraph"/>
      </w:pPr>
      <w:r>
        <w:rPr>
          <w:bCs/>
          <w:b/>
        </w:rPr>
        <w:t xml:space="preserve">Yêu cầu chức năng chính:</w:t>
      </w:r>
    </w:p>
    <w:p>
      <w:pPr>
        <w:numPr>
          <w:ilvl w:val="0"/>
          <w:numId w:val="1014"/>
        </w:numPr>
      </w:pPr>
      <w:r>
        <w:t xml:space="preserve">Đánh giá khẩu vị rủi ro theo hai chiều: mức chấp nhận rủi ro (tâm lý) và khả năng chịu rủi ro (tài chính), cùng thời gian đầu tư.</w:t>
      </w:r>
    </w:p>
    <w:p>
      <w:pPr>
        <w:numPr>
          <w:ilvl w:val="0"/>
          <w:numId w:val="1014"/>
        </w:numPr>
      </w:pPr>
      <w:r>
        <w:t xml:space="preserve">Đề xuất tỷ trọng 5 lớp đọc từ kết quả nghiên cứu, không tính lại trong ứng dụng.</w:t>
      </w:r>
    </w:p>
    <w:p>
      <w:pPr>
        <w:numPr>
          <w:ilvl w:val="0"/>
          <w:numId w:val="1014"/>
        </w:numPr>
      </w:pPr>
      <w:r>
        <w:t xml:space="preserve">Chuyển tỷ trọng thành kế hoạch mua cụ thể (số cổ phiếu, số chỉ vàng, số tiền mua quỹ), tôn trọng lô giao dịch và mức tối thiểu.</w:t>
      </w:r>
    </w:p>
    <w:p>
      <w:pPr>
        <w:numPr>
          <w:ilvl w:val="0"/>
          <w:numId w:val="1014"/>
        </w:numPr>
      </w:pPr>
      <w:r>
        <w:t xml:space="preserve">Thể hiện rủi ro bằng tiền đồng thay vì chỉ bằng phần trăm.</w:t>
      </w:r>
    </w:p>
    <w:p>
      <w:pPr>
        <w:numPr>
          <w:ilvl w:val="0"/>
          <w:numId w:val="1014"/>
        </w:numPr>
      </w:pPr>
      <w:r>
        <w:t xml:space="preserve">Giải thích lý do của khuyến nghị và nêu rõ giới hạn.</w:t>
      </w:r>
    </w:p>
    <w:p>
      <w:pPr>
        <w:numPr>
          <w:ilvl w:val="0"/>
          <w:numId w:val="1014"/>
        </w:numPr>
      </w:pPr>
      <w:r>
        <w:t xml:space="preserve">Cho phép hội đồng xem lại toàn bộ kết quả so sánh phương pháp, kiểm định và độ nhạy ngay trong ứng dụng.</w:t>
      </w:r>
    </w:p>
    <w:p>
      <w:pPr>
        <w:numPr>
          <w:ilvl w:val="0"/>
          <w:numId w:val="1014"/>
        </w:numPr>
      </w:pPr>
      <w:r>
        <w:t xml:space="preserve">Cho phép quản trị chạy lại nghiên cứu với tham số khác và công bố kết quả theo phiên bản.</w:t>
      </w:r>
    </w:p>
    <w:p>
      <w:pPr>
        <w:pStyle w:val="FirstParagraph"/>
      </w:pPr>
      <w:r>
        <w:rPr>
          <w:bCs/>
          <w:b/>
        </w:rPr>
        <w:t xml:space="preserve">Yêu cầu phi chức năng:</w:t>
      </w:r>
      <w:r>
        <w:t xml:space="preserve"> </w:t>
      </w:r>
      <w:r>
        <w:t xml:space="preserve">song ngữ Việt–Anh; mọi con số truy vết được về một phiên bản kết quả cụ thể; kế hoạch đã tạo không đổi khi dữ liệu cập nhật; phân quyền kiểm tra ở phía máy chủ; không thu thập dữ liệu cá nhân thật. Ứng dụng là bản demo học thuật: không kết nối công ty chứng khoán, không có giá trong ngày, không thanh toán.</w:t>
      </w:r>
    </w:p>
    <w:p>
      <w:pPr>
        <w:pStyle w:val="BodyText"/>
      </w:pPr>
      <w:r>
        <w:t xml:space="preserve">Yêu cầu thứ hai và yêu cầu</w:t>
      </w:r>
      <w:r>
        <w:t xml:space="preserve"> </w:t>
      </w:r>
      <w:r>
        <w:t xml:space="preserve">“</w:t>
      </w:r>
      <w:r>
        <w:t xml:space="preserve">truy vết được</w:t>
      </w:r>
      <w:r>
        <w:t xml:space="preserve">”</w:t>
      </w:r>
      <w:r>
        <w:t xml:space="preserve"> </w:t>
      </w:r>
      <w:r>
        <w:t xml:space="preserve">là hai yêu cầu quan trọng nhất về mặt nghiên cứu. Nếu ứng dụng tự tính lại tỷ trọng bằng một đoạn mã riêng, sẽ có nguy cơ con số trên ứng dụng khác với con số trong luận văn do khác biệt nhỏ về dữ liệu hoặc cách cài đặt. Kiến trúc ở mục 5.2 được thiết kế để loại trừ nguy cơ này.</w:t>
      </w:r>
    </w:p>
    <w:bookmarkEnd w:id="139"/>
    <w:bookmarkEnd w:id="140"/>
    <w:bookmarkStart w:id="147" w:name="kiến-trúc-hệ-thống"/>
    <w:p>
      <w:pPr>
        <w:pStyle w:val="Heading2"/>
      </w:pPr>
      <w:r>
        <w:t xml:space="preserve">5.2 Kiến trúc hệ thống</w:t>
      </w:r>
    </w:p>
    <w:bookmarkStart w:id="144" w:name="các-thành-phần"/>
    <w:p>
      <w:pPr>
        <w:pStyle w:val="Heading3"/>
      </w:pPr>
      <w:r>
        <w:t xml:space="preserve">5.2.1 Các thành phần</w:t>
      </w:r>
    </w:p>
    <w:p>
      <w:pPr>
        <w:pStyle w:val="CaptionedFigure"/>
      </w:pPr>
      <w:r>
        <w:drawing>
          <wp:inline>
            <wp:extent cx="5753100" cy="3013528"/>
            <wp:effectExtent b="0" l="0" r="0" t="0"/>
            <wp:docPr descr="Hình 5.1. Kiến trúc PortfolioVN" title="" id="142" name="Picture"/>
            <a:graphic>
              <a:graphicData uri="http://schemas.openxmlformats.org/drawingml/2006/picture">
                <pic:pic>
                  <pic:nvPicPr>
                    <pic:cNvPr descr="img/h51.png" id="143" name="Picture"/>
                    <pic:cNvPicPr>
                      <a:picLocks noChangeArrowheads="1" noChangeAspect="1"/>
                    </pic:cNvPicPr>
                  </pic:nvPicPr>
                  <pic:blipFill>
                    <a:blip r:embed="rId141"/>
                    <a:stretch>
                      <a:fillRect/>
                    </a:stretch>
                  </pic:blipFill>
                  <pic:spPr bwMode="auto">
                    <a:xfrm>
                      <a:off x="0" y="0"/>
                      <a:ext cx="5753100" cy="3013528"/>
                    </a:xfrm>
                    <a:prstGeom prst="rect">
                      <a:avLst/>
                    </a:prstGeom>
                    <a:noFill/>
                    <a:ln w="9525">
                      <a:noFill/>
                      <a:headEnd/>
                      <a:tailEnd/>
                    </a:ln>
                  </pic:spPr>
                </pic:pic>
              </a:graphicData>
            </a:graphic>
          </wp:inline>
        </w:drawing>
      </w:r>
    </w:p>
    <w:p>
      <w:pPr>
        <w:pStyle w:val="ImageCaption"/>
      </w:pPr>
      <w:r>
        <w:t xml:space="preserve">Hình 5.1. Kiến trúc PortfolioVN</w:t>
      </w:r>
    </w:p>
    <w:p>
      <w:pPr>
        <w:pStyle w:val="SourceNote"/>
      </w:pPr>
      <w:r>
        <w:t xml:space="preserve">Nguồn: Tác giả thiết kế.</w:t>
      </w:r>
    </w:p>
    <w:p>
      <w:pPr>
        <w:pStyle w:val="BodyText"/>
      </w:pPr>
      <w:r>
        <w:t xml:space="preserve">Nguyên tắc thiết kế xuyên suốt là</w:t>
      </w:r>
      <w:r>
        <w:t xml:space="preserve"> </w:t>
      </w:r>
      <w:r>
        <w:rPr>
          <w:bCs/>
          <w:b/>
        </w:rPr>
        <w:t xml:space="preserve">ứng dụng không tính lại kết quả nghiên cứu</w:t>
      </w:r>
      <w:r>
        <w:t xml:space="preserve">. Mọi tỷ trọng, chỉ số hiệu quả và kết quả kiểm định đều đọc từ các file CSV do pipeline ở Chương 3 tạo ra. Nhờ vậy con số trên ứng dụng và trong luận văn luôn trùng nhau, và mọi thay đổi phương pháp phải đi qua pipeline đã kiểm thử.</w:t>
      </w:r>
    </w:p>
    <w:p>
      <w:pPr>
        <w:pStyle w:val="BodyText"/>
      </w:pPr>
      <w:r>
        <w:rPr>
          <w:bCs/>
          <w:b/>
        </w:rPr>
        <w:t xml:space="preserve">Pipeline nghiên cứu</w:t>
      </w:r>
      <w:r>
        <w:t xml:space="preserve"> </w:t>
      </w:r>
      <w:r>
        <w:t xml:space="preserve">gồm các script Python đánh số 00–19, chạy qua một điểm vào duy nhất (</w:t>
      </w:r>
      <w:r>
        <w:rPr>
          <w:rStyle w:val="VerbatimChar"/>
        </w:rPr>
        <w:t xml:space="preserve">run.py</w:t>
      </w:r>
      <w:r>
        <w:t xml:space="preserve">) với các giai đoạn</w:t>
      </w:r>
      <w:r>
        <w:t xml:space="preserve"> </w:t>
      </w:r>
      <w:r>
        <w:rPr>
          <w:rStyle w:val="VerbatimChar"/>
        </w:rPr>
        <w:t xml:space="preserve">backtest</w:t>
      </w:r>
      <w:r>
        <w:t xml:space="preserve">,</w:t>
      </w:r>
      <w:r>
        <w:t xml:space="preserve"> </w:t>
      </w:r>
      <w:r>
        <w:rPr>
          <w:rStyle w:val="VerbatimChar"/>
        </w:rPr>
        <w:t xml:space="preserve">forecasts</w:t>
      </w:r>
      <w:r>
        <w:t xml:space="preserve">,</w:t>
      </w:r>
      <w:r>
        <w:t xml:space="preserve"> </w:t>
      </w:r>
      <w:r>
        <w:rPr>
          <w:rStyle w:val="VerbatimChar"/>
        </w:rPr>
        <w:t xml:space="preserve">all</w:t>
      </w:r>
      <w:r>
        <w:t xml:space="preserve"> </w:t>
      </w:r>
      <w:r>
        <w:t xml:space="preserve">và</w:t>
      </w:r>
      <w:r>
        <w:t xml:space="preserve"> </w:t>
      </w:r>
      <w:r>
        <w:rPr>
          <w:rStyle w:val="VerbatimChar"/>
        </w:rPr>
        <w:t xml:space="preserve">simulation</w:t>
      </w:r>
      <w:r>
        <w:t xml:space="preserve">. Giai đoạn</w:t>
      </w:r>
      <w:r>
        <w:t xml:space="preserve"> </w:t>
      </w:r>
      <w:r>
        <w:rPr>
          <w:rStyle w:val="VerbatimChar"/>
        </w:rPr>
        <w:t xml:space="preserve">backtest</w:t>
      </w:r>
      <w:r>
        <w:t xml:space="preserve"> </w:t>
      </w:r>
      <w:r>
        <w:t xml:space="preserve">chạy backtest, kiểm định, độ nhạy và kiểm tra chất lượng trong khoảng một phút; giai đoạn</w:t>
      </w:r>
      <w:r>
        <w:t xml:space="preserve"> </w:t>
      </w:r>
      <w:r>
        <w:rPr>
          <w:rStyle w:val="VerbatimChar"/>
        </w:rPr>
        <w:t xml:space="preserve">all</w:t>
      </w:r>
      <w:r>
        <w:t xml:space="preserve"> </w:t>
      </w:r>
      <w:r>
        <w:t xml:space="preserve">chạy toàn bộ từ dựng panel đến mô phỏng bootstrap. Đầu ra là khoảng 30 file CSV, kèm tệp checksum để kiểm tra tái lập.</w:t>
      </w:r>
    </w:p>
    <w:p>
      <w:pPr>
        <w:pStyle w:val="BodyText"/>
      </w:pPr>
      <w:r>
        <w:rPr>
          <w:bCs/>
          <w:b/>
        </w:rPr>
        <w:t xml:space="preserve">Kho kết quả theo phiên bản.</w:t>
      </w:r>
      <w:r>
        <w:t xml:space="preserve"> </w:t>
      </w:r>
      <w:r>
        <w:t xml:space="preserve">Mỗi bộ kết quả được nạp vào cơ sở dữ liệu thành một phiên bản bất biến, kèm manifest ghi nguồn, phạm vi dữ liệu, số dòng, checksum và kết quả kiểm tra cấu trúc. Tại mỗi thời điểm chỉ có một phiên bản active. Admin có thể chạy lại giai đoạn backtest với tham số khác (δ = 1,5 / 2,5 / 4; phí theo lớp hoặc đồng nhất 0–0,5%) trong một bản sao cô lập, tối đa một lượt cùng lúc; kết quả hợp lệ thành phiên bản draft và chỉ được công bố khi Admin kích hoạt. Lượt chạy lỗi không ảnh hưởng phiên bản đang dùng.</w:t>
      </w:r>
    </w:p>
    <w:p>
      <w:pPr>
        <w:pStyle w:val="BodyText"/>
      </w:pPr>
      <w:r>
        <w:rPr>
          <w:bCs/>
          <w:b/>
        </w:rPr>
        <w:t xml:space="preserve">Backend FastAPI</w:t>
      </w:r>
      <w:r>
        <w:t xml:space="preserve"> </w:t>
      </w:r>
      <w:r>
        <w:t xml:space="preserve">chia hai lớp. Lớp</w:t>
      </w:r>
      <w:r>
        <w:t xml:space="preserve"> </w:t>
      </w:r>
      <w:r>
        <w:rPr>
          <w:rStyle w:val="VerbatimChar"/>
        </w:rPr>
        <w:t xml:space="preserve">domain</w:t>
      </w:r>
      <w:r>
        <w:t xml:space="preserve"> </w:t>
      </w:r>
      <w:r>
        <w:t xml:space="preserve">chứa quy tắc nghiệp vụ thuần (đánh giá khẩu vị, chia tiền theo tỷ trọng, rủi ro bằng tiền đồng, lịch tái cân bằng, câu giải thích), không phụ thuộc cơ sở dữ liệu nên kiểm thử được độc lập. Lớp</w:t>
      </w:r>
      <w:r>
        <w:t xml:space="preserve"> </w:t>
      </w:r>
      <w:r>
        <w:rPr>
          <w:rStyle w:val="VerbatimChar"/>
        </w:rPr>
        <w:t xml:space="preserve">services</w:t>
      </w:r>
      <w:r>
        <w:t xml:space="preserve"> </w:t>
      </w:r>
      <w:r>
        <w:t xml:space="preserve">ghép các quy tắc với dữ liệu phiên bản để tạo kế hoạch, kích hoạt phiên bản và chạy lại pipeline. Cơ sở dữ liệu qua SQLAlchemy và Alembic, chạy SQLite khi demo và có thể chuyển sang MySQL hoặc PostgreSQL.</w:t>
      </w:r>
    </w:p>
    <w:p>
      <w:pPr>
        <w:pStyle w:val="BodyText"/>
      </w:pPr>
      <w:r>
        <w:rPr>
          <w:bCs/>
          <w:b/>
        </w:rPr>
        <w:t xml:space="preserve">Giao diện React</w:t>
      </w:r>
      <w:r>
        <w:t xml:space="preserve"> </w:t>
      </w:r>
      <w:r>
        <w:t xml:space="preserve">(Vite, TypeScript) song ngữ Việt–Anh, gồm các trang: tổng quan thị trường, chi tiết từng lớp tài sản, tin tức tóm tắt tháng, phân tích so sánh 7 phương pháp, tư vấn, danh sách và báo cáo kế hoạch, và khu quản trị.</w:t>
      </w:r>
    </w:p>
    <w:bookmarkEnd w:id="144"/>
    <w:bookmarkStart w:id="145" w:name="mô-hình-dữ-liệu"/>
    <w:p>
      <w:pPr>
        <w:pStyle w:val="Heading3"/>
      </w:pPr>
      <w:r>
        <w:t xml:space="preserve">5.2.2 Mô hình dữ liệu</w:t>
      </w:r>
    </w:p>
    <w:p>
      <w:pPr>
        <w:pStyle w:val="TableCaption"/>
      </w:pPr>
      <w:r>
        <w:t xml:space="preserve">Bảng 5.2. Các bảng dữ liệu chính của ứng dụng</w:t>
      </w:r>
    </w:p>
    <w:tbl>
      <w:tblPr>
        <w:tblStyle w:val="Table"/>
        <w:tblW w:type="pct" w:w="5000"/>
        <w:jc w:val="center"/>
        <w:tblLook w:firstRow="1" w:lastRow="0" w:firstColumn="0" w:lastColumn="0" w:noHBand="0" w:noVBand="0" w:val="0020"/>
        <w:tblCaption w:val="Bảng 5.2. Các bảng dữ liệu chính của ứng dụng"/>
      </w:tblPr>
      <w:tblGrid>
        <w:gridCol w:w="1565"/>
        <w:gridCol w:w="2670"/>
        <w:gridCol w:w="3683"/>
      </w:tblGrid>
      <w:tr>
        <w:trPr>
          <w:tblHeader w:val="true"/>
        </w:trPr>
        <w:tc>
          <w:tcPr/>
          <w:p>
            <w:pPr>
              <w:pStyle w:val="Compact"/>
              <w:jc w:val="center"/>
            </w:pPr>
            <w:r>
              <w:rPr>
                <w:b/>
              </w:rPr>
              <w:t xml:space="preserve">Bảng</w:t>
            </w:r>
          </w:p>
        </w:tc>
        <w:tc>
          <w:tcPr/>
          <w:p>
            <w:pPr>
              <w:pStyle w:val="Compact"/>
              <w:jc w:val="center"/>
            </w:pPr>
            <w:r>
              <w:rPr>
                <w:b/>
              </w:rPr>
              <w:t xml:space="preserve">Nội dung</w:t>
            </w:r>
          </w:p>
        </w:tc>
        <w:tc>
          <w:tcPr/>
          <w:p>
            <w:pPr>
              <w:pStyle w:val="Compact"/>
              <w:jc w:val="center"/>
            </w:pPr>
            <w:r>
              <w:rPr>
                <w:b/>
              </w:rPr>
              <w:t xml:space="preserve">Trường chính</w:t>
            </w:r>
          </w:p>
        </w:tc>
      </w:tr>
      <w:tr>
        <w:trPr>
          <w:cantSplit/>
        </w:trPr>
        <w:tc>
          <w:tcPr/>
          <w:p>
            <w:pPr>
              <w:pStyle w:val="Compact"/>
              <w:jc w:val="left"/>
            </w:pPr>
            <w:r>
              <w:t xml:space="preserve">Người dùng demo</w:t>
            </w:r>
          </w:p>
        </w:tc>
        <w:tc>
          <w:tcPr/>
          <w:p>
            <w:pPr>
              <w:pStyle w:val="Compact"/>
              <w:jc w:val="left"/>
            </w:pPr>
            <w:r>
              <w:t xml:space="preserve">Hồ sơ mẫu theo vai trò</w:t>
            </w:r>
          </w:p>
        </w:tc>
        <w:tc>
          <w:tcPr/>
          <w:p>
            <w:pPr>
              <w:pStyle w:val="Compact"/>
              <w:jc w:val="left"/>
            </w:pPr>
            <w:r>
              <w:t xml:space="preserve">Mã, tên hiển thị, vai trò, ngôn ngữ</w:t>
            </w:r>
          </w:p>
        </w:tc>
      </w:tr>
      <w:tr>
        <w:trPr>
          <w:cantSplit/>
        </w:trPr>
        <w:tc>
          <w:tcPr/>
          <w:p>
            <w:pPr>
              <w:pStyle w:val="Compact"/>
              <w:jc w:val="left"/>
            </w:pPr>
            <w:r>
              <w:t xml:space="preserve">Phiên bản kết quả</w:t>
            </w:r>
          </w:p>
        </w:tc>
        <w:tc>
          <w:tcPr/>
          <w:p>
            <w:pPr>
              <w:pStyle w:val="Compact"/>
              <w:jc w:val="left"/>
            </w:pPr>
            <w:r>
              <w:t xml:space="preserve">Một bộ kết quả nghiên cứu</w:t>
            </w:r>
          </w:p>
        </w:tc>
        <w:tc>
          <w:tcPr/>
          <w:p>
            <w:pPr>
              <w:pStyle w:val="Compact"/>
              <w:jc w:val="left"/>
            </w:pPr>
            <w:r>
              <w:t xml:space="preserve">Nhãn, trạng thái (draft/active), tham số, manifest, checksum panel, thời điểm kích hoạt</w:t>
            </w:r>
          </w:p>
        </w:tc>
      </w:tr>
      <w:tr>
        <w:trPr>
          <w:cantSplit/>
        </w:trPr>
        <w:tc>
          <w:tcPr/>
          <w:p>
            <w:pPr>
              <w:pStyle w:val="Compact"/>
              <w:jc w:val="left"/>
            </w:pPr>
            <w:r>
              <w:t xml:space="preserve">Tệp kết quả</w:t>
            </w:r>
          </w:p>
        </w:tc>
        <w:tc>
          <w:tcPr/>
          <w:p>
            <w:pPr>
              <w:pStyle w:val="Compact"/>
              <w:jc w:val="left"/>
            </w:pPr>
            <w:r>
              <w:t xml:space="preserve">Từng file CSV của một phiên bản</w:t>
            </w:r>
          </w:p>
        </w:tc>
        <w:tc>
          <w:tcPr/>
          <w:p>
            <w:pPr>
              <w:pStyle w:val="Compact"/>
              <w:jc w:val="left"/>
            </w:pPr>
            <w:r>
              <w:t xml:space="preserve">Tên file, nội dung nén, mã băm SHA-256</w:t>
            </w:r>
          </w:p>
        </w:tc>
      </w:tr>
      <w:tr>
        <w:trPr>
          <w:cantSplit/>
        </w:trPr>
        <w:tc>
          <w:tcPr/>
          <w:p>
            <w:pPr>
              <w:pStyle w:val="Compact"/>
              <w:jc w:val="left"/>
            </w:pPr>
            <w:r>
              <w:t xml:space="preserve">Quy tắc thực hiện</w:t>
            </w:r>
          </w:p>
        </w:tc>
        <w:tc>
          <w:tcPr/>
          <w:p>
            <w:pPr>
              <w:pStyle w:val="Compact"/>
              <w:jc w:val="left"/>
            </w:pPr>
            <w:r>
              <w:t xml:space="preserve">Lô giao dịch và mức tối thiểu</w:t>
            </w:r>
          </w:p>
        </w:tc>
        <w:tc>
          <w:tcPr/>
          <w:p>
            <w:pPr>
              <w:pStyle w:val="Compact"/>
              <w:jc w:val="left"/>
            </w:pPr>
            <w:r>
              <w:t xml:space="preserve">Bộ quy tắc, cờ đang dùng</w:t>
            </w:r>
          </w:p>
        </w:tc>
      </w:tr>
      <w:tr>
        <w:trPr>
          <w:cantSplit/>
        </w:trPr>
        <w:tc>
          <w:tcPr/>
          <w:p>
            <w:pPr>
              <w:pStyle w:val="Compact"/>
              <w:jc w:val="left"/>
            </w:pPr>
            <w:r>
              <w:t xml:space="preserve">Kế hoạch</w:t>
            </w:r>
          </w:p>
        </w:tc>
        <w:tc>
          <w:tcPr/>
          <w:p>
            <w:pPr>
              <w:pStyle w:val="Compact"/>
              <w:jc w:val="left"/>
            </w:pPr>
            <w:r>
              <w:t xml:space="preserve">Kế hoạch đã tạo</w:t>
            </w:r>
          </w:p>
        </w:tc>
        <w:tc>
          <w:tcPr/>
          <w:p>
            <w:pPr>
              <w:pStyle w:val="Compact"/>
              <w:jc w:val="left"/>
            </w:pPr>
            <w:r>
              <w:t xml:space="preserve">Mã kế hoạch, người dùng, phiên bản, bộ quy tắc, ảnh chụp đầy đủ của kế hoạch</w:t>
            </w:r>
          </w:p>
        </w:tc>
      </w:tr>
      <w:tr>
        <w:trPr>
          <w:cantSplit/>
        </w:trPr>
        <w:tc>
          <w:tcPr/>
          <w:p>
            <w:pPr>
              <w:pStyle w:val="Compact"/>
              <w:jc w:val="left"/>
            </w:pPr>
            <w:r>
              <w:t xml:space="preserve">Liên kết chia sẻ</w:t>
            </w:r>
          </w:p>
        </w:tc>
        <w:tc>
          <w:tcPr/>
          <w:p>
            <w:pPr>
              <w:pStyle w:val="Compact"/>
              <w:jc w:val="left"/>
            </w:pPr>
            <w:r>
              <w:t xml:space="preserve">Liên kết công khai của kế hoạch</w:t>
            </w:r>
          </w:p>
        </w:tc>
        <w:tc>
          <w:tcPr/>
          <w:p>
            <w:pPr>
              <w:pStyle w:val="Compact"/>
              <w:jc w:val="left"/>
            </w:pPr>
            <w:r>
              <w:t xml:space="preserve">Mã ngẫu nhiên, kế hoạch, thời điểm thu hồi</w:t>
            </w:r>
          </w:p>
        </w:tc>
      </w:tr>
      <w:tr>
        <w:trPr>
          <w:cantSplit/>
        </w:trPr>
        <w:tc>
          <w:tcPr/>
          <w:p>
            <w:pPr>
              <w:pStyle w:val="Compact"/>
              <w:jc w:val="left"/>
            </w:pPr>
            <w:r>
              <w:t xml:space="preserve">Lượt chạy pipeline</w:t>
            </w:r>
          </w:p>
        </w:tc>
        <w:tc>
          <w:tcPr/>
          <w:p>
            <w:pPr>
              <w:pStyle w:val="Compact"/>
              <w:jc w:val="left"/>
            </w:pPr>
            <w:r>
              <w:t xml:space="preserve">Lịch sử chạy lại nghiên cứu</w:t>
            </w:r>
          </w:p>
        </w:tc>
        <w:tc>
          <w:tcPr/>
          <w:p>
            <w:pPr>
              <w:pStyle w:val="Compact"/>
              <w:jc w:val="left"/>
            </w:pPr>
            <w:r>
              <w:t xml:space="preserve">Trạng thái, giai đoạn, tham số, người chạy, nhật ký, phiên bản tạo ra</w:t>
            </w:r>
          </w:p>
        </w:tc>
      </w:tr>
      <w:tr>
        <w:trPr>
          <w:cantSplit/>
        </w:trPr>
        <w:tc>
          <w:tcPr/>
          <w:p>
            <w:pPr>
              <w:pStyle w:val="Compact"/>
              <w:jc w:val="left"/>
            </w:pPr>
            <w:r>
              <w:t xml:space="preserve">Nhật ký kiểm toán</w:t>
            </w:r>
          </w:p>
        </w:tc>
        <w:tc>
          <w:tcPr/>
          <w:p>
            <w:pPr>
              <w:pStyle w:val="Compact"/>
              <w:jc w:val="left"/>
            </w:pPr>
            <w:r>
              <w:t xml:space="preserve">Mọi thao tác quản trị</w:t>
            </w:r>
          </w:p>
        </w:tc>
        <w:tc>
          <w:tcPr/>
          <w:p>
            <w:pPr>
              <w:pStyle w:val="Compact"/>
              <w:jc w:val="left"/>
            </w:pPr>
            <w:r>
              <w:t xml:space="preserve">Người thực hiện, hành động, đối tượng, giá trị trước và sau</w:t>
            </w:r>
          </w:p>
        </w:tc>
      </w:tr>
      <w:tr>
        <w:trPr>
          <w:cantSplit/>
        </w:trPr>
        <w:tc>
          <w:tcPr/>
          <w:p>
            <w:pPr>
              <w:pStyle w:val="Compact"/>
              <w:jc w:val="left"/>
            </w:pPr>
            <w:r>
              <w:t xml:space="preserve">Tin tức</w:t>
            </w:r>
          </w:p>
        </w:tc>
        <w:tc>
          <w:tcPr/>
          <w:p>
            <w:pPr>
              <w:pStyle w:val="Compact"/>
              <w:jc w:val="left"/>
            </w:pPr>
            <w:r>
              <w:t xml:space="preserve">Bài tóm tắt thị trường</w:t>
            </w:r>
          </w:p>
        </w:tc>
        <w:tc>
          <w:tcPr/>
          <w:p>
            <w:pPr>
              <w:pStyle w:val="Compact"/>
              <w:jc w:val="left"/>
            </w:pPr>
            <w:r>
              <w:t xml:space="preserve">Loại, kỳ, trạng thái, nội dung, phiên bản dữ liệu</w:t>
            </w:r>
          </w:p>
        </w:tc>
      </w:tr>
    </w:tbl>
    <w:p>
      <w:pPr>
        <w:pStyle w:val="BodyText"/>
        <w:spacing w:before="200"/>
      </w:pPr>
      <w:r>
        <w:t xml:space="preserve">Hai lựa chọn thiết kế đáng chú ý. Thứ nhất, nội dung các file kết quả được lưu ngay trong cơ sở dữ liệu kèm mã băm, nên một phiên bản không thể bị thay đổi âm thầm sau khi tạo. Thứ hai, mỗi kế hoạch lưu một ảnh chụp đầy đủ (câu trả lời, điểm số, tỷ trọng, lệnh mua, rủi ro, câu giải thích) cùng mã phiên bản và mã bộ quy tắc đã dùng; khi dữ liệu được cập nhật, kế hoạch cũ vẫn hiển thị đúng như lúc tạo.</w:t>
      </w:r>
    </w:p>
    <w:bookmarkEnd w:id="145"/>
    <w:bookmarkStart w:id="146" w:name="giao-diện-lập-trình"/>
    <w:p>
      <w:pPr>
        <w:pStyle w:val="Heading3"/>
      </w:pPr>
      <w:r>
        <w:t xml:space="preserve">5.2.3 Giao diện lập trình</w:t>
      </w:r>
    </w:p>
    <w:p>
      <w:pPr>
        <w:pStyle w:val="TableCaption"/>
      </w:pPr>
      <w:r>
        <w:t xml:space="preserve">Bảng 5.3. Các nhóm điểm cuối API</w:t>
      </w:r>
    </w:p>
    <w:tbl>
      <w:tblPr>
        <w:tblStyle w:val="Table"/>
        <w:tblW w:type="pct" w:w="5000"/>
        <w:jc w:val="center"/>
        <w:tblLook w:firstRow="1" w:lastRow="0" w:firstColumn="0" w:lastColumn="0" w:noHBand="0" w:noVBand="0" w:val="0020"/>
        <w:tblCaption w:val="Bảng 5.3. Các nhóm điểm cuối API"/>
      </w:tblPr>
      <w:tblGrid>
        <w:gridCol w:w="920"/>
        <w:gridCol w:w="2455"/>
        <w:gridCol w:w="2455"/>
        <w:gridCol w:w="2087"/>
      </w:tblGrid>
      <w:tr>
        <w:trPr>
          <w:tblHeader w:val="true"/>
        </w:trPr>
        <w:tc>
          <w:tcPr/>
          <w:p>
            <w:pPr>
              <w:pStyle w:val="Compact"/>
              <w:jc w:val="center"/>
            </w:pPr>
            <w:r>
              <w:rPr>
                <w:b/>
              </w:rPr>
              <w:t xml:space="preserve">Nhóm</w:t>
            </w:r>
          </w:p>
        </w:tc>
        <w:tc>
          <w:tcPr/>
          <w:p>
            <w:pPr>
              <w:pStyle w:val="Compact"/>
              <w:jc w:val="center"/>
            </w:pPr>
            <w:r>
              <w:rPr>
                <w:b/>
              </w:rPr>
              <w:t xml:space="preserve">Ví dụ điểm cuối</w:t>
            </w:r>
          </w:p>
        </w:tc>
        <w:tc>
          <w:tcPr/>
          <w:p>
            <w:pPr>
              <w:pStyle w:val="Compact"/>
              <w:jc w:val="center"/>
            </w:pPr>
            <w:r>
              <w:rPr>
                <w:b/>
              </w:rPr>
              <w:t xml:space="preserve">Chức năng</w:t>
            </w:r>
          </w:p>
        </w:tc>
        <w:tc>
          <w:tcPr/>
          <w:p>
            <w:pPr>
              <w:pStyle w:val="Compact"/>
              <w:jc w:val="center"/>
            </w:pPr>
            <w:r>
              <w:rPr>
                <w:b/>
              </w:rPr>
              <w:t xml:space="preserve">Vai trò được phép</w:t>
            </w:r>
          </w:p>
        </w:tc>
      </w:tr>
      <w:tr>
        <w:trPr>
          <w:cantSplit/>
        </w:trPr>
        <w:tc>
          <w:tcPr/>
          <w:p>
            <w:pPr>
              <w:pStyle w:val="Compact"/>
              <w:jc w:val="left"/>
            </w:pPr>
            <w:r>
              <w:t xml:space="preserve">Xác thực</w:t>
            </w:r>
          </w:p>
        </w:tc>
        <w:tc>
          <w:tcPr/>
          <w:p>
            <w:pPr>
              <w:pStyle w:val="Compact"/>
              <w:jc w:val="left"/>
            </w:pPr>
            <w:r>
              <w:rPr>
                <w:rStyle w:val="VerbatimChar"/>
              </w:rPr>
              <w:t xml:space="preserve">/api/auth/login</w:t>
            </w:r>
            <w:r>
              <w:t xml:space="preserve">,</w:t>
            </w:r>
            <w:r>
              <w:t xml:space="preserve"> </w:t>
            </w:r>
            <w:r>
              <w:rPr>
                <w:rStyle w:val="VerbatimChar"/>
              </w:rPr>
              <w:t xml:space="preserve">/api/auth/session</w:t>
            </w:r>
          </w:p>
        </w:tc>
        <w:tc>
          <w:tcPr/>
          <w:p>
            <w:pPr>
              <w:pStyle w:val="Compact"/>
              <w:jc w:val="left"/>
            </w:pPr>
            <w:r>
              <w:t xml:space="preserve">Đăng nhập bằng mã demo, xem phiên làm việc</w:t>
            </w:r>
          </w:p>
        </w:tc>
        <w:tc>
          <w:tcPr/>
          <w:p>
            <w:pPr>
              <w:pStyle w:val="Compact"/>
              <w:jc w:val="left"/>
            </w:pPr>
            <w:r>
              <w:t xml:space="preserve">Mọi người</w:t>
            </w:r>
          </w:p>
        </w:tc>
      </w:tr>
      <w:tr>
        <w:trPr>
          <w:cantSplit/>
        </w:trPr>
        <w:tc>
          <w:tcPr/>
          <w:p>
            <w:pPr>
              <w:pStyle w:val="Compact"/>
              <w:jc w:val="left"/>
            </w:pPr>
            <w:r>
              <w:t xml:space="preserve">Dữ liệu thị trường</w:t>
            </w:r>
          </w:p>
        </w:tc>
        <w:tc>
          <w:tcPr/>
          <w:p>
            <w:pPr>
              <w:pStyle w:val="Compact"/>
              <w:jc w:val="left"/>
            </w:pPr>
            <w:r>
              <w:rPr>
                <w:rStyle w:val="VerbatimChar"/>
              </w:rPr>
              <w:t xml:space="preserve">/api/dashboard</w:t>
            </w:r>
            <w:r>
              <w:t xml:space="preserve">,</w:t>
            </w:r>
            <w:r>
              <w:t xml:space="preserve"> </w:t>
            </w:r>
            <w:r>
              <w:rPr>
                <w:rStyle w:val="VerbatimChar"/>
              </w:rPr>
              <w:t xml:space="preserve">/api/markets/{asset}</w:t>
            </w:r>
            <w:r>
              <w:t xml:space="preserve">,</w:t>
            </w:r>
            <w:r>
              <w:t xml:space="preserve"> </w:t>
            </w:r>
            <w:r>
              <w:rPr>
                <w:rStyle w:val="VerbatimChar"/>
              </w:rPr>
              <w:t xml:space="preserve">/api/news</w:t>
            </w:r>
          </w:p>
        </w:tc>
        <w:tc>
          <w:tcPr/>
          <w:p>
            <w:pPr>
              <w:pStyle w:val="Compact"/>
              <w:jc w:val="left"/>
            </w:pPr>
            <w:r>
              <w:t xml:space="preserve">Tổng quan, chi tiết lớp tài sản, tin tức</w:t>
            </w:r>
          </w:p>
        </w:tc>
        <w:tc>
          <w:tcPr/>
          <w:p>
            <w:pPr>
              <w:pStyle w:val="Compact"/>
              <w:jc w:val="left"/>
            </w:pPr>
            <w:r>
              <w:t xml:space="preserve">Người đã đăng nhập</w:t>
            </w:r>
          </w:p>
        </w:tc>
      </w:tr>
      <w:tr>
        <w:trPr>
          <w:cantSplit/>
        </w:trPr>
        <w:tc>
          <w:tcPr/>
          <w:p>
            <w:pPr>
              <w:pStyle w:val="Compact"/>
              <w:jc w:val="left"/>
            </w:pPr>
            <w:r>
              <w:t xml:space="preserve">Tư vấn</w:t>
            </w:r>
          </w:p>
        </w:tc>
        <w:tc>
          <w:tcPr/>
          <w:p>
            <w:pPr>
              <w:pStyle w:val="Compact"/>
              <w:jc w:val="left"/>
            </w:pPr>
            <w:r>
              <w:rPr>
                <w:rStyle w:val="VerbatimChar"/>
              </w:rPr>
              <w:t xml:space="preserve">/api/advisor/questions</w:t>
            </w:r>
            <w:r>
              <w:t xml:space="preserve">,</w:t>
            </w:r>
            <w:r>
              <w:t xml:space="preserve"> </w:t>
            </w:r>
            <w:r>
              <w:rPr>
                <w:rStyle w:val="VerbatimChar"/>
              </w:rPr>
              <w:t xml:space="preserve">/api/advisor/assess</w:t>
            </w:r>
          </w:p>
        </w:tc>
        <w:tc>
          <w:tcPr/>
          <w:p>
            <w:pPr>
              <w:pStyle w:val="Compact"/>
              <w:jc w:val="left"/>
            </w:pPr>
            <w:r>
              <w:t xml:space="preserve">Lấy bảng hỏi, chấm điểm khẩu vị</w:t>
            </w:r>
          </w:p>
        </w:tc>
        <w:tc>
          <w:tcPr/>
          <w:p>
            <w:pPr>
              <w:pStyle w:val="Compact"/>
              <w:jc w:val="left"/>
            </w:pPr>
            <w:r>
              <w:t xml:space="preserve">Nhà đầu tư</w:t>
            </w:r>
          </w:p>
        </w:tc>
      </w:tr>
      <w:tr>
        <w:trPr>
          <w:cantSplit/>
        </w:trPr>
        <w:tc>
          <w:tcPr/>
          <w:p>
            <w:pPr>
              <w:pStyle w:val="Compact"/>
              <w:jc w:val="left"/>
            </w:pPr>
            <w:r>
              <w:t xml:space="preserve">Kế hoạch</w:t>
            </w:r>
          </w:p>
        </w:tc>
        <w:tc>
          <w:tcPr/>
          <w:p>
            <w:pPr>
              <w:pStyle w:val="Compact"/>
              <w:jc w:val="left"/>
            </w:pPr>
            <w:r>
              <w:rPr>
                <w:rStyle w:val="VerbatimChar"/>
              </w:rPr>
              <w:t xml:space="preserve">/api/plans</w:t>
            </w:r>
            <w:r>
              <w:t xml:space="preserve">,</w:t>
            </w:r>
            <w:r>
              <w:t xml:space="preserve"> </w:t>
            </w:r>
            <w:r>
              <w:rPr>
                <w:rStyle w:val="VerbatimChar"/>
              </w:rPr>
              <w:t xml:space="preserve">/api/plans/{code}/share</w:t>
            </w:r>
            <w:r>
              <w:t xml:space="preserve">,</w:t>
            </w:r>
            <w:r>
              <w:t xml:space="preserve"> </w:t>
            </w:r>
            <w:r>
              <w:rPr>
                <w:rStyle w:val="VerbatimChar"/>
              </w:rPr>
              <w:t xml:space="preserve">/api/share/{token}</w:t>
            </w:r>
          </w:p>
        </w:tc>
        <w:tc>
          <w:tcPr/>
          <w:p>
            <w:pPr>
              <w:pStyle w:val="Compact"/>
              <w:jc w:val="left"/>
            </w:pPr>
            <w:r>
              <w:t xml:space="preserve">Tạo, xem, chia sẻ và thu hồi kế hoạch</w:t>
            </w:r>
          </w:p>
        </w:tc>
        <w:tc>
          <w:tcPr/>
          <w:p>
            <w:pPr>
              <w:pStyle w:val="Compact"/>
              <w:jc w:val="left"/>
            </w:pPr>
            <w:r>
              <w:t xml:space="preserve">Nhà đầu tư (của chính mình); liên kết công khai</w:t>
            </w:r>
          </w:p>
        </w:tc>
      </w:tr>
      <w:tr>
        <w:trPr>
          <w:cantSplit/>
        </w:trPr>
        <w:tc>
          <w:tcPr/>
          <w:p>
            <w:pPr>
              <w:pStyle w:val="Compact"/>
              <w:jc w:val="left"/>
            </w:pPr>
            <w:r>
              <w:t xml:space="preserve">Phân tích</w:t>
            </w:r>
          </w:p>
        </w:tc>
        <w:tc>
          <w:tcPr/>
          <w:p>
            <w:pPr>
              <w:pStyle w:val="Compact"/>
              <w:jc w:val="left"/>
            </w:pPr>
            <w:r>
              <w:rPr>
                <w:rStyle w:val="VerbatimChar"/>
              </w:rPr>
              <w:t xml:space="preserve">/api/analysis/compare</w:t>
            </w:r>
            <w:r>
              <w:t xml:space="preserve">,</w:t>
            </w:r>
            <w:r>
              <w:t xml:space="preserve"> </w:t>
            </w:r>
            <w:r>
              <w:rPr>
                <w:rStyle w:val="VerbatimChar"/>
              </w:rPr>
              <w:t xml:space="preserve">/api/analysis/methodology</w:t>
            </w:r>
            <w:r>
              <w:t xml:space="preserve">,</w:t>
            </w:r>
            <w:r>
              <w:t xml:space="preserve"> </w:t>
            </w:r>
            <w:r>
              <w:rPr>
                <w:rStyle w:val="VerbatimChar"/>
              </w:rPr>
              <w:t xml:space="preserve">/api/analysis/sensitivity</w:t>
            </w:r>
          </w:p>
        </w:tc>
        <w:tc>
          <w:tcPr/>
          <w:p>
            <w:pPr>
              <w:pStyle w:val="Compact"/>
              <w:jc w:val="left"/>
            </w:pPr>
            <w:r>
              <w:t xml:space="preserve">So sánh phương pháp, kiểm định, độ nhạy</w:t>
            </w:r>
          </w:p>
        </w:tc>
        <w:tc>
          <w:tcPr/>
          <w:p>
            <w:pPr>
              <w:pStyle w:val="Compact"/>
              <w:jc w:val="left"/>
            </w:pPr>
            <w:r>
              <w:t xml:space="preserve">Người đã đăng nhập</w:t>
            </w:r>
          </w:p>
        </w:tc>
      </w:tr>
      <w:tr>
        <w:trPr>
          <w:cantSplit/>
        </w:trPr>
        <w:tc>
          <w:tcPr/>
          <w:p>
            <w:pPr>
              <w:pStyle w:val="Compact"/>
              <w:jc w:val="left"/>
            </w:pPr>
            <w:r>
              <w:t xml:space="preserve">Quản trị</w:t>
            </w:r>
          </w:p>
        </w:tc>
        <w:tc>
          <w:tcPr/>
          <w:p>
            <w:pPr>
              <w:pStyle w:val="Compact"/>
              <w:jc w:val="left"/>
            </w:pPr>
            <w:r>
              <w:rPr>
                <w:rStyle w:val="VerbatimChar"/>
              </w:rPr>
              <w:t xml:space="preserve">/api/admin/versions</w:t>
            </w:r>
            <w:r>
              <w:t xml:space="preserve">,</w:t>
            </w:r>
            <w:r>
              <w:t xml:space="preserve"> </w:t>
            </w:r>
            <w:r>
              <w:rPr>
                <w:rStyle w:val="VerbatimChar"/>
              </w:rPr>
              <w:t xml:space="preserve">/api/admin/runs</w:t>
            </w:r>
            <w:r>
              <w:t xml:space="preserve">,</w:t>
            </w:r>
            <w:r>
              <w:t xml:space="preserve"> </w:t>
            </w:r>
            <w:r>
              <w:rPr>
                <w:rStyle w:val="VerbatimChar"/>
              </w:rPr>
              <w:t xml:space="preserve">/api/admin/execution-rules</w:t>
            </w:r>
            <w:r>
              <w:t xml:space="preserve">,</w:t>
            </w:r>
            <w:r>
              <w:t xml:space="preserve"> </w:t>
            </w:r>
            <w:r>
              <w:rPr>
                <w:rStyle w:val="VerbatimChar"/>
              </w:rPr>
              <w:t xml:space="preserve">/api/admin/audit</w:t>
            </w:r>
          </w:p>
        </w:tc>
        <w:tc>
          <w:tcPr/>
          <w:p>
            <w:pPr>
              <w:pStyle w:val="Compact"/>
              <w:jc w:val="left"/>
            </w:pPr>
            <w:r>
              <w:t xml:space="preserve">Phiên bản, chạy lại, quy tắc thực hiện, nhật ký</w:t>
            </w:r>
          </w:p>
        </w:tc>
        <w:tc>
          <w:tcPr/>
          <w:p>
            <w:pPr>
              <w:pStyle w:val="Compact"/>
              <w:jc w:val="left"/>
            </w:pPr>
            <w:r>
              <w:t xml:space="preserve">Admin</w:t>
            </w:r>
          </w:p>
        </w:tc>
      </w:tr>
    </w:tbl>
    <w:p>
      <w:pPr>
        <w:pStyle w:val="BodyText"/>
        <w:spacing w:before="200"/>
      </w:pPr>
      <w:r>
        <w:t xml:space="preserve">Phân quyền được kiểm tra ở phía máy chủ cho từng điểm cuối. Một nhà đầu tư yêu cầu xem kế hoạch của người khác nhận phản hồi</w:t>
      </w:r>
      <w:r>
        <w:t xml:space="preserve"> </w:t>
      </w:r>
      <w:r>
        <w:t xml:space="preserve">“</w:t>
      </w:r>
      <w:r>
        <w:t xml:space="preserve">không tìm thấy</w:t>
      </w:r>
      <w:r>
        <w:t xml:space="preserve">”</w:t>
      </w:r>
      <w:r>
        <w:t xml:space="preserve"> </w:t>
      </w:r>
      <w:r>
        <w:t xml:space="preserve">(404) thay vì</w:t>
      </w:r>
      <w:r>
        <w:t xml:space="preserve"> </w:t>
      </w:r>
      <w:r>
        <w:t xml:space="preserve">“</w:t>
      </w:r>
      <w:r>
        <w:t xml:space="preserve">không có quyền</w:t>
      </w:r>
      <w:r>
        <w:t xml:space="preserve">”</w:t>
      </w:r>
      <w:r>
        <w:t xml:space="preserve"> </w:t>
      </w:r>
      <w:r>
        <w:t xml:space="preserve">(403), để không tiết lộ sự tồn tại của kế hoạch.</w:t>
      </w:r>
    </w:p>
    <w:bookmarkEnd w:id="146"/>
    <w:bookmarkEnd w:id="147"/>
    <w:bookmarkStart w:id="156" w:name="luồng-tư-vấn"/>
    <w:p>
      <w:pPr>
        <w:pStyle w:val="Heading2"/>
      </w:pPr>
      <w:r>
        <w:t xml:space="preserve">5.3 Luồng tư vấn</w:t>
      </w:r>
    </w:p>
    <w:p>
      <w:pPr>
        <w:pStyle w:val="FirstParagraph"/>
      </w:pPr>
      <w:r>
        <w:t xml:space="preserve">Luồng tư vấn gồm năm bước, từ bảng hỏi đến báo cáo kế hoạch (Hình 5.2).</w:t>
      </w:r>
    </w:p>
    <w:p>
      <w:pPr>
        <w:pStyle w:val="CaptionedFigure"/>
      </w:pPr>
      <w:r>
        <w:drawing>
          <wp:inline>
            <wp:extent cx="5753100" cy="2191657"/>
            <wp:effectExtent b="0" l="0" r="0" t="0"/>
            <wp:docPr descr="Hình 5.2. Luồng tư vấn của PortfolioVN" title="" id="149" name="Picture"/>
            <a:graphic>
              <a:graphicData uri="http://schemas.openxmlformats.org/drawingml/2006/picture">
                <pic:pic>
                  <pic:nvPicPr>
                    <pic:cNvPr descr="img/h5_flow.png" id="150" name="Picture"/>
                    <pic:cNvPicPr>
                      <a:picLocks noChangeArrowheads="1" noChangeAspect="1"/>
                    </pic:cNvPicPr>
                  </pic:nvPicPr>
                  <pic:blipFill>
                    <a:blip r:embed="rId148"/>
                    <a:stretch>
                      <a:fillRect/>
                    </a:stretch>
                  </pic:blipFill>
                  <pic:spPr bwMode="auto">
                    <a:xfrm>
                      <a:off x="0" y="0"/>
                      <a:ext cx="5753100" cy="2191657"/>
                    </a:xfrm>
                    <a:prstGeom prst="rect">
                      <a:avLst/>
                    </a:prstGeom>
                    <a:noFill/>
                    <a:ln w="9525">
                      <a:noFill/>
                      <a:headEnd/>
                      <a:tailEnd/>
                    </a:ln>
                  </pic:spPr>
                </pic:pic>
              </a:graphicData>
            </a:graphic>
          </wp:inline>
        </w:drawing>
      </w:r>
    </w:p>
    <w:p>
      <w:pPr>
        <w:pStyle w:val="ImageCaption"/>
      </w:pPr>
      <w:r>
        <w:t xml:space="preserve">Hình 5.2. Luồng tư vấn của PortfolioVN</w:t>
      </w:r>
    </w:p>
    <w:p>
      <w:pPr>
        <w:pStyle w:val="SourceNote"/>
      </w:pPr>
      <w:r>
        <w:t xml:space="preserve">Nguồn: Tác giả thiết kế.</w:t>
      </w:r>
    </w:p>
    <w:bookmarkStart w:id="151" w:name="đánh-giá-khẩu-vị-rủi-ro"/>
    <w:p>
      <w:pPr>
        <w:pStyle w:val="Heading3"/>
      </w:pPr>
      <w:r>
        <w:t xml:space="preserve">5.3.1 Đánh giá khẩu vị rủi ro</w:t>
      </w:r>
    </w:p>
    <w:p>
      <w:pPr>
        <w:pStyle w:val="FirstParagraph"/>
      </w:pPr>
      <w:r>
        <w:t xml:space="preserve">Bảng hỏi gồm 8 câu, tách hai khái niệm thường bị gộp chung:</w:t>
      </w:r>
      <w:r>
        <w:t xml:space="preserve"> </w:t>
      </w:r>
      <w:r>
        <w:rPr>
          <w:bCs/>
          <w:b/>
        </w:rPr>
        <w:t xml:space="preserve">mức chấp nhận rủi ro</w:t>
      </w:r>
      <w:r>
        <w:t xml:space="preserve"> </w:t>
      </w:r>
      <w:r>
        <w:t xml:space="preserve">(người dùng muốn chịu bao nhiêu dao động) và</w:t>
      </w:r>
      <w:r>
        <w:t xml:space="preserve"> </w:t>
      </w:r>
      <w:r>
        <w:rPr>
          <w:bCs/>
          <w:b/>
        </w:rPr>
        <w:t xml:space="preserve">khả năng chịu rủi ro</w:t>
      </w:r>
      <w:r>
        <w:t xml:space="preserve"> </w:t>
      </w:r>
      <w:r>
        <w:t xml:space="preserve">(tình hình tài chính cho phép chịu bao nhiêu). Việc tách hai khái niệm này phù hợp với thông lệ trong tư vấn tài chính: một người trẻ có thu nhập ổn định có thể có khả năng chịu rủi ro cao nhưng tâm lý ngại rủi ro, và ngược lại một người thích mạo hiểm có thể không có quỹ dự phòng. Thang đo ba mức cho mỗi câu được thiết kế đơn giản để người không chuyên trả lời nhanh, tương tự các bảng hỏi khẩu vị rủi ro dùng trong nghiên cứu (Grable và Lytton, 1999).</w:t>
      </w:r>
    </w:p>
    <w:p>
      <w:pPr>
        <w:pStyle w:val="TableCaption"/>
      </w:pPr>
      <w:r>
        <w:t xml:space="preserve">Bảng 5.4. Nội dung bảng hỏi khẩu vị rủi ro</w:t>
      </w:r>
    </w:p>
    <w:tbl>
      <w:tblPr>
        <w:tblStyle w:val="Table"/>
        <w:tblW w:type="pct" w:w="5000"/>
        <w:jc w:val="center"/>
        <w:tblLook w:firstRow="1" w:lastRow="0" w:firstColumn="0" w:lastColumn="0" w:noHBand="0" w:noVBand="0" w:val="0020"/>
        <w:tblCaption w:val="Bảng 5.4. Nội dung bảng hỏi khẩu vị rủi ro"/>
      </w:tblPr>
      <w:tblGrid>
        <w:gridCol w:w="637"/>
        <w:gridCol w:w="3641"/>
        <w:gridCol w:w="3641"/>
      </w:tblGrid>
      <w:tr>
        <w:trPr>
          <w:tblHeader w:val="true"/>
        </w:trPr>
        <w:tc>
          <w:tcPr/>
          <w:p>
            <w:pPr>
              <w:pStyle w:val="Compact"/>
              <w:jc w:val="center"/>
            </w:pPr>
            <w:r>
              <w:rPr>
                <w:b/>
              </w:rPr>
              <w:t xml:space="preserve">Mã</w:t>
            </w:r>
          </w:p>
        </w:tc>
        <w:tc>
          <w:tcPr/>
          <w:p>
            <w:pPr>
              <w:pStyle w:val="Compact"/>
              <w:jc w:val="center"/>
            </w:pPr>
            <w:r>
              <w:rPr>
                <w:b/>
              </w:rPr>
              <w:t xml:space="preserve">Câu hỏi</w:t>
            </w:r>
          </w:p>
        </w:tc>
        <w:tc>
          <w:tcPr/>
          <w:p>
            <w:pPr>
              <w:pStyle w:val="Compact"/>
              <w:jc w:val="center"/>
            </w:pPr>
            <w:r>
              <w:rPr>
                <w:b/>
              </w:rPr>
              <w:t xml:space="preserve">Phương án (1 / 2 / 3 điểm)</w:t>
            </w:r>
          </w:p>
        </w:tc>
      </w:tr>
      <w:tr>
        <w:trPr>
          <w:cantSplit/>
        </w:trPr>
        <w:tc>
          <w:tcPr/>
          <w:p>
            <w:pPr>
              <w:pStyle w:val="Compact"/>
              <w:jc w:val="left"/>
            </w:pPr>
            <w:r>
              <w:t xml:space="preserve">T1</w:t>
            </w:r>
          </w:p>
        </w:tc>
        <w:tc>
          <w:tcPr/>
          <w:p>
            <w:pPr>
              <w:pStyle w:val="Compact"/>
              <w:jc w:val="left"/>
            </w:pPr>
            <w:r>
              <w:t xml:space="preserve">Nếu giá trị danh mục giảm mạnh trong thời gian ngắn, bạn sẽ làm gì?</w:t>
            </w:r>
          </w:p>
        </w:tc>
        <w:tc>
          <w:tcPr/>
          <w:p>
            <w:pPr>
              <w:pStyle w:val="Compact"/>
              <w:jc w:val="left"/>
            </w:pPr>
            <w:r>
              <w:t xml:space="preserve">Bán ngay để tránh lỗ thêm / Giữ nguyên, chờ phục hồi / Mua thêm vì giá đang rẻ</w:t>
            </w:r>
          </w:p>
        </w:tc>
      </w:tr>
      <w:tr>
        <w:trPr>
          <w:cantSplit/>
        </w:trPr>
        <w:tc>
          <w:tcPr/>
          <w:p>
            <w:pPr>
              <w:pStyle w:val="Compact"/>
              <w:jc w:val="left"/>
            </w:pPr>
            <w:r>
              <w:t xml:space="preserve">T2</w:t>
            </w:r>
          </w:p>
        </w:tc>
        <w:tc>
          <w:tcPr/>
          <w:p>
            <w:pPr>
              <w:pStyle w:val="Compact"/>
              <w:jc w:val="left"/>
            </w:pPr>
            <w:r>
              <w:t xml:space="preserve">Bạn đã có kinh nghiệm đầu tư ở mức nào?</w:t>
            </w:r>
          </w:p>
        </w:tc>
        <w:tc>
          <w:tcPr/>
          <w:p>
            <w:pPr>
              <w:pStyle w:val="Compact"/>
              <w:jc w:val="left"/>
            </w:pPr>
            <w:r>
              <w:t xml:space="preserve">Chỉ gửi tiết kiệm hoặc mua vàng / Đã đầu tư cổ phiếu hoặc chứng chỉ quỹ dưới 3 năm / Từ 3 năm trở lên</w:t>
            </w:r>
          </w:p>
        </w:tc>
      </w:tr>
      <w:tr>
        <w:trPr>
          <w:cantSplit/>
        </w:trPr>
        <w:tc>
          <w:tcPr/>
          <w:p>
            <w:pPr>
              <w:pStyle w:val="Compact"/>
              <w:jc w:val="left"/>
            </w:pPr>
            <w:r>
              <w:t xml:space="preserve">T3</w:t>
            </w:r>
          </w:p>
        </w:tc>
        <w:tc>
          <w:tcPr/>
          <w:p>
            <w:pPr>
              <w:pStyle w:val="Compact"/>
              <w:jc w:val="left"/>
            </w:pPr>
            <w:r>
              <w:t xml:space="preserve">Bạn ưu tiên điều gì trong mục tiêu đầu tư?</w:t>
            </w:r>
          </w:p>
        </w:tc>
        <w:tc>
          <w:tcPr/>
          <w:p>
            <w:pPr>
              <w:pStyle w:val="Compact"/>
              <w:jc w:val="left"/>
            </w:pPr>
            <w:r>
              <w:t xml:space="preserve">Bảo toàn vốn / Tăng trưởng ổn định, dao động vừa phải / Tăng trưởng cao, chấp nhận dao động lớn</w:t>
            </w:r>
          </w:p>
        </w:tc>
      </w:tr>
      <w:tr>
        <w:trPr>
          <w:cantSplit/>
        </w:trPr>
        <w:tc>
          <w:tcPr/>
          <w:p>
            <w:pPr>
              <w:pStyle w:val="Compact"/>
              <w:jc w:val="left"/>
            </w:pPr>
            <w:r>
              <w:t xml:space="preserve">T4</w:t>
            </w:r>
          </w:p>
        </w:tc>
        <w:tc>
          <w:tcPr/>
          <w:p>
            <w:pPr>
              <w:pStyle w:val="Compact"/>
              <w:jc w:val="left"/>
            </w:pPr>
            <w:r>
              <w:t xml:space="preserve">Mức dao động lợi nhuận nào bạn có thể chấp nhận?</w:t>
            </w:r>
          </w:p>
        </w:tc>
        <w:tc>
          <w:tcPr/>
          <w:p>
            <w:pPr>
              <w:pStyle w:val="Compact"/>
              <w:jc w:val="left"/>
            </w:pPr>
            <w:r>
              <w:t xml:space="preserve">Năm tốt +6 triệu, năm xấu −2 triệu / +15 triệu, −10 triệu / +25 triệu, −20 triệu</w:t>
            </w:r>
          </w:p>
        </w:tc>
      </w:tr>
      <w:tr>
        <w:trPr>
          <w:cantSplit/>
        </w:trPr>
        <w:tc>
          <w:tcPr/>
          <w:p>
            <w:pPr>
              <w:pStyle w:val="Compact"/>
              <w:jc w:val="left"/>
            </w:pPr>
            <w:r>
              <w:t xml:space="preserve">C1</w:t>
            </w:r>
          </w:p>
        </w:tc>
        <w:tc>
          <w:tcPr/>
          <w:p>
            <w:pPr>
              <w:pStyle w:val="Compact"/>
              <w:jc w:val="left"/>
            </w:pPr>
            <w:r>
              <w:t xml:space="preserve">Quỹ dự phòng hiện tại có thể trang trải chi tiêu trong bao lâu?</w:t>
            </w:r>
          </w:p>
        </w:tc>
        <w:tc>
          <w:tcPr/>
          <w:p>
            <w:pPr>
              <w:pStyle w:val="Compact"/>
              <w:jc w:val="left"/>
            </w:pPr>
            <w:r>
              <w:t xml:space="preserve">Chưa có hoặc dưới 3 tháng / 3–6 tháng / Trên 6 tháng</w:t>
            </w:r>
          </w:p>
        </w:tc>
      </w:tr>
      <w:tr>
        <w:trPr>
          <w:cantSplit/>
        </w:trPr>
        <w:tc>
          <w:tcPr/>
          <w:p>
            <w:pPr>
              <w:pStyle w:val="Compact"/>
              <w:jc w:val="left"/>
            </w:pPr>
            <w:r>
              <w:t xml:space="preserve">C2</w:t>
            </w:r>
          </w:p>
        </w:tc>
        <w:tc>
          <w:tcPr/>
          <w:p>
            <w:pPr>
              <w:pStyle w:val="Compact"/>
              <w:jc w:val="left"/>
            </w:pPr>
            <w:r>
              <w:t xml:space="preserve">Khoản đầu tư này chiếm bao nhiêu phần trăm tài sản tài chính?</w:t>
            </w:r>
          </w:p>
        </w:tc>
        <w:tc>
          <w:tcPr/>
          <w:p>
            <w:pPr>
              <w:pStyle w:val="Compact"/>
              <w:jc w:val="left"/>
            </w:pPr>
            <w:r>
              <w:t xml:space="preserve">Trên 50% / 20–50% / Dưới 20%</w:t>
            </w:r>
          </w:p>
        </w:tc>
      </w:tr>
      <w:tr>
        <w:trPr>
          <w:cantSplit/>
        </w:trPr>
        <w:tc>
          <w:tcPr/>
          <w:p>
            <w:pPr>
              <w:pStyle w:val="Compact"/>
              <w:jc w:val="left"/>
            </w:pPr>
            <w:r>
              <w:t xml:space="preserve">C3</w:t>
            </w:r>
          </w:p>
        </w:tc>
        <w:tc>
          <w:tcPr/>
          <w:p>
            <w:pPr>
              <w:pStyle w:val="Compact"/>
              <w:jc w:val="left"/>
            </w:pPr>
            <w:r>
              <w:t xml:space="preserve">Tình hình thu nhập và dòng tiền của bạn như thế nào?</w:t>
            </w:r>
          </w:p>
        </w:tc>
        <w:tc>
          <w:tcPr/>
          <w:p>
            <w:pPr>
              <w:pStyle w:val="Compact"/>
              <w:jc w:val="left"/>
            </w:pPr>
            <w:r>
              <w:t xml:space="preserve">Không ổn định hoặc sắp nghỉ hưu / Ổn định, đủ chi tiêu / Ổn định và thường xuyên có dư</w:t>
            </w:r>
          </w:p>
        </w:tc>
      </w:tr>
      <w:tr>
        <w:trPr>
          <w:cantSplit/>
        </w:trPr>
        <w:tc>
          <w:tcPr/>
          <w:p>
            <w:pPr>
              <w:pStyle w:val="Compact"/>
              <w:jc w:val="left"/>
            </w:pPr>
            <w:r>
              <w:t xml:space="preserve">H</w:t>
            </w:r>
          </w:p>
        </w:tc>
        <w:tc>
          <w:tcPr/>
          <w:p>
            <w:pPr>
              <w:pStyle w:val="Compact"/>
              <w:jc w:val="left"/>
            </w:pPr>
            <w:r>
              <w:t xml:space="preserve">Bạn dự định đầu tư trong khoảng thời gian nào?</w:t>
            </w:r>
          </w:p>
        </w:tc>
        <w:tc>
          <w:tcPr/>
          <w:p>
            <w:pPr>
              <w:pStyle w:val="Compact"/>
              <w:jc w:val="left"/>
            </w:pPr>
            <w:r>
              <w:t xml:space="preserve">Dưới 1 năm / 1–5 năm / Trên 5 năm</w:t>
            </w:r>
          </w:p>
        </w:tc>
      </w:tr>
    </w:tbl>
    <w:p/>
    <w:p>
      <w:pPr>
        <w:pStyle w:val="TableCaption"/>
      </w:pPr>
      <w:r>
        <w:t xml:space="preserve">Bảng 5.5. Cách chấm điểm và quy đổi</w:t>
      </w:r>
    </w:p>
    <w:tbl>
      <w:tblPr>
        <w:tblStyle w:val="Table"/>
        <w:tblW w:type="pct" w:w="5000"/>
        <w:jc w:val="center"/>
        <w:tblLook w:firstRow="1" w:lastRow="0" w:firstColumn="0" w:lastColumn="0" w:noHBand="0" w:noVBand="0" w:val="0020"/>
        <w:tblCaption w:val="Bảng 5.5. Cách chấm điểm và quy đổi"/>
      </w:tblPr>
      <w:tblGrid>
        <w:gridCol w:w="2603"/>
        <w:gridCol w:w="976"/>
        <w:gridCol w:w="4339"/>
      </w:tblGrid>
      <w:tr>
        <w:trPr>
          <w:tblHeader w:val="true"/>
        </w:trPr>
        <w:tc>
          <w:tcPr/>
          <w:p>
            <w:pPr>
              <w:pStyle w:val="Compact"/>
              <w:jc w:val="center"/>
            </w:pPr>
            <w:r>
              <w:rPr>
                <w:b/>
              </w:rPr>
              <w:t xml:space="preserve">Nhóm</w:t>
            </w:r>
          </w:p>
        </w:tc>
        <w:tc>
          <w:tcPr/>
          <w:p>
            <w:pPr>
              <w:pStyle w:val="Compact"/>
              <w:jc w:val="center"/>
            </w:pPr>
            <w:r>
              <w:rPr>
                <w:b/>
              </w:rPr>
              <w:t xml:space="preserve">Điểm</w:t>
            </w:r>
          </w:p>
        </w:tc>
        <w:tc>
          <w:tcPr/>
          <w:p>
            <w:pPr>
              <w:pStyle w:val="Compact"/>
              <w:jc w:val="center"/>
            </w:pPr>
            <w:r>
              <w:rPr>
                <w:b/>
              </w:rPr>
              <w:t xml:space="preserve">Quy đổi</w:t>
            </w:r>
          </w:p>
        </w:tc>
      </w:tr>
      <w:tr>
        <w:trPr>
          <w:cantSplit/>
        </w:trPr>
        <w:tc>
          <w:tcPr/>
          <w:p>
            <w:pPr>
              <w:pStyle w:val="Compact"/>
              <w:jc w:val="left"/>
            </w:pPr>
            <w:r>
              <w:t xml:space="preserve">Chấp nhận rủi ro (T1–T4)</w:t>
            </w:r>
          </w:p>
        </w:tc>
        <w:tc>
          <w:tcPr/>
          <w:p>
            <w:pPr>
              <w:pStyle w:val="Compact"/>
              <w:jc w:val="left"/>
            </w:pPr>
            <w:r>
              <w:t xml:space="preserve">4–12</w:t>
            </w:r>
          </w:p>
        </w:tc>
        <w:tc>
          <w:tcPr/>
          <w:p>
            <w:pPr>
              <w:pStyle w:val="Compact"/>
              <w:jc w:val="left"/>
            </w:pPr>
            <w:r>
              <w:t xml:space="preserve">4–6 Thận trọng; 7–9 Cân bằng; 10–12 Tăng trưởng</w:t>
            </w:r>
          </w:p>
        </w:tc>
      </w:tr>
      <w:tr>
        <w:trPr>
          <w:cantSplit/>
        </w:trPr>
        <w:tc>
          <w:tcPr/>
          <w:p>
            <w:pPr>
              <w:pStyle w:val="Compact"/>
              <w:jc w:val="left"/>
            </w:pPr>
            <w:r>
              <w:t xml:space="preserve">Khả năng chịu rủi ro (C1–C3)</w:t>
            </w:r>
          </w:p>
        </w:tc>
        <w:tc>
          <w:tcPr/>
          <w:p>
            <w:pPr>
              <w:pStyle w:val="Compact"/>
              <w:jc w:val="left"/>
            </w:pPr>
            <w:r>
              <w:t xml:space="preserve">3–9</w:t>
            </w:r>
          </w:p>
        </w:tc>
        <w:tc>
          <w:tcPr/>
          <w:p>
            <w:pPr>
              <w:pStyle w:val="Compact"/>
              <w:jc w:val="left"/>
            </w:pPr>
            <w:r>
              <w:t xml:space="preserve">3–4 Thận trọng; 5–7 Cân bằng; 8–9 Tăng trưởng</w:t>
            </w:r>
          </w:p>
        </w:tc>
      </w:tr>
      <w:tr>
        <w:trPr>
          <w:cantSplit/>
        </w:trPr>
        <w:tc>
          <w:tcPr/>
          <w:p>
            <w:pPr>
              <w:pStyle w:val="Compact"/>
              <w:jc w:val="left"/>
            </w:pPr>
            <w:r>
              <w:t xml:space="preserve">Thời gian (H)</w:t>
            </w:r>
          </w:p>
        </w:tc>
        <w:tc>
          <w:tcPr/>
          <w:p>
            <w:pPr>
              <w:pStyle w:val="Compact"/>
              <w:jc w:val="left"/>
            </w:pPr>
            <w:r>
              <w:t xml:space="preserve">–</w:t>
            </w:r>
          </w:p>
        </w:tc>
        <w:tc>
          <w:tcPr/>
          <w:p>
            <w:pPr>
              <w:pStyle w:val="Compact"/>
              <w:jc w:val="left"/>
            </w:pPr>
            <w:r>
              <w:t xml:space="preserve">Dưới 1 năm: tối đa Cân bằng; từ 1 năm: không giới hạn</w:t>
            </w:r>
          </w:p>
        </w:tc>
      </w:tr>
    </w:tbl>
    <w:p>
      <w:pPr>
        <w:pStyle w:val="BodyText"/>
        <w:spacing w:before="200"/>
      </w:pPr>
      <w:r>
        <w:t xml:space="preserve">Câu T4 dùng ví dụ bằng tiền thay vì phần trăm để người không chuyên dễ hình dung mức lãi lỗ có thể xảy ra, nhất quán với cách báo cáo kế hoạch thể hiện rủi ro bằng tiền đồng ở mục 5.3.4. Câu H đồng thời quyết định khung thời gian của kế hoạch: dưới 1 năm tương ứng ngắn hạn, 1–5 năm trung hạn và trên 5 năm dài hạn.</w:t>
      </w:r>
    </w:p>
    <w:p>
      <w:pPr>
        <w:pStyle w:val="ImagePlaceholder"/>
      </w:pPr>
      <w:r>
        <w:t xml:space="preserve">[CHÈN ẢNH CHỤP MÀN HÌNH: chụp trang Tư vấn khi đang trả lời các câu T1–T4, C1–C3 và H.]</w:t>
      </w:r>
    </w:p>
    <w:p>
      <w:pPr>
        <w:pStyle w:val="ImageCaption"/>
      </w:pPr>
      <w:r>
        <w:t xml:space="preserve">Hình 5.3. Màn hình bảng hỏi khẩu vị rủi ro</w:t>
      </w:r>
    </w:p>
    <w:p>
      <w:pPr>
        <w:pStyle w:val="BodyText"/>
      </w:pPr>
      <w:r>
        <w:t xml:space="preserve">Khẩu vị hệ thống là mức</w:t>
      </w:r>
      <w:r>
        <w:t xml:space="preserve"> </w:t>
      </w:r>
      <w:r>
        <w:rPr>
          <w:bCs/>
          <w:b/>
        </w:rPr>
        <w:t xml:space="preserve">thấp nhất</w:t>
      </w:r>
      <w:r>
        <w:t xml:space="preserve"> </w:t>
      </w:r>
      <w:r>
        <w:t xml:space="preserve">trong ba kết quả: mức chấp nhận, mức khả năng và trần theo thời gian. Nguyên tắc</w:t>
      </w:r>
      <w:r>
        <w:t xml:space="preserve"> </w:t>
      </w:r>
      <w:r>
        <w:t xml:space="preserve">“</w:t>
      </w:r>
      <w:r>
        <w:t xml:space="preserve">lấy mức thấp nhất</w:t>
      </w:r>
      <w:r>
        <w:t xml:space="preserve">”</w:t>
      </w:r>
      <w:r>
        <w:t xml:space="preserve"> </w:t>
      </w:r>
      <w:r>
        <w:t xml:space="preserve">bảo vệ nhà đầu tư khỏi hai sai lầm: chấp nhận rủi ro vượt khả năng tài chính, hoặc chấp nhận rủi ro cao với tiền cần dùng trong thời gian ngắn. Người dùng có thể chọn mức thấp hơn, hoặc cao hơn đúng một bậc nếu xác nhận đã hiểu rủi ro (lời xác nhận được lưu cùng phiên bản lời xác nhận và thời điểm); không được vượt trần theo thời gian. Bốn cảnh báo được hiển thị khi: mức chấp nhận cao hơn khả năng tài chính (W1); chưa có quỹ dự phòng 3 tháng (W2); trần thời gian làm giảm khẩu vị (W3); khoản đầu tư chiếm hơn nửa tài sản tài chính (W4).</w:t>
      </w:r>
    </w:p>
    <w:p>
      <w:pPr>
        <w:pStyle w:val="BodyText"/>
      </w:pPr>
      <w:r>
        <w:rPr>
          <w:bCs/>
          <w:b/>
        </w:rPr>
        <w:t xml:space="preserve">Ví dụ.</w:t>
      </w:r>
      <w:r>
        <w:t xml:space="preserve"> </w:t>
      </w:r>
      <w:r>
        <w:t xml:space="preserve">Một nhà đầu tư trả lời T1 = 2, T2 = 3, T3 = 3, T4 = 2 (tổng chấp nhận 10 điểm, Tăng trưởng), C1 = 2, C2 = 2, C3 = 2 (tổng khả năng 6 điểm, Cân bằng) và thời gian 1–5 năm (không giới hạn). Khẩu vị hệ thống là Cân bằng, mức thấp nhất trong ba kết quả, kèm cảnh báo W1 vì mức chấp nhận cao hơn khả năng tài chính. Người này có thể chọn Thận trọng, Cân bằng, hoặc Tăng trưởng nếu tích ô xác nhận; nếu thời gian dưới 1 năm, lựa chọn Tăng trưởng sẽ bị khóa.</w:t>
      </w:r>
    </w:p>
    <w:p>
      <w:pPr>
        <w:pStyle w:val="ImagePlaceholder"/>
      </w:pPr>
      <w:r>
        <w:t xml:space="preserve">[CHÈN ẢNH CHỤP MÀN HÌNH: chụp màn hình hiển thị điểm T/C, khẩu vị hệ thống, các cảnh báo W1–W4 và ô xác nhận khi chọn cao hơn một bậc.]</w:t>
      </w:r>
    </w:p>
    <w:p>
      <w:pPr>
        <w:pStyle w:val="ImageCaption"/>
      </w:pPr>
      <w:r>
        <w:t xml:space="preserve">Hình 5.4. Màn hình kết quả đánh giá và chọn khẩu vị</w:t>
      </w:r>
    </w:p>
    <w:bookmarkEnd w:id="151"/>
    <w:bookmarkStart w:id="152" w:name="phân-bổ-theo-risk-parity"/>
    <w:p>
      <w:pPr>
        <w:pStyle w:val="Heading3"/>
      </w:pPr>
      <w:r>
        <w:t xml:space="preserve">5.3.2 Phân bổ theo Risk Parity</w:t>
      </w:r>
    </w:p>
    <w:p>
      <w:pPr>
        <w:pStyle w:val="FirstParagraph"/>
      </w:pPr>
      <w:r>
        <w:t xml:space="preserve">Tỷ trọng được đọc từ file</w:t>
      </w:r>
      <w:r>
        <w:t xml:space="preserve"> </w:t>
      </w:r>
      <w:r>
        <w:rPr>
          <w:rStyle w:val="VerbatimChar"/>
        </w:rPr>
        <w:t xml:space="preserve">allocation_current.csv</w:t>
      </w:r>
      <w:r>
        <w:t xml:space="preserve"> </w:t>
      </w:r>
      <w:r>
        <w:t xml:space="preserve">của phiên bản active, là quyết định Risk Parity trên dữ liệu đến tháng gần nhất (07/2026) theo đúng thiết kế hai tầng ở Chương 3. Lý do chọn Risk Parity thay vì phương pháp có Sharpe lịch sử cao nhất đã trình bày ở mục 4.8. Phương pháp này được cấu hình qua biến môi trường, nên có thể đổi mà không sửa mã; mọi chỉ số rủi ro trong báo cáo kế hoạch cũng đọc theo cùng cấu hình này.</w:t>
      </w:r>
    </w:p>
    <w:p>
      <w:pPr>
        <w:pStyle w:val="TableCaption"/>
      </w:pPr>
      <w:r>
        <w:t xml:space="preserve">Bảng 5.6. Tỷ trọng khuyến nghị hiện hành theo khẩu vị (Risk Parity, dữ liệu đến 07/2026)</w:t>
      </w:r>
    </w:p>
    <w:tbl>
      <w:tblPr>
        <w:tblStyle w:val="Table"/>
        <w:tblW w:type="pct" w:w="5000"/>
        <w:jc w:val="center"/>
        <w:tblLook w:firstRow="1" w:lastRow="0" w:firstColumn="0" w:lastColumn="0" w:noHBand="0" w:noVBand="0" w:val="0020"/>
        <w:tblCaption w:val="Bảng 5.6. Tỷ trọng khuyến nghị hiện hành theo khẩu vị (Risk Parity, dữ liệu đến 07/2026)"/>
      </w:tblPr>
      <w:tblGrid>
        <w:gridCol w:w="1284"/>
        <w:gridCol w:w="1284"/>
        <w:gridCol w:w="1177"/>
        <w:gridCol w:w="963"/>
        <w:gridCol w:w="1070"/>
        <w:gridCol w:w="1070"/>
        <w:gridCol w:w="1070"/>
      </w:tblGrid>
      <w:tr>
        <w:trPr>
          <w:tblHeader w:val="true"/>
        </w:trPr>
        <w:tc>
          <w:tcPr/>
          <w:p>
            <w:pPr>
              <w:pStyle w:val="Compact"/>
              <w:jc w:val="center"/>
            </w:pPr>
            <w:r>
              <w:rPr>
                <w:b/>
              </w:rPr>
              <w:t xml:space="preserve">Khẩu vị</w:t>
            </w:r>
          </w:p>
        </w:tc>
        <w:tc>
          <w:tcPr/>
          <w:p>
            <w:pPr>
              <w:pStyle w:val="Compact"/>
              <w:jc w:val="center"/>
            </w:pPr>
            <w:r>
              <w:rPr>
                <w:b/>
              </w:rPr>
              <w:t xml:space="preserve">Cổ phiếu (ETF)</w:t>
            </w:r>
          </w:p>
        </w:tc>
        <w:tc>
          <w:tcPr/>
          <w:p>
            <w:pPr>
              <w:pStyle w:val="Compact"/>
              <w:jc w:val="center"/>
            </w:pPr>
            <w:r>
              <w:rPr>
                <w:b/>
              </w:rPr>
              <w:t xml:space="preserve">Cổ phiếu BĐS</w:t>
            </w:r>
          </w:p>
        </w:tc>
        <w:tc>
          <w:tcPr/>
          <w:p>
            <w:pPr>
              <w:pStyle w:val="Compact"/>
              <w:jc w:val="center"/>
            </w:pPr>
            <w:r>
              <w:rPr>
                <w:b/>
              </w:rPr>
              <w:t xml:space="preserve">Vàng SJC</w:t>
            </w:r>
          </w:p>
        </w:tc>
        <w:tc>
          <w:tcPr/>
          <w:p>
            <w:pPr>
              <w:pStyle w:val="Compact"/>
              <w:jc w:val="center"/>
            </w:pPr>
            <w:r>
              <w:rPr>
                <w:b/>
              </w:rPr>
              <w:t xml:space="preserve">Trái phiếu</w:t>
            </w:r>
          </w:p>
        </w:tc>
        <w:tc>
          <w:tcPr/>
          <w:p>
            <w:pPr>
              <w:pStyle w:val="Compact"/>
              <w:jc w:val="center"/>
            </w:pPr>
            <w:r>
              <w:rPr>
                <w:b/>
              </w:rPr>
              <w:t xml:space="preserve">Tiền gửi</w:t>
            </w:r>
          </w:p>
        </w:tc>
        <w:tc>
          <w:tcPr/>
          <w:p>
            <w:pPr>
              <w:pStyle w:val="Compact"/>
              <w:jc w:val="center"/>
            </w:pPr>
            <w:r>
              <w:rPr>
                <w:b/>
              </w:rPr>
              <w:t xml:space="preserve">Nhóm rủi ro</w:t>
            </w:r>
          </w:p>
        </w:tc>
      </w:tr>
      <w:tr>
        <w:trPr>
          <w:cantSplit/>
        </w:trPr>
        <w:tc>
          <w:tcPr/>
          <w:p>
            <w:pPr>
              <w:pStyle w:val="Compact"/>
              <w:jc w:val="left"/>
            </w:pPr>
            <w:r>
              <w:t xml:space="preserve">Thận trọng</w:t>
            </w:r>
          </w:p>
        </w:tc>
        <w:tc>
          <w:tcPr/>
          <w:p>
            <w:pPr>
              <w:pStyle w:val="Compact"/>
              <w:jc w:val="left"/>
            </w:pPr>
            <w:r>
              <w:t xml:space="preserve">6,1%</w:t>
            </w:r>
          </w:p>
        </w:tc>
        <w:tc>
          <w:tcPr/>
          <w:p>
            <w:pPr>
              <w:pStyle w:val="Compact"/>
              <w:jc w:val="left"/>
            </w:pPr>
            <w:r>
              <w:t xml:space="preserve">3,9%</w:t>
            </w:r>
          </w:p>
        </w:tc>
        <w:tc>
          <w:tcPr/>
          <w:p>
            <w:pPr>
              <w:pStyle w:val="Compact"/>
              <w:jc w:val="left"/>
            </w:pPr>
            <w:r>
              <w:t xml:space="preserve">5,0%</w:t>
            </w:r>
          </w:p>
        </w:tc>
        <w:tc>
          <w:tcPr/>
          <w:p>
            <w:pPr>
              <w:pStyle w:val="Compact"/>
              <w:jc w:val="left"/>
            </w:pPr>
            <w:r>
              <w:t xml:space="preserve">50,0%</w:t>
            </w:r>
          </w:p>
        </w:tc>
        <w:tc>
          <w:tcPr/>
          <w:p>
            <w:pPr>
              <w:pStyle w:val="Compact"/>
              <w:jc w:val="left"/>
            </w:pPr>
            <w:r>
              <w:t xml:space="preserve">35,0%</w:t>
            </w:r>
          </w:p>
        </w:tc>
        <w:tc>
          <w:tcPr/>
          <w:p>
            <w:pPr>
              <w:pStyle w:val="Compact"/>
              <w:jc w:val="left"/>
            </w:pPr>
            <w:r>
              <w:t xml:space="preserve">10,0%</w:t>
            </w:r>
          </w:p>
        </w:tc>
      </w:tr>
      <w:tr>
        <w:trPr>
          <w:cantSplit/>
        </w:trPr>
        <w:tc>
          <w:tcPr/>
          <w:p>
            <w:pPr>
              <w:pStyle w:val="Compact"/>
              <w:jc w:val="left"/>
            </w:pPr>
            <w:r>
              <w:t xml:space="preserve">Cân bằng</w:t>
            </w:r>
          </w:p>
        </w:tc>
        <w:tc>
          <w:tcPr/>
          <w:p>
            <w:pPr>
              <w:pStyle w:val="Compact"/>
              <w:jc w:val="left"/>
            </w:pPr>
            <w:r>
              <w:t xml:space="preserve">24,2%</w:t>
            </w:r>
          </w:p>
        </w:tc>
        <w:tc>
          <w:tcPr/>
          <w:p>
            <w:pPr>
              <w:pStyle w:val="Compact"/>
              <w:jc w:val="left"/>
            </w:pPr>
            <w:r>
              <w:t xml:space="preserve">15,8%</w:t>
            </w:r>
          </w:p>
        </w:tc>
        <w:tc>
          <w:tcPr/>
          <w:p>
            <w:pPr>
              <w:pStyle w:val="Compact"/>
              <w:jc w:val="left"/>
            </w:pPr>
            <w:r>
              <w:t xml:space="preserve">3,4%</w:t>
            </w:r>
          </w:p>
        </w:tc>
        <w:tc>
          <w:tcPr/>
          <w:p>
            <w:pPr>
              <w:pStyle w:val="Compact"/>
              <w:jc w:val="left"/>
            </w:pPr>
            <w:r>
              <w:t xml:space="preserve">50,0%</w:t>
            </w:r>
          </w:p>
        </w:tc>
        <w:tc>
          <w:tcPr/>
          <w:p>
            <w:pPr>
              <w:pStyle w:val="Compact"/>
              <w:jc w:val="left"/>
            </w:pPr>
            <w:r>
              <w:t xml:space="preserve">6,6%</w:t>
            </w:r>
          </w:p>
        </w:tc>
        <w:tc>
          <w:tcPr/>
          <w:p>
            <w:pPr>
              <w:pStyle w:val="Compact"/>
              <w:jc w:val="left"/>
            </w:pPr>
            <w:r>
              <w:t xml:space="preserve">40,0%</w:t>
            </w:r>
          </w:p>
        </w:tc>
      </w:tr>
      <w:tr>
        <w:trPr>
          <w:cantSplit/>
        </w:trPr>
        <w:tc>
          <w:tcPr/>
          <w:p>
            <w:pPr>
              <w:pStyle w:val="Compact"/>
              <w:jc w:val="left"/>
            </w:pPr>
            <w:r>
              <w:t xml:space="preserve">Tăng trưởng</w:t>
            </w:r>
          </w:p>
        </w:tc>
        <w:tc>
          <w:tcPr/>
          <w:p>
            <w:pPr>
              <w:pStyle w:val="Compact"/>
              <w:jc w:val="left"/>
            </w:pPr>
            <w:r>
              <w:t xml:space="preserve">42,4%</w:t>
            </w:r>
          </w:p>
        </w:tc>
        <w:tc>
          <w:tcPr/>
          <w:p>
            <w:pPr>
              <w:pStyle w:val="Compact"/>
              <w:jc w:val="left"/>
            </w:pPr>
            <w:r>
              <w:t xml:space="preserve">27,6%</w:t>
            </w:r>
          </w:p>
        </w:tc>
        <w:tc>
          <w:tcPr/>
          <w:p>
            <w:pPr>
              <w:pStyle w:val="Compact"/>
              <w:jc w:val="left"/>
            </w:pPr>
            <w:r>
              <w:t xml:space="preserve">1,7%</w:t>
            </w:r>
          </w:p>
        </w:tc>
        <w:tc>
          <w:tcPr/>
          <w:p>
            <w:pPr>
              <w:pStyle w:val="Compact"/>
              <w:jc w:val="left"/>
            </w:pPr>
            <w:r>
              <w:t xml:space="preserve">28,3%</w:t>
            </w:r>
          </w:p>
        </w:tc>
        <w:tc>
          <w:tcPr/>
          <w:p>
            <w:pPr>
              <w:pStyle w:val="Compact"/>
              <w:jc w:val="left"/>
            </w:pPr>
            <w:r>
              <w:t xml:space="preserve">0,0%</w:t>
            </w:r>
          </w:p>
        </w:tc>
        <w:tc>
          <w:tcPr/>
          <w:p>
            <w:pPr>
              <w:pStyle w:val="Compact"/>
              <w:jc w:val="left"/>
            </w:pPr>
            <w:r>
              <w:t xml:space="preserve">70,0%</w:t>
            </w:r>
          </w:p>
        </w:tc>
      </w:tr>
    </w:tbl>
    <w:p>
      <w:pPr>
        <w:pStyle w:val="BodyText"/>
        <w:spacing w:before="200"/>
      </w:pPr>
      <w:r>
        <w:rPr>
          <w:iCs/>
          <w:i/>
        </w:rPr>
        <w:t xml:space="preserve">Ghi chú: tỷ trọng giống nhau giữa ba khung thời gian vì khung thời gian chỉ thay đổi tần suất tái cân bằng và kỳ hạn tiền gửi.</w:t>
      </w:r>
    </w:p>
    <w:p>
      <w:pPr>
        <w:pStyle w:val="BodyText"/>
      </w:pPr>
      <w:r>
        <w:t xml:space="preserve">Bảng 5.6 cho thấy ba đặc điểm của khuyến nghị hiện hành. Thứ nhất, nhóm rủi ro luôn nằm ở sàn của dải khẩu vị (10%, 40%, 70%), nhất quán với Bảng 4.19: Risk Parity luôn muốn giữ ít rủi ro hơn mức tối thiểu. Thứ hai, trái phiếu chạm trần 50% ở khẩu vị Thận trọng và Cân bằng, do độ biến động thấp của NAV quỹ. Thứ ba, tỷ trọng vàng hiện rất thấp (1,7–5,0%). Nguyên nhân chính không phải vàng có rủi ro quá cao, mà là trái phiếu có độ biến động quan sát được rất thấp nên chiếm gần hết nhóm phòng thủ khi Risk Parity chia tỷ trọng theo nghịch đảo rủi ro (phân tích chi tiết ở Bảng 5.7); Risk Parity không xét đến lợi nhuận quá khứ của vàng. Đây là một minh họa của tính chất</w:t>
      </w:r>
      <w:r>
        <w:t xml:space="preserve"> </w:t>
      </w:r>
      <w:r>
        <w:t xml:space="preserve">“</w:t>
      </w:r>
      <w:r>
        <w:t xml:space="preserve">không dự báo</w:t>
      </w:r>
      <w:r>
        <w:t xml:space="preserve">”</w:t>
      </w:r>
      <w:r>
        <w:t xml:space="preserve"> </w:t>
      </w:r>
      <w:r>
        <w:t xml:space="preserve">của Risk Parity: phương pháp không đuổi theo lớp vừa tăng giá, nhưng cũng không hưởng lợi nếu xu hướng tiếp tục.</w:t>
      </w:r>
    </w:p>
    <w:p>
      <w:pPr>
        <w:pStyle w:val="BodyText"/>
      </w:pPr>
      <w:r>
        <w:rPr>
          <w:bCs/>
          <w:b/>
        </w:rPr>
        <w:t xml:space="preserve">Từ ma trận hiệp phương sai đến tỷ trọng khuyến nghị.</w:t>
      </w:r>
      <w:r>
        <w:t xml:space="preserve"> </w:t>
      </w:r>
      <w:r>
        <w:t xml:space="preserve">Để thấy vì sao khuyến nghị Cân bằng hiện hành là 50% trái phiếu và chỉ 3,4% vàng, Bảng 5.7 đi qua ba tầng của thiết kế ở mục 3.3 với ma trận hiệp phương sai ước lượng tại cuối 07/2026. Tại thời điểm này, độ biến động năm hóa ước lượng là 20,4% cho cổ phiếu, 31,0% cho cổ phiếu BĐS, 20,2% cho vàng và chỉ 1,1% cho trái phiếu (sau khi khử độ trơn với ρ = 0,11); tương quan giữa hai lớp cổ phiếu là 0,52, các cặp còn lại đều dưới 0,2 về trị tuyệt đối; cường độ co Ledoit–Wolf là 0,21.</w:t>
      </w:r>
    </w:p>
    <w:p>
      <w:pPr>
        <w:pStyle w:val="TableCaption"/>
      </w:pPr>
      <w:r>
        <w:t xml:space="preserve">Bảng 5.7. Ba tầng tính tỷ trọng Risk Parity, khẩu vị Cân bằng, dữ liệu đến 07/2026</w:t>
      </w:r>
    </w:p>
    <w:tbl>
      <w:tblPr>
        <w:tblStyle w:val="Table"/>
        <w:tblW w:type="pct" w:w="5000"/>
        <w:jc w:val="center"/>
        <w:tblLook w:firstRow="1" w:lastRow="0" w:firstColumn="0" w:lastColumn="0" w:noHBand="0" w:noVBand="0" w:val="0020"/>
        <w:tblCaption w:val="Bảng 5.7. Ba tầng tính tỷ trọng Risk Parity, khẩu vị Cân bằng, dữ liệu đến 07/2026"/>
      </w:tblPr>
      <w:tblGrid>
        <w:gridCol w:w="2552"/>
        <w:gridCol w:w="880"/>
        <w:gridCol w:w="880"/>
        <w:gridCol w:w="792"/>
        <w:gridCol w:w="880"/>
        <w:gridCol w:w="792"/>
        <w:gridCol w:w="1144"/>
      </w:tblGrid>
      <w:tr>
        <w:trPr>
          <w:tblHeader w:val="true"/>
        </w:trPr>
        <w:tc>
          <w:tcPr/>
          <w:p>
            <w:pPr>
              <w:pStyle w:val="Compact"/>
              <w:jc w:val="center"/>
            </w:pPr>
            <w:r>
              <w:rPr>
                <w:b/>
              </w:rPr>
              <w:t xml:space="preserve">Bước</w:t>
            </w:r>
          </w:p>
        </w:tc>
        <w:tc>
          <w:tcPr/>
          <w:p>
            <w:pPr>
              <w:pStyle w:val="Compact"/>
              <w:jc w:val="center"/>
            </w:pPr>
            <w:r>
              <w:rPr>
                <w:b/>
              </w:rPr>
              <w:t xml:space="preserve">Cổ phiếu</w:t>
            </w:r>
          </w:p>
        </w:tc>
        <w:tc>
          <w:tcPr/>
          <w:p>
            <w:pPr>
              <w:pStyle w:val="Compact"/>
              <w:jc w:val="center"/>
            </w:pPr>
            <w:r>
              <w:rPr>
                <w:b/>
              </w:rPr>
              <w:t xml:space="preserve">Cổ phiếu BĐS</w:t>
            </w:r>
          </w:p>
        </w:tc>
        <w:tc>
          <w:tcPr/>
          <w:p>
            <w:pPr>
              <w:pStyle w:val="Compact"/>
              <w:jc w:val="center"/>
            </w:pPr>
            <w:r>
              <w:rPr>
                <w:b/>
              </w:rPr>
              <w:t xml:space="preserve">Vàng</w:t>
            </w:r>
          </w:p>
        </w:tc>
        <w:tc>
          <w:tcPr/>
          <w:p>
            <w:pPr>
              <w:pStyle w:val="Compact"/>
              <w:jc w:val="center"/>
            </w:pPr>
            <w:r>
              <w:rPr>
                <w:b/>
              </w:rPr>
              <w:t xml:space="preserve">Trái phiếu</w:t>
            </w:r>
          </w:p>
        </w:tc>
        <w:tc>
          <w:tcPr/>
          <w:p>
            <w:pPr>
              <w:pStyle w:val="Compact"/>
              <w:jc w:val="center"/>
            </w:pPr>
            <w:r>
              <w:rPr>
                <w:b/>
              </w:rPr>
              <w:t xml:space="preserve">Tiền gửi</w:t>
            </w:r>
          </w:p>
        </w:tc>
        <w:tc>
          <w:tcPr/>
          <w:p>
            <w:pPr>
              <w:pStyle w:val="Compact"/>
              <w:jc w:val="center"/>
            </w:pPr>
            <w:r>
              <w:rPr>
                <w:b/>
              </w:rPr>
              <w:t xml:space="preserve">Biến động danh mục</w:t>
            </w:r>
          </w:p>
        </w:tc>
      </w:tr>
      <w:tr>
        <w:trPr>
          <w:cantSplit/>
        </w:trPr>
        <w:tc>
          <w:tcPr/>
          <w:p>
            <w:pPr>
              <w:pStyle w:val="Compact"/>
              <w:jc w:val="left"/>
            </w:pPr>
            <w:r>
              <w:t xml:space="preserve">Tầng 2: ERC trên 4 lớp</w:t>
            </w:r>
          </w:p>
        </w:tc>
        <w:tc>
          <w:tcPr/>
          <w:p>
            <w:pPr>
              <w:pStyle w:val="Compact"/>
              <w:jc w:val="left"/>
            </w:pPr>
            <w:r>
              <w:t xml:space="preserve">4,0%</w:t>
            </w:r>
          </w:p>
        </w:tc>
        <w:tc>
          <w:tcPr/>
          <w:p>
            <w:pPr>
              <w:pStyle w:val="Compact"/>
              <w:jc w:val="left"/>
            </w:pPr>
            <w:r>
              <w:t xml:space="preserve">2,6%</w:t>
            </w:r>
          </w:p>
        </w:tc>
        <w:tc>
          <w:tcPr/>
          <w:p>
            <w:pPr>
              <w:pStyle w:val="Compact"/>
              <w:jc w:val="left"/>
            </w:pPr>
            <w:r>
              <w:t xml:space="preserve">5,2%</w:t>
            </w:r>
          </w:p>
        </w:tc>
        <w:tc>
          <w:tcPr/>
          <w:p>
            <w:pPr>
              <w:pStyle w:val="Compact"/>
              <w:jc w:val="left"/>
            </w:pPr>
            <w:r>
              <w:t xml:space="preserve">88,1%</w:t>
            </w:r>
          </w:p>
        </w:tc>
        <w:tc>
          <w:tcPr/>
          <w:p>
            <w:pPr>
              <w:pStyle w:val="Compact"/>
              <w:jc w:val="left"/>
            </w:pPr>
            <w:r>
              <w:t xml:space="preserve">–</w:t>
            </w:r>
          </w:p>
        </w:tc>
        <w:tc>
          <w:tcPr/>
          <w:p>
            <w:pPr>
              <w:pStyle w:val="Compact"/>
              <w:jc w:val="left"/>
            </w:pPr>
            <w:r>
              <w:t xml:space="preserve">2,1%</w:t>
            </w:r>
          </w:p>
        </w:tc>
      </w:tr>
      <w:tr>
        <w:trPr>
          <w:cantSplit/>
        </w:trPr>
        <w:tc>
          <w:tcPr/>
          <w:p>
            <w:pPr>
              <w:pStyle w:val="Compact"/>
              <w:jc w:val="left"/>
            </w:pPr>
            <w:r>
              <w:t xml:space="preserve">Đóng góp rủi ro (ERC)</w:t>
            </w:r>
          </w:p>
        </w:tc>
        <w:tc>
          <w:tcPr/>
          <w:p>
            <w:pPr>
              <w:pStyle w:val="Compact"/>
              <w:jc w:val="left"/>
            </w:pPr>
            <w:r>
              <w:t xml:space="preserve">25%</w:t>
            </w:r>
          </w:p>
        </w:tc>
        <w:tc>
          <w:tcPr/>
          <w:p>
            <w:pPr>
              <w:pStyle w:val="Compact"/>
              <w:jc w:val="left"/>
            </w:pPr>
            <w:r>
              <w:t xml:space="preserve">25%</w:t>
            </w:r>
          </w:p>
        </w:tc>
        <w:tc>
          <w:tcPr/>
          <w:p>
            <w:pPr>
              <w:pStyle w:val="Compact"/>
              <w:jc w:val="left"/>
            </w:pPr>
            <w:r>
              <w:t xml:space="preserve">25%</w:t>
            </w:r>
          </w:p>
        </w:tc>
        <w:tc>
          <w:tcPr/>
          <w:p>
            <w:pPr>
              <w:pStyle w:val="Compact"/>
              <w:jc w:val="left"/>
            </w:pPr>
            <w:r>
              <w:t xml:space="preserve">25%</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Tầng 1a: co về biến động 10%</w:t>
            </w:r>
          </w:p>
        </w:tc>
        <w:tc>
          <w:tcPr/>
          <w:p>
            <w:pPr>
              <w:pStyle w:val="Compact"/>
              <w:jc w:val="left"/>
            </w:pPr>
            <w:r>
              <w:t xml:space="preserve">4,0%</w:t>
            </w:r>
          </w:p>
        </w:tc>
        <w:tc>
          <w:tcPr/>
          <w:p>
            <w:pPr>
              <w:pStyle w:val="Compact"/>
              <w:jc w:val="left"/>
            </w:pPr>
            <w:r>
              <w:t xml:space="preserve">2,6%</w:t>
            </w:r>
          </w:p>
        </w:tc>
        <w:tc>
          <w:tcPr/>
          <w:p>
            <w:pPr>
              <w:pStyle w:val="Compact"/>
              <w:jc w:val="left"/>
            </w:pPr>
            <w:r>
              <w:t xml:space="preserve">5,2%</w:t>
            </w:r>
          </w:p>
        </w:tc>
        <w:tc>
          <w:tcPr/>
          <w:p>
            <w:pPr>
              <w:pStyle w:val="Compact"/>
              <w:jc w:val="left"/>
            </w:pPr>
            <w:r>
              <w:t xml:space="preserve">88,1%</w:t>
            </w:r>
          </w:p>
        </w:tc>
        <w:tc>
          <w:tcPr/>
          <w:p>
            <w:pPr>
              <w:pStyle w:val="Compact"/>
              <w:jc w:val="left"/>
            </w:pPr>
            <w:r>
              <w:t xml:space="preserve">0,0%</w:t>
            </w:r>
          </w:p>
        </w:tc>
        <w:tc>
          <w:tcPr/>
          <w:p>
            <w:pPr>
              <w:pStyle w:val="Compact"/>
              <w:jc w:val="left"/>
            </w:pPr>
            <w:r>
              <w:t xml:space="preserve">2,1%</w:t>
            </w:r>
          </w:p>
        </w:tc>
      </w:tr>
      <w:tr>
        <w:trPr>
          <w:cantSplit/>
        </w:trPr>
        <w:tc>
          <w:tcPr/>
          <w:p>
            <w:pPr>
              <w:pStyle w:val="Compact"/>
              <w:jc w:val="left"/>
            </w:pPr>
            <w:r>
              <w:t xml:space="preserve">Tầng 1b: nhóm rủi ro lên sàn 40%</w:t>
            </w:r>
          </w:p>
        </w:tc>
        <w:tc>
          <w:tcPr/>
          <w:p>
            <w:pPr>
              <w:pStyle w:val="Compact"/>
              <w:jc w:val="left"/>
            </w:pPr>
            <w:r>
              <w:t xml:space="preserve">24,2%</w:t>
            </w:r>
          </w:p>
        </w:tc>
        <w:tc>
          <w:tcPr/>
          <w:p>
            <w:pPr>
              <w:pStyle w:val="Compact"/>
              <w:jc w:val="left"/>
            </w:pPr>
            <w:r>
              <w:t xml:space="preserve">15,8%</w:t>
            </w:r>
          </w:p>
        </w:tc>
        <w:tc>
          <w:tcPr/>
          <w:p>
            <w:pPr>
              <w:pStyle w:val="Compact"/>
              <w:jc w:val="left"/>
            </w:pPr>
            <w:r>
              <w:t xml:space="preserve">3,4%</w:t>
            </w:r>
          </w:p>
        </w:tc>
        <w:tc>
          <w:tcPr/>
          <w:p>
            <w:pPr>
              <w:pStyle w:val="Compact"/>
              <w:jc w:val="left"/>
            </w:pPr>
            <w:r>
              <w:t xml:space="preserve">56,6%</w:t>
            </w:r>
          </w:p>
        </w:tc>
        <w:tc>
          <w:tcPr/>
          <w:p>
            <w:pPr>
              <w:pStyle w:val="Compact"/>
              <w:jc w:val="left"/>
            </w:pPr>
            <w:r>
              <w:t xml:space="preserve">0,0%</w:t>
            </w:r>
          </w:p>
        </w:tc>
        <w:tc>
          <w:tcPr/>
          <w:p>
            <w:pPr>
              <w:pStyle w:val="Compact"/>
              <w:jc w:val="left"/>
            </w:pPr>
            <w:r>
              <w:t xml:space="preserve">–</w:t>
            </w:r>
          </w:p>
        </w:tc>
      </w:tr>
      <w:tr>
        <w:trPr>
          <w:cantSplit/>
        </w:trPr>
        <w:tc>
          <w:tcPr/>
          <w:p>
            <w:pPr>
              <w:pStyle w:val="Compact"/>
              <w:jc w:val="left"/>
            </w:pPr>
            <w:r>
              <w:t xml:space="preserve">Tầng 1c: trần 50% (khuyến nghị)</w:t>
            </w:r>
          </w:p>
        </w:tc>
        <w:tc>
          <w:tcPr/>
          <w:p>
            <w:pPr>
              <w:pStyle w:val="Compact"/>
              <w:jc w:val="left"/>
            </w:pPr>
            <w:r>
              <w:t xml:space="preserve">24,2%</w:t>
            </w:r>
          </w:p>
        </w:tc>
        <w:tc>
          <w:tcPr/>
          <w:p>
            <w:pPr>
              <w:pStyle w:val="Compact"/>
              <w:jc w:val="left"/>
            </w:pPr>
            <w:r>
              <w:t xml:space="preserve">15,8%</w:t>
            </w:r>
          </w:p>
        </w:tc>
        <w:tc>
          <w:tcPr/>
          <w:p>
            <w:pPr>
              <w:pStyle w:val="Compact"/>
              <w:jc w:val="left"/>
            </w:pPr>
            <w:r>
              <w:t xml:space="preserve">3,4%</w:t>
            </w:r>
          </w:p>
        </w:tc>
        <w:tc>
          <w:tcPr/>
          <w:p>
            <w:pPr>
              <w:pStyle w:val="Compact"/>
              <w:jc w:val="left"/>
            </w:pPr>
            <w:r>
              <w:t xml:space="preserve">50,0%</w:t>
            </w:r>
          </w:p>
        </w:tc>
        <w:tc>
          <w:tcPr/>
          <w:p>
            <w:pPr>
              <w:pStyle w:val="Compact"/>
              <w:jc w:val="left"/>
            </w:pPr>
            <w:r>
              <w:t xml:space="preserve">6,6%</w:t>
            </w:r>
          </w:p>
        </w:tc>
        <w:tc>
          <w:tcPr/>
          <w:p>
            <w:pPr>
              <w:pStyle w:val="Compact"/>
              <w:jc w:val="left"/>
            </w:pPr>
            <w:r>
              <w:t xml:space="preserve">8,7%</w:t>
            </w:r>
          </w:p>
        </w:tc>
      </w:tr>
      <w:tr>
        <w:trPr>
          <w:cantSplit/>
        </w:trPr>
        <w:tc>
          <w:tcPr/>
          <w:p>
            <w:pPr>
              <w:pStyle w:val="Compact"/>
              <w:jc w:val="left"/>
            </w:pPr>
            <w:r>
              <w:t xml:space="preserve">Đóng góp rủi ro (khuyến nghị)</w:t>
            </w:r>
          </w:p>
        </w:tc>
        <w:tc>
          <w:tcPr/>
          <w:p>
            <w:pPr>
              <w:pStyle w:val="Compact"/>
              <w:jc w:val="left"/>
            </w:pPr>
            <w:r>
              <w:t xml:space="preserve">49,6%</w:t>
            </w:r>
          </w:p>
        </w:tc>
        <w:tc>
          <w:tcPr/>
          <w:p>
            <w:pPr>
              <w:pStyle w:val="Compact"/>
              <w:jc w:val="left"/>
            </w:pPr>
            <w:r>
              <w:t xml:space="preserve">48,8%</w:t>
            </w:r>
          </w:p>
        </w:tc>
        <w:tc>
          <w:tcPr/>
          <w:p>
            <w:pPr>
              <w:pStyle w:val="Compact"/>
              <w:jc w:val="left"/>
            </w:pPr>
            <w:r>
              <w:t xml:space="preserve">0,6%</w:t>
            </w:r>
          </w:p>
        </w:tc>
        <w:tc>
          <w:tcPr/>
          <w:p>
            <w:pPr>
              <w:pStyle w:val="Compact"/>
              <w:jc w:val="left"/>
            </w:pPr>
            <w:r>
              <w:t xml:space="preserve">1,1%</w:t>
            </w:r>
          </w:p>
        </w:tc>
        <w:tc>
          <w:tcPr/>
          <w:p>
            <w:pPr>
              <w:pStyle w:val="Compact"/>
              <w:jc w:val="left"/>
            </w:pPr>
            <w:r>
              <w:t xml:space="preserve">0</w:t>
            </w:r>
          </w:p>
        </w:tc>
        <w:tc>
          <w:tcPr/>
          <w:p>
            <w:pPr>
              <w:pStyle w:val="Compact"/>
              <w:jc w:val="left"/>
            </w:pPr>
            <w:r>
              <w:t xml:space="preserve">–</w:t>
            </w:r>
          </w:p>
        </w:tc>
      </w:tr>
    </w:tbl>
    <w:p>
      <w:pPr>
        <w:pStyle w:val="BodyText"/>
        <w:spacing w:before="200"/>
      </w:pPr>
      <w:r>
        <w:t xml:space="preserve">Từng bước diễn ra như sau. Ở tầng 2, Risk Parity cân bằng đóng góp rủi ro của bốn lớp, mỗi lớp 25%. Vì trái phiếu có độ biến động thấp hơn các lớp khác gần 20 lần, nó cần tỷ trọng 88% để đóng góp rủi ro ngang các lớp còn lại; kết quả rất gần danh mục nghịch đảo độ biến động (87%), vì các tương quan đều thấp. Danh mục này chỉ có độ biến động 2,1%/năm, thấp hơn nhiều mục tiêu 10%, nên bước co về độ biến động mục tiêu (tầng 1a) không thay đổi gì vì thiết kế không dùng đòn bẩy. Ở tầng 1b, nhóm rủi ro chỉ chiếm 6,6%, thấp hơn sàn 40% của khẩu vị Cân bằng, nên được nâng lên đúng 40%; tỷ lệ bên trong nhóm rủi ro được giữ nguyên (cổ phiếu : cổ phiếu BĐS = 60,6 : 39,4), còn nhóm phòng thủ bị co từ 93,4% xuống 60% với tỷ lệ vàng : trái phiếu giữ nguyên (5,6 : 94,4). Cuối cùng, ở tầng 1c, trái phiếu vượt trần 50%, phần vượt 6,6 điểm % được chuyển về tiền gửi.</w:t>
      </w:r>
    </w:p>
    <w:p>
      <w:pPr>
        <w:pStyle w:val="BodyText"/>
      </w:pPr>
      <w:r>
        <w:t xml:space="preserve">Bảng 5.7 làm rõ một điểm quan trọng mà người dùng cần hiểu: danh mục khuyến nghị</w:t>
      </w:r>
      <w:r>
        <w:t xml:space="preserve"> </w:t>
      </w:r>
      <w:r>
        <w:rPr>
          <w:bCs/>
          <w:b/>
        </w:rPr>
        <w:t xml:space="preserve">không còn cân bằng rủi ro theo nghĩa đen</w:t>
      </w:r>
      <w:r>
        <w:t xml:space="preserve">. Sau khi dải khẩu vị buộc nhóm rủi ro lên 40%, hai lớp cổ phiếu đóng góp khoảng 98% rủi ro của danh mục, còn vàng và trái phiếu gần như không đóng góp. Risk Parity trong thiết kế này chỉ quyết định</w:t>
      </w:r>
      <w:r>
        <w:t xml:space="preserve"> </w:t>
      </w:r>
      <w:r>
        <w:rPr>
          <w:iCs/>
          <w:i/>
        </w:rPr>
        <w:t xml:space="preserve">tỷ lệ bên trong</w:t>
      </w:r>
      <w:r>
        <w:t xml:space="preserve"> </w:t>
      </w:r>
      <w:r>
        <w:t xml:space="preserve">mỗi nhóm: chia nhóm rủi ro theo nghịch đảo rủi ro giữa hai lớp cổ phiếu, và chia nhóm phòng thủ theo nghịch đảo rủi ro giữa vàng và trái phiếu. Vì trái phiếu có độ biến động bị đánh giá thấp, nó chiếm gần hết nhóm phòng thủ, và vàng chỉ còn 3,4%. Đây cũng chính là lý do Risk Parity có hiệu ứng chia trong nhóm âm (−0,12) trong Bảng 4.18: trong giai đoạn vàng tăng mạnh, cách chia nghiêng hẳn về trái phiếu đã bỏ lỡ phần lớn lợi nhuận của vàng. Ứng dụng giữ Risk Parity vì tính ổn định và khả năng giải thích, nhưng giới hạn này được ghi rõ ở mục 5.5.</w:t>
      </w:r>
    </w:p>
    <w:bookmarkEnd w:id="152"/>
    <w:bookmarkStart w:id="153" w:name="kế-hoạch-thực-hiện"/>
    <w:p>
      <w:pPr>
        <w:pStyle w:val="Heading3"/>
      </w:pPr>
      <w:r>
        <w:t xml:space="preserve">5.3.3 Kế hoạch thực hiện</w:t>
      </w:r>
    </w:p>
    <w:p>
      <w:pPr>
        <w:pStyle w:val="FirstParagraph"/>
      </w:pPr>
      <w:r>
        <w:t xml:space="preserve">Tỷ trọng được chuyển thành lệnh mua cụ thể theo các bước:</w:t>
      </w:r>
    </w:p>
    <w:p>
      <w:pPr>
        <w:numPr>
          <w:ilvl w:val="0"/>
          <w:numId w:val="1015"/>
        </w:numPr>
      </w:pPr>
      <w:r>
        <w:t xml:space="preserve">Chia số tiền theo tỷ trọng bằng phương pháp phần dư lớn nhất, bảo đảm tổng đúng bằng số tiền nhập (từ 1 triệu đến 100 tỷ đồng): mỗi lớp nhận phần nguyên của số tiền mục tiêu, phần dư còn lại được chia lần lượt cho các lớp có phần lẻ lớn nhất.</w:t>
      </w:r>
    </w:p>
    <w:p>
      <w:pPr>
        <w:numPr>
          <w:ilvl w:val="0"/>
          <w:numId w:val="1015"/>
        </w:numPr>
      </w:pPr>
      <w:r>
        <w:t xml:space="preserve">Cổ phiếu bất động sản: mua các mã trong rổ năm hiện hành (2026: VHM, NVL, KDH, VPI) theo lô 100 cổ phiếu, ưu tiên mã đang thiếu nhiều nhất so với mục tiêu.</w:t>
      </w:r>
    </w:p>
    <w:p>
      <w:pPr>
        <w:numPr>
          <w:ilvl w:val="0"/>
          <w:numId w:val="1015"/>
        </w:numPr>
      </w:pPr>
      <w:r>
        <w:t xml:space="preserve">ETF E1VFVN30: mua theo lô 100 chứng chỉ.</w:t>
      </w:r>
    </w:p>
    <w:p>
      <w:pPr>
        <w:numPr>
          <w:ilvl w:val="0"/>
          <w:numId w:val="1015"/>
        </w:numPr>
      </w:pPr>
      <w:r>
        <w:t xml:space="preserve">Vàng SJC: mua theo số chỉ nguyên (1 chỉ = 1/10 lượng).</w:t>
      </w:r>
    </w:p>
    <w:p>
      <w:pPr>
        <w:numPr>
          <w:ilvl w:val="0"/>
          <w:numId w:val="1015"/>
        </w:numPr>
      </w:pPr>
      <w:r>
        <w:t xml:space="preserve">Quỹ trái phiếu: mua theo số tiền, tối thiểu 100.000 đồng, bước 1.000 đồng.</w:t>
      </w:r>
    </w:p>
    <w:p>
      <w:pPr>
        <w:numPr>
          <w:ilvl w:val="0"/>
          <w:numId w:val="1015"/>
        </w:numPr>
      </w:pPr>
      <w:r>
        <w:t xml:space="preserve">Tiền gửi 12 tháng nhận phần mục tiêu của mình cộng mọi phần lẻ không mua được.</w:t>
      </w:r>
    </w:p>
    <w:p>
      <w:pPr>
        <w:pStyle w:val="FirstParagraph"/>
      </w:pPr>
      <w:r>
        <w:t xml:space="preserve">Các quy tắc lô và mức tối thiểu lưu trong bảng quy tắc thực hiện, Admin sửa được mà không cần sửa mã; mỗi lần sửa tạo một bộ quy tắc mới và được ghi vào nhật ký kiểm toán. Khi số tiền nhỏ khiến kế hoạch lệch nhiều so với tỷ trọng mục tiêu, ứng dụng cảnh báo và gợi ý số tiền tối thiểu để mức lệch không quá 2 điểm %.</w:t>
      </w:r>
    </w:p>
    <w:p>
      <w:pPr>
        <w:pStyle w:val="TableCaption"/>
      </w:pPr>
      <w:r>
        <w:t xml:space="preserve">Bảng 5.8. Ví dụ kế hoạch cho 100 triệu đồng, khẩu vị Cân bằng (giá tham chiếu cuối 07/2026)</w:t>
      </w:r>
    </w:p>
    <w:tbl>
      <w:tblPr>
        <w:tblStyle w:val="Table"/>
        <w:tblW w:type="pct" w:w="5000"/>
        <w:jc w:val="center"/>
        <w:tblLook w:firstRow="1" w:lastRow="0" w:firstColumn="0" w:lastColumn="0" w:noHBand="0" w:noVBand="0" w:val="0020"/>
        <w:tblCaption w:val="Bảng 5.8. Ví dụ kế hoạch cho 100 triệu đồng, khẩu vị Cân bằng (giá tham chiếu cuối 07/2026)"/>
      </w:tblPr>
      <w:tblGrid>
        <w:gridCol w:w="2062"/>
        <w:gridCol w:w="825"/>
        <w:gridCol w:w="1237"/>
        <w:gridCol w:w="2227"/>
        <w:gridCol w:w="1567"/>
      </w:tblGrid>
      <w:tr>
        <w:trPr>
          <w:tblHeader w:val="true"/>
        </w:trPr>
        <w:tc>
          <w:tcPr/>
          <w:p>
            <w:pPr>
              <w:pStyle w:val="Compact"/>
              <w:jc w:val="center"/>
            </w:pPr>
            <w:r>
              <w:rPr>
                <w:b/>
              </w:rPr>
              <w:t xml:space="preserve">Lớp</w:t>
            </w:r>
          </w:p>
        </w:tc>
        <w:tc>
          <w:tcPr/>
          <w:p>
            <w:pPr>
              <w:pStyle w:val="Compact"/>
              <w:jc w:val="center"/>
            </w:pPr>
            <w:r>
              <w:rPr>
                <w:b/>
              </w:rPr>
              <w:t xml:space="preserve">Tỷ trọng</w:t>
            </w:r>
          </w:p>
        </w:tc>
        <w:tc>
          <w:tcPr/>
          <w:p>
            <w:pPr>
              <w:pStyle w:val="Compact"/>
              <w:jc w:val="center"/>
            </w:pPr>
            <w:r>
              <w:rPr>
                <w:b/>
              </w:rPr>
              <w:t xml:space="preserve">Mục tiêu (đồng)</w:t>
            </w:r>
          </w:p>
        </w:tc>
        <w:tc>
          <w:tcPr/>
          <w:p>
            <w:pPr>
              <w:pStyle w:val="Compact"/>
              <w:jc w:val="center"/>
            </w:pPr>
            <w:r>
              <w:rPr>
                <w:b/>
              </w:rPr>
              <w:t xml:space="preserve">Thực hiện</w:t>
            </w:r>
          </w:p>
        </w:tc>
        <w:tc>
          <w:tcPr/>
          <w:p>
            <w:pPr>
              <w:pStyle w:val="Compact"/>
              <w:jc w:val="center"/>
            </w:pPr>
            <w:r>
              <w:rPr>
                <w:b/>
              </w:rPr>
              <w:t xml:space="preserve">Số tiền thực hiện (đồng)</w:t>
            </w:r>
          </w:p>
        </w:tc>
      </w:tr>
      <w:tr>
        <w:trPr>
          <w:cantSplit/>
        </w:trPr>
        <w:tc>
          <w:tcPr/>
          <w:p>
            <w:pPr>
              <w:pStyle w:val="Compact"/>
              <w:jc w:val="left"/>
            </w:pPr>
            <w:r>
              <w:t xml:space="preserve">Trái phiếu (quỹ trái phiếu mở)</w:t>
            </w:r>
          </w:p>
        </w:tc>
        <w:tc>
          <w:tcPr/>
          <w:p>
            <w:pPr>
              <w:pStyle w:val="Compact"/>
              <w:jc w:val="left"/>
            </w:pPr>
            <w:r>
              <w:t xml:space="preserve">50,0%</w:t>
            </w:r>
          </w:p>
        </w:tc>
        <w:tc>
          <w:tcPr/>
          <w:p>
            <w:pPr>
              <w:pStyle w:val="Compact"/>
              <w:jc w:val="left"/>
            </w:pPr>
            <w:r>
              <w:t xml:space="preserve">50.000.000</w:t>
            </w:r>
          </w:p>
        </w:tc>
        <w:tc>
          <w:tcPr/>
          <w:p>
            <w:pPr>
              <w:pStyle w:val="Compact"/>
              <w:jc w:val="left"/>
            </w:pPr>
            <w:r>
              <w:t xml:space="preserve">Theo số tiền</w:t>
            </w:r>
          </w:p>
        </w:tc>
        <w:tc>
          <w:tcPr/>
          <w:p>
            <w:pPr>
              <w:pStyle w:val="Compact"/>
              <w:jc w:val="left"/>
            </w:pPr>
            <w:r>
              <w:t xml:space="preserve">50.000.000</w:t>
            </w:r>
          </w:p>
        </w:tc>
      </w:tr>
      <w:tr>
        <w:trPr>
          <w:cantSplit/>
        </w:trPr>
        <w:tc>
          <w:tcPr/>
          <w:p>
            <w:pPr>
              <w:pStyle w:val="Compact"/>
              <w:jc w:val="left"/>
            </w:pPr>
            <w:r>
              <w:t xml:space="preserve">Cổ phiếu (ETF E1VFVN30)</w:t>
            </w:r>
          </w:p>
        </w:tc>
        <w:tc>
          <w:tcPr/>
          <w:p>
            <w:pPr>
              <w:pStyle w:val="Compact"/>
              <w:jc w:val="left"/>
            </w:pPr>
            <w:r>
              <w:t xml:space="preserve">24,2%</w:t>
            </w:r>
          </w:p>
        </w:tc>
        <w:tc>
          <w:tcPr/>
          <w:p>
            <w:pPr>
              <w:pStyle w:val="Compact"/>
              <w:jc w:val="left"/>
            </w:pPr>
            <w:r>
              <w:t xml:space="preserve">24.248.500</w:t>
            </w:r>
          </w:p>
        </w:tc>
        <w:tc>
          <w:tcPr/>
          <w:p>
            <w:pPr>
              <w:pStyle w:val="Compact"/>
              <w:jc w:val="left"/>
            </w:pPr>
            <w:r>
              <w:t xml:space="preserve">700 chứng chỉ</w:t>
            </w:r>
          </w:p>
        </w:tc>
        <w:tc>
          <w:tcPr/>
          <w:p>
            <w:pPr>
              <w:pStyle w:val="Compact"/>
              <w:jc w:val="left"/>
            </w:pPr>
            <w:r>
              <w:t xml:space="preserve">23.590.000</w:t>
            </w:r>
          </w:p>
        </w:tc>
      </w:tr>
      <w:tr>
        <w:trPr>
          <w:cantSplit/>
        </w:trPr>
        <w:tc>
          <w:tcPr/>
          <w:p>
            <w:pPr>
              <w:pStyle w:val="Compact"/>
              <w:jc w:val="left"/>
            </w:pPr>
            <w:r>
              <w:t xml:space="preserve">Cổ phiếu BĐS (rổ 2026)</w:t>
            </w:r>
          </w:p>
        </w:tc>
        <w:tc>
          <w:tcPr/>
          <w:p>
            <w:pPr>
              <w:pStyle w:val="Compact"/>
              <w:jc w:val="left"/>
            </w:pPr>
            <w:r>
              <w:t xml:space="preserve">15,8%</w:t>
            </w:r>
          </w:p>
        </w:tc>
        <w:tc>
          <w:tcPr/>
          <w:p>
            <w:pPr>
              <w:pStyle w:val="Compact"/>
              <w:jc w:val="left"/>
            </w:pPr>
            <w:r>
              <w:t xml:space="preserve">15.751.500</w:t>
            </w:r>
          </w:p>
        </w:tc>
        <w:tc>
          <w:tcPr/>
          <w:p>
            <w:pPr>
              <w:pStyle w:val="Compact"/>
              <w:jc w:val="left"/>
            </w:pPr>
            <w:r>
              <w:t xml:space="preserve">100 VHM, 300 NVL, 200 KDH, 0 VPI</w:t>
            </w:r>
          </w:p>
        </w:tc>
        <w:tc>
          <w:tcPr/>
          <w:p>
            <w:pPr>
              <w:pStyle w:val="Compact"/>
              <w:jc w:val="left"/>
            </w:pPr>
            <w:r>
              <w:t xml:space="preserve">14.795.000</w:t>
            </w:r>
          </w:p>
        </w:tc>
      </w:tr>
      <w:tr>
        <w:trPr>
          <w:cantSplit/>
        </w:trPr>
        <w:tc>
          <w:tcPr/>
          <w:p>
            <w:pPr>
              <w:pStyle w:val="Compact"/>
              <w:jc w:val="left"/>
            </w:pPr>
            <w:r>
              <w:t xml:space="preserve">Tiền gửi 12 tháng</w:t>
            </w:r>
          </w:p>
        </w:tc>
        <w:tc>
          <w:tcPr/>
          <w:p>
            <w:pPr>
              <w:pStyle w:val="Compact"/>
              <w:jc w:val="left"/>
            </w:pPr>
            <w:r>
              <w:t xml:space="preserve">6,6%</w:t>
            </w:r>
          </w:p>
        </w:tc>
        <w:tc>
          <w:tcPr/>
          <w:p>
            <w:pPr>
              <w:pStyle w:val="Compact"/>
              <w:jc w:val="left"/>
            </w:pPr>
            <w:r>
              <w:t xml:space="preserve">6.649.757</w:t>
            </w:r>
          </w:p>
        </w:tc>
        <w:tc>
          <w:tcPr/>
          <w:p>
            <w:pPr>
              <w:pStyle w:val="Compact"/>
              <w:jc w:val="left"/>
            </w:pPr>
            <w:r>
              <w:t xml:space="preserve">Theo số tiền, gồm phần lẻ</w:t>
            </w:r>
          </w:p>
        </w:tc>
        <w:tc>
          <w:tcPr/>
          <w:p>
            <w:pPr>
              <w:pStyle w:val="Compact"/>
              <w:jc w:val="left"/>
            </w:pPr>
            <w:r>
              <w:t xml:space="preserve">11.615.000</w:t>
            </w:r>
          </w:p>
        </w:tc>
      </w:tr>
      <w:tr>
        <w:trPr>
          <w:cantSplit/>
        </w:trPr>
        <w:tc>
          <w:tcPr/>
          <w:p>
            <w:pPr>
              <w:pStyle w:val="Compact"/>
              <w:jc w:val="left"/>
            </w:pPr>
            <w:r>
              <w:t xml:space="preserve">Vàng SJC</w:t>
            </w:r>
          </w:p>
        </w:tc>
        <w:tc>
          <w:tcPr/>
          <w:p>
            <w:pPr>
              <w:pStyle w:val="Compact"/>
              <w:jc w:val="left"/>
            </w:pPr>
            <w:r>
              <w:t xml:space="preserve">3,4%</w:t>
            </w:r>
          </w:p>
        </w:tc>
        <w:tc>
          <w:tcPr/>
          <w:p>
            <w:pPr>
              <w:pStyle w:val="Compact"/>
              <w:jc w:val="left"/>
            </w:pPr>
            <w:r>
              <w:t xml:space="preserve">3.350.243</w:t>
            </w:r>
          </w:p>
        </w:tc>
        <w:tc>
          <w:tcPr/>
          <w:p>
            <w:pPr>
              <w:pStyle w:val="Compact"/>
              <w:jc w:val="left"/>
            </w:pPr>
            <w:r>
              <w:t xml:space="preserve">0 chỉ (1 chỉ = 13.990.000)</w:t>
            </w:r>
          </w:p>
        </w:tc>
        <w:tc>
          <w:tcPr/>
          <w:p>
            <w:pPr>
              <w:pStyle w:val="Compact"/>
              <w:jc w:val="left"/>
            </w:pPr>
            <w:r>
              <w:t xml:space="preserve">0</w:t>
            </w:r>
          </w:p>
        </w:tc>
      </w:tr>
    </w:tbl>
    <w:p>
      <w:pPr>
        <w:pStyle w:val="BodyText"/>
        <w:spacing w:before="200"/>
      </w:pPr>
      <w:r>
        <w:t xml:space="preserve">Ví dụ này cho thấy ràng buộc thực tế mà backtest không phản ánh: với 100 triệu đồng, không mua được vàng (một chỉ đắt hơn mục tiêu) và không mua được lô VPI, nên tiền gửi lệch tối đa 5,0 điểm % so với mục tiêu. Ứng dụng báo rằng cần khoảng 418 triệu đồng để mức lệch không quá 2 điểm %.</w:t>
      </w:r>
    </w:p>
    <w:p>
      <w:pPr>
        <w:pStyle w:val="ImagePlaceholder"/>
      </w:pPr>
      <w:r>
        <w:t xml:space="preserve">[CHÈN ẢNH CHỤP MÀN HÌNH: tạo kế hoạch 100 triệu đồng, khẩu vị Cân bằng, Trung hạn, rồi chụp phần tỷ trọng, bảng lệnh mua và cảnh báo lệch tỷ trọng (khớp Bảng 5.8).]</w:t>
      </w:r>
    </w:p>
    <w:p>
      <w:pPr>
        <w:pStyle w:val="ImageCaption"/>
      </w:pPr>
      <w:r>
        <w:t xml:space="preserve">Hình 5.5. Báo cáo kế hoạch: tỷ trọng và lệnh mua</w:t>
      </w:r>
    </w:p>
    <w:bookmarkEnd w:id="153"/>
    <w:bookmarkStart w:id="154" w:name="X3a690ec591fbeef3ef60c593eaa2effb03eaa17"/>
    <w:p>
      <w:pPr>
        <w:pStyle w:val="Heading3"/>
      </w:pPr>
      <w:r>
        <w:t xml:space="preserve">5.3.4 Rủi ro bằng tiền đồng, lịch tái cân bằng và giải thích</w:t>
      </w:r>
    </w:p>
    <w:p>
      <w:pPr>
        <w:pStyle w:val="FirstParagraph"/>
      </w:pPr>
      <w:r>
        <w:t xml:space="preserve">Báo cáo kế hoạch quy đổi rủi ro sang số tiền cụ thể theo ba cách. Cách thứ nhất là khoản lỗ nếu lặp lại mức sụt giảm tối đa của kịch bản trong giai đoạn kiểm tra. Cách thứ hai là phân phối lợi nhuận 12 tháng lăn: thấp nhất, trung vị, cao nhất và số cửa sổ 12 tháng có lợi nhuận âm. Cách thứ ba là hai kịch bản căng thẳng: kết quả nếu danh mục hiện tại gặp lại tháng cổ phiếu giảm mạnh nhất trong dữ liệu, và tháng giảm bất thường gần nhất (giảm quá hai lần độ lệch chuẩn 24 tháng trước đó).</w:t>
      </w:r>
    </w:p>
    <w:p>
      <w:pPr>
        <w:pStyle w:val="TableCaption"/>
      </w:pPr>
      <w:r>
        <w:t xml:space="preserve">Bảng 5.9. Rủi ro bằng tiền đồng, kế hoạch 100 triệu đồng, Cân bằng / Trung hạn</w:t>
      </w:r>
    </w:p>
    <w:tbl>
      <w:tblPr>
        <w:tblStyle w:val="Table"/>
        <w:tblW w:type="pct" w:w="5000"/>
        <w:jc w:val="center"/>
        <w:tblLook w:firstRow="1" w:lastRow="0" w:firstColumn="0" w:lastColumn="0" w:noHBand="0" w:noVBand="0" w:val="0020"/>
        <w:tblCaption w:val="Bảng 5.9. Rủi ro bằng tiền đồng, kế hoạch 100 triệu đồng, Cân bằng / Trung hạn"/>
      </w:tblPr>
      <w:tblGrid>
        <w:gridCol w:w="4224"/>
        <w:gridCol w:w="1161"/>
        <w:gridCol w:w="2534"/>
      </w:tblGrid>
      <w:tr>
        <w:trPr>
          <w:tblHeader w:val="true"/>
        </w:trPr>
        <w:tc>
          <w:tcPr/>
          <w:p>
            <w:pPr>
              <w:pStyle w:val="Compact"/>
              <w:jc w:val="center"/>
            </w:pPr>
            <w:r>
              <w:rPr>
                <w:b/>
              </w:rPr>
              <w:t xml:space="preserve">Chỉ tiêu</w:t>
            </w:r>
          </w:p>
        </w:tc>
        <w:tc>
          <w:tcPr/>
          <w:p>
            <w:pPr>
              <w:pStyle w:val="Compact"/>
              <w:jc w:val="center"/>
            </w:pPr>
            <w:r>
              <w:rPr>
                <w:b/>
              </w:rPr>
              <w:t xml:space="preserve">Tỷ lệ</w:t>
            </w:r>
          </w:p>
        </w:tc>
        <w:tc>
          <w:tcPr/>
          <w:p>
            <w:pPr>
              <w:pStyle w:val="Compact"/>
              <w:jc w:val="center"/>
            </w:pPr>
            <w:r>
              <w:rPr>
                <w:b/>
              </w:rPr>
              <w:t xml:space="preserve">Số tiền (đồng)</w:t>
            </w:r>
          </w:p>
        </w:tc>
      </w:tr>
      <w:tr>
        <w:trPr>
          <w:cantSplit/>
        </w:trPr>
        <w:tc>
          <w:tcPr/>
          <w:p>
            <w:pPr>
              <w:pStyle w:val="Compact"/>
              <w:jc w:val="left"/>
            </w:pPr>
            <w:r>
              <w:t xml:space="preserve">Khoản lỗ nếu lặp lại sụt giảm tối đa</w:t>
            </w:r>
          </w:p>
        </w:tc>
        <w:tc>
          <w:tcPr/>
          <w:p>
            <w:pPr>
              <w:pStyle w:val="Compact"/>
              <w:jc w:val="left"/>
            </w:pPr>
            <w:r>
              <w:t xml:space="preserve">−22,0%</w:t>
            </w:r>
          </w:p>
        </w:tc>
        <w:tc>
          <w:tcPr/>
          <w:p>
            <w:pPr>
              <w:pStyle w:val="Compact"/>
              <w:jc w:val="left"/>
            </w:pPr>
            <w:r>
              <w:t xml:space="preserve">−22.023.482 (còn lại 77.976.518)</w:t>
            </w:r>
          </w:p>
        </w:tc>
      </w:tr>
      <w:tr>
        <w:trPr>
          <w:cantSplit/>
        </w:trPr>
        <w:tc>
          <w:tcPr/>
          <w:p>
            <w:pPr>
              <w:pStyle w:val="Compact"/>
              <w:jc w:val="left"/>
            </w:pPr>
            <w:r>
              <w:t xml:space="preserve">Lợi nhuận 12 tháng thấp nhất</w:t>
            </w:r>
          </w:p>
        </w:tc>
        <w:tc>
          <w:tcPr/>
          <w:p>
            <w:pPr>
              <w:pStyle w:val="Compact"/>
              <w:jc w:val="left"/>
            </w:pPr>
            <w:r>
              <w:t xml:space="preserve">−21,0%</w:t>
            </w:r>
          </w:p>
        </w:tc>
        <w:tc>
          <w:tcPr/>
          <w:p>
            <w:pPr>
              <w:pStyle w:val="Compact"/>
              <w:jc w:val="left"/>
            </w:pPr>
            <w:r>
              <w:t xml:space="preserve">−20.986.783</w:t>
            </w:r>
          </w:p>
        </w:tc>
      </w:tr>
      <w:tr>
        <w:trPr>
          <w:cantSplit/>
        </w:trPr>
        <w:tc>
          <w:tcPr/>
          <w:p>
            <w:pPr>
              <w:pStyle w:val="Compact"/>
              <w:jc w:val="left"/>
            </w:pPr>
            <w:r>
              <w:t xml:space="preserve">Lợi nhuận 12 tháng trung vị</w:t>
            </w:r>
          </w:p>
        </w:tc>
        <w:tc>
          <w:tcPr/>
          <w:p>
            <w:pPr>
              <w:pStyle w:val="Compact"/>
              <w:jc w:val="left"/>
            </w:pPr>
            <w:r>
              <w:t xml:space="preserve">+8,2%</w:t>
            </w:r>
          </w:p>
        </w:tc>
        <w:tc>
          <w:tcPr/>
          <w:p>
            <w:pPr>
              <w:pStyle w:val="Compact"/>
              <w:jc w:val="left"/>
            </w:pPr>
            <w:r>
              <w:t xml:space="preserve">+8.221.242</w:t>
            </w:r>
          </w:p>
        </w:tc>
      </w:tr>
      <w:tr>
        <w:trPr>
          <w:cantSplit/>
        </w:trPr>
        <w:tc>
          <w:tcPr/>
          <w:p>
            <w:pPr>
              <w:pStyle w:val="Compact"/>
              <w:jc w:val="left"/>
            </w:pPr>
            <w:r>
              <w:t xml:space="preserve">Lợi nhuận 12 tháng cao nhất</w:t>
            </w:r>
          </w:p>
        </w:tc>
        <w:tc>
          <w:tcPr/>
          <w:p>
            <w:pPr>
              <w:pStyle w:val="Compact"/>
              <w:jc w:val="left"/>
            </w:pPr>
            <w:r>
              <w:t xml:space="preserve">+49,0%</w:t>
            </w:r>
          </w:p>
        </w:tc>
        <w:tc>
          <w:tcPr/>
          <w:p>
            <w:pPr>
              <w:pStyle w:val="Compact"/>
              <w:jc w:val="left"/>
            </w:pPr>
            <w:r>
              <w:t xml:space="preserve">+49.009.866</w:t>
            </w:r>
          </w:p>
        </w:tc>
      </w:tr>
      <w:tr>
        <w:trPr>
          <w:cantSplit/>
        </w:trPr>
        <w:tc>
          <w:tcPr/>
          <w:p>
            <w:pPr>
              <w:pStyle w:val="Compact"/>
              <w:jc w:val="left"/>
            </w:pPr>
            <w:r>
              <w:t xml:space="preserve">Số cửa sổ 12 tháng lợi nhuận âm</w:t>
            </w:r>
          </w:p>
        </w:tc>
        <w:tc>
          <w:tcPr/>
          <w:p>
            <w:pPr>
              <w:pStyle w:val="Compact"/>
              <w:jc w:val="left"/>
            </w:pPr>
            <w:r>
              <w:t xml:space="preserve">22/91</w:t>
            </w:r>
          </w:p>
        </w:tc>
        <w:tc>
          <w:tcPr/>
          <w:p>
            <w:pPr>
              <w:pStyle w:val="Compact"/>
              <w:jc w:val="left"/>
            </w:pPr>
            <w:r>
              <w:t xml:space="preserve">–</w:t>
            </w:r>
          </w:p>
        </w:tc>
      </w:tr>
      <w:tr>
        <w:trPr>
          <w:cantSplit/>
        </w:trPr>
        <w:tc>
          <w:tcPr/>
          <w:p>
            <w:pPr>
              <w:pStyle w:val="Compact"/>
              <w:jc w:val="left"/>
            </w:pPr>
            <w:r>
              <w:t xml:space="preserve">Căng thẳng 1: tháng cổ phiếu giảm mạnh nhất (03/2020, VN-Index −24,9%)</w:t>
            </w:r>
          </w:p>
        </w:tc>
        <w:tc>
          <w:tcPr/>
          <w:p>
            <w:pPr>
              <w:pStyle w:val="Compact"/>
              <w:jc w:val="left"/>
            </w:pPr>
            <w:r>
              <w:t xml:space="preserve">−8,8%</w:t>
            </w:r>
          </w:p>
        </w:tc>
        <w:tc>
          <w:tcPr/>
          <w:p>
            <w:pPr>
              <w:pStyle w:val="Compact"/>
              <w:jc w:val="left"/>
            </w:pPr>
            <w:r>
              <w:t xml:space="preserve">−8.801.730</w:t>
            </w:r>
          </w:p>
        </w:tc>
      </w:tr>
      <w:tr>
        <w:trPr>
          <w:cantSplit/>
        </w:trPr>
        <w:tc>
          <w:tcPr/>
          <w:p>
            <w:pPr>
              <w:pStyle w:val="Compact"/>
              <w:jc w:val="left"/>
            </w:pPr>
            <w:r>
              <w:t xml:space="preserve">Căng thẳng 2: tháng giảm bất thường gần nhất (03/2026, VN-Index −10,9%)</w:t>
            </w:r>
          </w:p>
        </w:tc>
        <w:tc>
          <w:tcPr/>
          <w:p>
            <w:pPr>
              <w:pStyle w:val="Compact"/>
              <w:jc w:val="left"/>
            </w:pPr>
            <w:r>
              <w:t xml:space="preserve">−2,5%</w:t>
            </w:r>
          </w:p>
        </w:tc>
        <w:tc>
          <w:tcPr/>
          <w:p>
            <w:pPr>
              <w:pStyle w:val="Compact"/>
              <w:jc w:val="left"/>
            </w:pPr>
            <w:r>
              <w:t xml:space="preserve">−2.487.855</w:t>
            </w:r>
          </w:p>
        </w:tc>
      </w:tr>
    </w:tbl>
    <w:p>
      <w:pPr>
        <w:pStyle w:val="BodyText"/>
        <w:spacing w:before="200"/>
      </w:pPr>
      <w:r>
        <w:t xml:space="preserve">Các con số này giúp nhà đầu tư hình dung rủi ro theo cách cụ thể hơn độ biến động 9,4%/năm. Trong giai đoạn kiểm tra, khoảng một phần tư số cửa sổ 12 tháng của danh mục Cân bằng có lợi nhuận âm, và trường hợp xấu nhất mất khoảng 21 triệu trên 100 triệu đồng. Ở kịch bản căng thẳng thứ nhất, khi cổ phiếu giảm gần 25% trong một tháng, danh mục chỉ mất khoảng 8,8%, nhờ phần trái phiếu và tiền gửi gần như không đổi.</w:t>
      </w:r>
    </w:p>
    <w:p>
      <w:pPr>
        <w:pStyle w:val="BodyText"/>
      </w:pPr>
      <w:r>
        <w:t xml:space="preserve">Ngày tái cân bằng kế tiếp được tính theo khung thời gian (đầu tháng sau, đầu quý sau hoặc sau một năm); nếu tỷ trọng một lớp trôi quá 5 điểm % so với mục tiêu, ứng dụng đề nghị tái cân bằng sớm. Cuối cùng, năm câu giải thích nêu: (i) điểm số chấp nhận và khả năng chịu rủi ro, mức hệ thống sử dụng; (ii) vai trò của khung thời gian; (iii) dải tỷ trọng rủi ro của khẩu vị đã chọn; (iv) hai lớp có tỷ trọng lớn nhất; (v) lý do chọn Risk Parity (theo cơ sở lý thuyết, không phải vì Sharpe backtest cao nhất) và so sánh lợi nhuận lịch sử của danh mục với tiền gửi 12 tháng. Báo cáo cũng ghi số cặp kiểm định có ý nghĩa sau Holm (hiện là 0) để người dùng không hiểu nhầm là phương pháp đã được chứng minh vượt trội.</w:t>
      </w:r>
    </w:p>
    <w:p>
      <w:pPr>
        <w:pStyle w:val="ImagePlaceholder"/>
      </w:pPr>
      <w:r>
        <w:t xml:space="preserve">[CHÈN ẢNH CHỤP MÀN HÌNH: cùng kế hoạch ở Hình 5.5, chụp phần khoản lỗ khi sụt giảm tối đa, phân phối lợi nhuận 12 tháng, hai kịch bản căng thẳng, ngày tái cân bằng và năm câu giải thích.]</w:t>
      </w:r>
    </w:p>
    <w:p>
      <w:pPr>
        <w:pStyle w:val="ImageCaption"/>
      </w:pPr>
      <w:r>
        <w:t xml:space="preserve">Hình 5.6. Báo cáo kế hoạch: rủi ro bằng tiền đồng và giải thích</w:t>
      </w:r>
    </w:p>
    <w:p>
      <w:pPr>
        <w:pStyle w:val="BodyText"/>
      </w:pPr>
      <w:r>
        <w:t xml:space="preserve">Mỗi kế hoạch được lưu như một ảnh chụp bất biến gắn với phiên bản kết quả và quy tắc thực hiện tại thời điểm tạo. Khi có phiên bản mới, kế hoạch cũ được đánh dấu</w:t>
      </w:r>
      <w:r>
        <w:t xml:space="preserve"> </w:t>
      </w:r>
      <w:r>
        <w:t xml:space="preserve">“</w:t>
      </w:r>
      <w:r>
        <w:t xml:space="preserve">cũ</w:t>
      </w:r>
      <w:r>
        <w:t xml:space="preserve">”</w:t>
      </w:r>
      <w:r>
        <w:t xml:space="preserve"> </w:t>
      </w:r>
      <w:r>
        <w:t xml:space="preserve">và người dùng chủ động tạo lại. Kế hoạch có thể in hoặc chia sẻ qua liên kết công khai dùng mã ngẫu nhiên 256 bit, thu hồi được, và không chứa tên, câu trả lời hay mã người dùng.</w:t>
      </w:r>
    </w:p>
    <w:bookmarkEnd w:id="154"/>
    <w:bookmarkStart w:id="155" w:name="màn-hình-phân-tích-dành-cho-hội-đồng"/>
    <w:p>
      <w:pPr>
        <w:pStyle w:val="Heading3"/>
      </w:pPr>
      <w:r>
        <w:t xml:space="preserve">5.3.5 Màn hình phân tích dành cho hội đồng</w:t>
      </w:r>
    </w:p>
    <w:p>
      <w:pPr>
        <w:pStyle w:val="FirstParagraph"/>
      </w:pPr>
      <w:r>
        <w:t xml:space="preserve">Ngoài luồng tư vấn, ứng dụng có một khu phân tích hiển thị lại các kết quả chính của Chương 4 trực tiếp từ phiên bản active: bảng so sánh 7 phương pháp trên 9 kịch bản, kết quả kiểm định từng cặp kèm MDE và số tháng cần thiết để phát hiện chênh lệch 0,3, bảng độ nhạy và bảng kỹ năng dự báo của từng mô hình. Khu này giúp người đọc luận văn kiểm tra con số mà không cần chạy lại mã, và giúp quản trị so sánh nhanh kết quả của một phiên bản draft với phiên bản đang dùng trước khi kích hoạt.</w:t>
      </w:r>
    </w:p>
    <w:bookmarkEnd w:id="155"/>
    <w:bookmarkEnd w:id="156"/>
    <w:bookmarkStart w:id="157" w:name="kiểm-thử-và-tái-lập-kết-quả"/>
    <w:p>
      <w:pPr>
        <w:pStyle w:val="Heading2"/>
      </w:pPr>
      <w:r>
        <w:t xml:space="preserve">5.4 Kiểm thử và tái lập kết quả</w:t>
      </w:r>
    </w:p>
    <w:p>
      <w:pPr>
        <w:pStyle w:val="TableCaption"/>
      </w:pPr>
      <w:r>
        <w:t xml:space="preserve">Bảng 5.10. Bộ kiểm thử tự động</w:t>
      </w:r>
    </w:p>
    <w:tbl>
      <w:tblPr>
        <w:tblStyle w:val="Table"/>
        <w:tblW w:type="pct" w:w="5000"/>
        <w:jc w:val="center"/>
        <w:tblLook w:firstRow="1" w:lastRow="0" w:firstColumn="0" w:lastColumn="0" w:noHBand="0" w:noVBand="0" w:val="0020"/>
        <w:tblCaption w:val="Bảng 5.10. Bộ kiểm thử tự động"/>
      </w:tblPr>
      <w:tblGrid>
        <w:gridCol w:w="1771"/>
        <w:gridCol w:w="937"/>
        <w:gridCol w:w="4168"/>
        <w:gridCol w:w="1042"/>
      </w:tblGrid>
      <w:tr>
        <w:trPr>
          <w:tblHeader w:val="true"/>
        </w:trPr>
        <w:tc>
          <w:tcPr/>
          <w:p>
            <w:pPr>
              <w:pStyle w:val="Compact"/>
              <w:jc w:val="center"/>
            </w:pPr>
            <w:r>
              <w:rPr>
                <w:b/>
              </w:rPr>
              <w:t xml:space="preserve">Thành phần</w:t>
            </w:r>
          </w:p>
        </w:tc>
        <w:tc>
          <w:tcPr/>
          <w:p>
            <w:pPr>
              <w:pStyle w:val="Compact"/>
              <w:jc w:val="center"/>
            </w:pPr>
            <w:r>
              <w:rPr>
                <w:b/>
              </w:rPr>
              <w:t xml:space="preserve">Số kiểm thử</w:t>
            </w:r>
          </w:p>
        </w:tc>
        <w:tc>
          <w:tcPr/>
          <w:p>
            <w:pPr>
              <w:pStyle w:val="Compact"/>
              <w:jc w:val="center"/>
            </w:pPr>
            <w:r>
              <w:rPr>
                <w:b/>
              </w:rPr>
              <w:t xml:space="preserve">Nội dung chính</w:t>
            </w:r>
          </w:p>
        </w:tc>
        <w:tc>
          <w:tcPr/>
          <w:p>
            <w:pPr>
              <w:pStyle w:val="Compact"/>
              <w:jc w:val="center"/>
            </w:pPr>
            <w:r>
              <w:rPr>
                <w:b/>
              </w:rPr>
              <w:t xml:space="preserve">Kết quả</w:t>
            </w:r>
          </w:p>
        </w:tc>
      </w:tr>
      <w:tr>
        <w:trPr>
          <w:cantSplit/>
        </w:trPr>
        <w:tc>
          <w:tcPr/>
          <w:p>
            <w:pPr>
              <w:pStyle w:val="Compact"/>
              <w:jc w:val="left"/>
            </w:pPr>
            <w:r>
              <w:t xml:space="preserve">Pipeline nghiên cứu</w:t>
            </w:r>
          </w:p>
        </w:tc>
        <w:tc>
          <w:tcPr/>
          <w:p>
            <w:pPr>
              <w:pStyle w:val="Compact"/>
              <w:jc w:val="left"/>
            </w:pPr>
            <w:r>
              <w:t xml:space="preserve">29</w:t>
            </w:r>
          </w:p>
        </w:tc>
        <w:tc>
          <w:tcPr/>
          <w:p>
            <w:pPr>
              <w:pStyle w:val="Compact"/>
              <w:jc w:val="left"/>
            </w:pPr>
            <w:r>
              <w:t xml:space="preserve">Nghiệm BL, Risk Parity, HRP, MVO và trần 50%; không rò rỉ thông tin tương lai (kể cả giá vàng point-in-time); tính toàn vẹn dữ liệu</w:t>
            </w:r>
          </w:p>
        </w:tc>
        <w:tc>
          <w:tcPr/>
          <w:p>
            <w:pPr>
              <w:pStyle w:val="Compact"/>
              <w:jc w:val="left"/>
            </w:pPr>
            <w:r>
              <w:t xml:space="preserve">29/29 đạt</w:t>
            </w:r>
          </w:p>
        </w:tc>
      </w:tr>
      <w:tr>
        <w:trPr>
          <w:cantSplit/>
        </w:trPr>
        <w:tc>
          <w:tcPr/>
          <w:p>
            <w:pPr>
              <w:pStyle w:val="Compact"/>
              <w:jc w:val="left"/>
            </w:pPr>
            <w:r>
              <w:t xml:space="preserve">Backend</w:t>
            </w:r>
          </w:p>
        </w:tc>
        <w:tc>
          <w:tcPr/>
          <w:p>
            <w:pPr>
              <w:pStyle w:val="Compact"/>
              <w:jc w:val="left"/>
            </w:pPr>
            <w:r>
              <w:t xml:space="preserve">31</w:t>
            </w:r>
          </w:p>
        </w:tc>
        <w:tc>
          <w:tcPr/>
          <w:p>
            <w:pPr>
              <w:pStyle w:val="Compact"/>
              <w:jc w:val="left"/>
            </w:pPr>
            <w:r>
              <w:t xml:space="preserve">Bảo mật API và phân quyền (10), quy tắc nghiệp vụ (9), cấu hình cơ sở dữ liệu (5), đối chiếu dữ liệu nguồn (4), xác thực và dữ liệu mẫu (3)</w:t>
            </w:r>
          </w:p>
        </w:tc>
        <w:tc>
          <w:tcPr/>
          <w:p>
            <w:pPr>
              <w:pStyle w:val="Compact"/>
              <w:jc w:val="left"/>
            </w:pPr>
            <w:r>
              <w:t xml:space="preserve">31/31 đạt</w:t>
            </w:r>
          </w:p>
        </w:tc>
      </w:tr>
      <w:tr>
        <w:trPr>
          <w:cantSplit/>
        </w:trPr>
        <w:tc>
          <w:tcPr/>
          <w:p>
            <w:pPr>
              <w:pStyle w:val="Compact"/>
              <w:jc w:val="left"/>
            </w:pPr>
            <w:r>
              <w:t xml:space="preserve">Frontend</w:t>
            </w:r>
          </w:p>
        </w:tc>
        <w:tc>
          <w:tcPr/>
          <w:p>
            <w:pPr>
              <w:pStyle w:val="Compact"/>
              <w:jc w:val="left"/>
            </w:pPr>
            <w:r>
              <w:t xml:space="preserve">9</w:t>
            </w:r>
          </w:p>
        </w:tc>
        <w:tc>
          <w:tcPr/>
          <w:p>
            <w:pPr>
              <w:pStyle w:val="Compact"/>
              <w:jc w:val="left"/>
            </w:pPr>
            <w:r>
              <w:t xml:space="preserve">Định dạng số, tiền tệ, ngày; kiểm tra kiểu TypeScript và build</w:t>
            </w:r>
          </w:p>
        </w:tc>
        <w:tc>
          <w:tcPr/>
          <w:p>
            <w:pPr>
              <w:pStyle w:val="Compact"/>
              <w:jc w:val="left"/>
            </w:pPr>
            <w:r>
              <w:t xml:space="preserve">9/9 đạt</w:t>
            </w:r>
          </w:p>
        </w:tc>
      </w:tr>
    </w:tbl>
    <w:p>
      <w:pPr>
        <w:pStyle w:val="BodyText"/>
        <w:spacing w:before="200"/>
      </w:pPr>
      <w:r>
        <w:t xml:space="preserve">Các kiểm thử quan trọng nhất với tính đúng đắn của nghiên cứu là kiểm thử</w:t>
      </w:r>
      <w:r>
        <w:t xml:space="preserve"> </w:t>
      </w:r>
      <w:r>
        <w:rPr>
          <w:bCs/>
          <w:b/>
        </w:rPr>
        <w:t xml:space="preserve">rò rỉ thông tin tương lai</w:t>
      </w:r>
      <w:r>
        <w:t xml:space="preserve">: chúng xáo trộn toàn bộ dữ liệu sau một tháng quyết định và xác nhận tỷ trọng, biến đầu vào và dự báo tại tháng đó không đổi. Các kiểm thử nghiệm phương pháp kiểm tra từng thành phần trên ví dụ có đáp án biết trước: Black–Litterman không có quan điểm phải trả về đúng π, một quan điểm với mức tin cậy 50% trên tài sản không tương quan phải dịch chuyển đúng một nửa khoảng cách từ π đến Q; danh mục Risk Parity phải có đóng góp rủi ro bằng nhau; mọi danh mục phải tôn trọng trần 50% và dải khẩu vị. Với backend, các kiểm thử phân quyền xác nhận nhà đầu tư không đọc được kế hoạch của người khác (trả về 404) và vai trò Hội đồng không gọi được thao tác ghi; kiểm thử đối chiếu kiểm tra các con số hiển thị trên ứng dụng trùng với file kết quả của pipeline.</w:t>
      </w:r>
    </w:p>
    <w:p>
      <w:pPr>
        <w:pStyle w:val="BodyText"/>
      </w:pPr>
      <w:r>
        <w:rPr>
          <w:bCs/>
          <w:b/>
        </w:rPr>
        <w:t xml:space="preserve">Tái lập.</w:t>
      </w:r>
      <w:r>
        <w:t xml:space="preserve"> </w:t>
      </w:r>
      <w:r>
        <w:t xml:space="preserve">Pipeline cố định mọi nguồn ngẫu nhiên (seed), dùng một luồng BLAS và ghi CSV với định dạng số cố định, nên chạy lại trên cùng dữ liệu cho đúng các file như cũ. Script</w:t>
      </w:r>
      <w:r>
        <w:t xml:space="preserve"> </w:t>
      </w:r>
      <w:r>
        <w:rPr>
          <w:rStyle w:val="VerbatimChar"/>
        </w:rPr>
        <w:t xml:space="preserve">99_verify_reproducibility.py</w:t>
      </w:r>
      <w:r>
        <w:t xml:space="preserve"> </w:t>
      </w:r>
      <w:r>
        <w:t xml:space="preserve">so checksum của các file đầu ra chính với giá trị kỳ vọng; ở phiên bản cuối, 9/9 checksum khớp. Bên cạnh đó, script kiểm tra chất lượng dữ liệu ghi trạng thái từng mục kiểm tra vào</w:t>
      </w:r>
      <w:r>
        <w:t xml:space="preserve"> </w:t>
      </w:r>
      <w:r>
        <w:rPr>
          <w:rStyle w:val="VerbatimChar"/>
        </w:rPr>
        <w:t xml:space="preserve">qc_checks.csv</w:t>
      </w:r>
      <w:r>
        <w:t xml:space="preserve"> </w:t>
      </w:r>
      <w:r>
        <w:t xml:space="preserve">(phiên bản cuối: 27 mục đạt, 0 mục còn cờ). Hướng dẫn tái lập đầy đủ ở Phụ lục F.</w:t>
      </w:r>
    </w:p>
    <w:p>
      <w:pPr>
        <w:pStyle w:val="BodyText"/>
      </w:pPr>
      <w:r>
        <w:t xml:space="preserve">Trong quá trình viết chương này, việc rà soát mã phát hiện phần tính phân phối lợi nhuận 12 tháng lăn trong báo cáo kế hoạch đang đọc chuỗi lợi nhuận của HRP thay vì phương pháp tư vấn (Risk Parity). Lỗi đã được sửa để mọi chỉ số rủi ro cùng lấy từ phương pháp cấu hình, và bộ kiểm thử backend vẫn đạt 31/31. Ví dụ này cho thấy giá trị của nguyên tắc đọc cấu hình từ một chỗ thay vì ghi cứng tên phương pháp.</w:t>
      </w:r>
    </w:p>
    <w:bookmarkEnd w:id="157"/>
    <w:bookmarkStart w:id="158" w:name="giới-hạn-của-ứng-dụng"/>
    <w:p>
      <w:pPr>
        <w:pStyle w:val="Heading2"/>
      </w:pPr>
      <w:r>
        <w:t xml:space="preserve">5.5 Giới hạn của ứng dụng</w:t>
      </w:r>
    </w:p>
    <w:p>
      <w:pPr>
        <w:numPr>
          <w:ilvl w:val="0"/>
          <w:numId w:val="1016"/>
        </w:numPr>
      </w:pPr>
      <w:r>
        <w:rPr>
          <w:bCs/>
          <w:b/>
        </w:rPr>
        <w:t xml:space="preserve">Không phải khuyến nghị đầu tư.</w:t>
      </w:r>
      <w:r>
        <w:t xml:space="preserve"> </w:t>
      </w:r>
      <w:r>
        <w:t xml:space="preserve">Ứng dụng là bản demo học thuật. Một sản phẩm thật cần rà soát pháp lý về tư vấn đầu tư và cấp phép dữ liệu thị trường.</w:t>
      </w:r>
    </w:p>
    <w:p>
      <w:pPr>
        <w:numPr>
          <w:ilvl w:val="0"/>
          <w:numId w:val="1016"/>
        </w:numPr>
      </w:pPr>
      <w:r>
        <w:rPr>
          <w:bCs/>
          <w:b/>
        </w:rPr>
        <w:t xml:space="preserve">Dữ liệu theo tháng.</w:t>
      </w:r>
      <w:r>
        <w:t xml:space="preserve"> </w:t>
      </w:r>
      <w:r>
        <w:t xml:space="preserve">Tỷ trọng và giá tham chiếu là của cuối tháng gần nhất có đủ dữ liệu; giá thực tế khi mua có thể khác và kế hoạch chưa tính phí, thuế.</w:t>
      </w:r>
    </w:p>
    <w:p>
      <w:pPr>
        <w:numPr>
          <w:ilvl w:val="0"/>
          <w:numId w:val="1016"/>
        </w:numPr>
      </w:pPr>
      <w:r>
        <w:rPr>
          <w:bCs/>
          <w:b/>
        </w:rPr>
        <w:t xml:space="preserve">Công cụ đại diện.</w:t>
      </w:r>
      <w:r>
        <w:t xml:space="preserve"> </w:t>
      </w:r>
      <w:r>
        <w:t xml:space="preserve">Nghiên cứu dùng NAV quỹ DCBF cho trái phiếu và lãi tiền gửi Vietcombank cho tiền mặt; nhà đầu tư có thể chọn quỹ hoặc ngân hàng khác với đặc điểm khác.</w:t>
      </w:r>
    </w:p>
    <w:p>
      <w:pPr>
        <w:numPr>
          <w:ilvl w:val="0"/>
          <w:numId w:val="1016"/>
        </w:numPr>
      </w:pPr>
      <w:r>
        <w:rPr>
          <w:bCs/>
          <w:b/>
        </w:rPr>
        <w:t xml:space="preserve">Tỷ trọng vàng thấp do cách đo rủi ro trái phiếu.</w:t>
      </w:r>
      <w:r>
        <w:t xml:space="preserve"> </w:t>
      </w:r>
      <w:r>
        <w:t xml:space="preserve">Vì NAV quỹ trái phiếu có độ biến động quan sát được rất thấp, Risk Parity dồn gần hết nhóm phòng thủ vào trái phiếu và giữ rất ít vàng (Bảng 5.7). Người dùng muốn giữ nhiều vàng hơn cần hiểu đây là lựa chọn ngoài phạm vi khuyến nghị.</w:t>
      </w:r>
    </w:p>
    <w:p>
      <w:pPr>
        <w:numPr>
          <w:ilvl w:val="0"/>
          <w:numId w:val="1016"/>
        </w:numPr>
      </w:pPr>
      <w:r>
        <w:rPr>
          <w:bCs/>
          <w:b/>
        </w:rPr>
        <w:t xml:space="preserve">Số tiền nhỏ làm lệch tỷ trọng.</w:t>
      </w:r>
      <w:r>
        <w:t xml:space="preserve"> </w:t>
      </w:r>
      <w:r>
        <w:t xml:space="preserve">Do lô cổ phiếu và giá vàng mỗi chỉ, với dưới vài trăm triệu đồng kế hoạch khó bám sát tỷ trọng mục tiêu (Bảng 5.8).</w:t>
      </w:r>
    </w:p>
    <w:p>
      <w:pPr>
        <w:numPr>
          <w:ilvl w:val="0"/>
          <w:numId w:val="1016"/>
        </w:numPr>
      </w:pPr>
      <w:r>
        <w:rPr>
          <w:bCs/>
          <w:b/>
        </w:rPr>
        <w:t xml:space="preserve">Bảng hỏi đơn giản.</w:t>
      </w:r>
      <w:r>
        <w:t xml:space="preserve"> </w:t>
      </w:r>
      <w:r>
        <w:t xml:space="preserve">Tám câu hỏi và ngưỡng điểm được thiết kế theo thông lệ, chưa được kiểm định độ tin cậy và giá trị đo lường trên người dùng thật.</w:t>
      </w:r>
    </w:p>
    <w:p>
      <w:pPr>
        <w:numPr>
          <w:ilvl w:val="0"/>
          <w:numId w:val="1016"/>
        </w:numPr>
      </w:pPr>
      <w:r>
        <w:rPr>
          <w:bCs/>
          <w:b/>
        </w:rPr>
        <w:t xml:space="preserve">Chưa thử nghiệm người dùng.</w:t>
      </w:r>
      <w:r>
        <w:t xml:space="preserve"> </w:t>
      </w:r>
      <w:r>
        <w:t xml:space="preserve">Ứng dụng được kiểm thử kỹ thuật nhưng chưa khảo sát mức độ dễ hiểu và hữu ích với nhà đầu tư cá nhân.</w:t>
      </w:r>
    </w:p>
    <w:p>
      <w:pPr>
        <w:numPr>
          <w:ilvl w:val="0"/>
          <w:numId w:val="1016"/>
        </w:numPr>
      </w:pPr>
      <w:r>
        <w:rPr>
          <w:bCs/>
          <w:b/>
        </w:rPr>
        <w:t xml:space="preserve">Xác thực dạng demo.</w:t>
      </w:r>
      <w:r>
        <w:t xml:space="preserve"> </w:t>
      </w:r>
      <w:r>
        <w:t xml:space="preserve">Truy cập bằng mã dùng chung và hồ sơ mẫu; cần thay bằng tài khoản riêng trước khi triển khai ngoài phạm vi demo.</w:t>
      </w:r>
    </w:p>
    <w:bookmarkEnd w:id="158"/>
    <w:bookmarkStart w:id="159" w:name="tóm-tắt-chương-3"/>
    <w:p>
      <w:pPr>
        <w:pStyle w:val="Heading2"/>
      </w:pPr>
      <w:r>
        <w:t xml:space="preserve">5.6 Tóm tắt chương</w:t>
      </w:r>
    </w:p>
    <w:p>
      <w:pPr>
        <w:pStyle w:val="FirstParagraph"/>
      </w:pPr>
      <w:r>
        <w:t xml:space="preserve">PortfolioVN chuyển kết quả nghiên cứu thành công cụ tư vấn cho nhà đầu tư cá nhân: bảng hỏi 8 câu xác định khẩu vị theo mức thấp nhất của chấp nhận rủi ro, khả năng tài chính và thời gian; tỷ trọng Risk Parity được đọc trực tiếp từ pipeline và chuyển thành lệnh mua cụ thể theo lô giao dịch, kèm rủi ro bằng tiền đồng, kịch bản căng thẳng và lời giải thích. Kiến trúc theo phiên bản bảo đảm con số trên ứng dụng trùng với luận văn và truy vết được; 69 kiểm thử tự động và kiểm tra checksum bảo đảm tính đúng và tái lập. Ví dụ 100 triệu đồng cho thấy một giới hạn thực tế quan trọng: với số vốn nhỏ, lô giao dịch và giá vàng khiến danh mục thực tế lệch đáng kể so với danh mục tối ưu trên giấy.</w:t>
      </w:r>
    </w:p>
    <w:bookmarkEnd w:id="159"/>
    <w:bookmarkEnd w:id="160"/>
    <w:bookmarkStart w:id="171" w:name="chương-6.-kết-luận-và-hàm-ý"/>
    <w:p>
      <w:pPr>
        <w:pStyle w:val="Heading1"/>
      </w:pPr>
      <w:r>
        <w:t xml:space="preserve">Chương 6. Kết luận và hàm ý</w:t>
      </w:r>
    </w:p>
    <w:bookmarkStart w:id="164" w:name="kết-luận"/>
    <w:p>
      <w:pPr>
        <w:pStyle w:val="Heading2"/>
      </w:pPr>
      <w:r>
        <w:t xml:space="preserve">6.1 Kết luận</w:t>
      </w:r>
    </w:p>
    <w:bookmarkStart w:id="161" w:name="tóm-tắt-nghiên-cứu"/>
    <w:p>
      <w:pPr>
        <w:pStyle w:val="Heading3"/>
      </w:pPr>
      <w:r>
        <w:t xml:space="preserve">6.1.1 Tóm tắt nghiên cứu</w:t>
      </w:r>
    </w:p>
    <w:p>
      <w:pPr>
        <w:pStyle w:val="FirstParagraph"/>
      </w:pPr>
      <w:r>
        <w:t xml:space="preserve">Khóa luận so sánh bảy phương pháp phân bổ trên danh mục 5 lớp tài sản mà nhà đầu tư cá nhân Việt Nam thực hiện được: cổ phiếu qua ETF E1VFVN30, rổ cổ phiếu bất động sản xác định đầu mỗi năm, vàng miếng SJC, quỹ trái phiếu mở và tiền gửi Vietcombank. Dữ liệu tháng 02/2016–07/2026 được xây dựng từ nhiều nguồn công khai, có kiểm tra độ khớp và dựng theo nguyên tắc point-in-time. Giai đoạn kiểm tra 02/2018–07/2026 (102 tháng) bao gồm nhiều trạng thái thị trường; mỗi phương pháp được đánh giá trên 9 kịch bản khẩu vị × khung thời gian, có chi phí giao dịch theo lớp và kiểm định thống kê có kiểm soát kiểm định bội. Kết quả được đưa vào ứng dụng PortfolioVN. Kết luận cho từng câu hỏi nghiên cứu như sau.</w:t>
      </w:r>
    </w:p>
    <w:p>
      <w:pPr>
        <w:pStyle w:val="TableCaption"/>
      </w:pPr>
      <w:r>
        <w:t xml:space="preserve">Bảng 6.1. Tóm tắt kết quả theo giả thuyết</w:t>
      </w:r>
    </w:p>
    <w:tbl>
      <w:tblPr>
        <w:tblStyle w:val="Table"/>
        <w:tblW w:type="pct" w:w="5000"/>
        <w:jc w:val="center"/>
        <w:tblLook w:firstRow="1" w:lastRow="0" w:firstColumn="0" w:lastColumn="0" w:noHBand="0" w:noVBand="0" w:val="0020"/>
        <w:tblCaption w:val="Bảng 6.1. Tóm tắt kết quả theo giả thuyết"/>
      </w:tblPr>
      <w:tblGrid>
        <w:gridCol w:w="2230"/>
        <w:gridCol w:w="2230"/>
        <w:gridCol w:w="1227"/>
        <w:gridCol w:w="2230"/>
      </w:tblGrid>
      <w:tr>
        <w:trPr>
          <w:tblHeader w:val="true"/>
        </w:trPr>
        <w:tc>
          <w:tcPr/>
          <w:p>
            <w:pPr>
              <w:pStyle w:val="Compact"/>
              <w:jc w:val="center"/>
            </w:pPr>
            <w:r>
              <w:rPr>
                <w:b/>
              </w:rPr>
              <w:t xml:space="preserve">Giả thuyết</w:t>
            </w:r>
          </w:p>
        </w:tc>
        <w:tc>
          <w:tcPr/>
          <w:p>
            <w:pPr>
              <w:pStyle w:val="Compact"/>
              <w:jc w:val="center"/>
            </w:pPr>
            <w:r>
              <w:rPr>
                <w:b/>
              </w:rPr>
              <w:t xml:space="preserve">Kết quả quan sát</w:t>
            </w:r>
          </w:p>
        </w:tc>
        <w:tc>
          <w:tcPr/>
          <w:p>
            <w:pPr>
              <w:pStyle w:val="Compact"/>
              <w:jc w:val="center"/>
            </w:pPr>
            <w:r>
              <w:rPr>
                <w:b/>
              </w:rPr>
              <w:t xml:space="preserve">Kiểm định</w:t>
            </w:r>
          </w:p>
        </w:tc>
        <w:tc>
          <w:tcPr/>
          <w:p>
            <w:pPr>
              <w:pStyle w:val="Compact"/>
              <w:jc w:val="center"/>
            </w:pPr>
            <w:r>
              <w:rPr>
                <w:b/>
              </w:rPr>
              <w:t xml:space="preserve">Kết luận</w:t>
            </w:r>
          </w:p>
        </w:tc>
      </w:tr>
      <w:tr>
        <w:trPr>
          <w:cantSplit/>
        </w:trPr>
        <w:tc>
          <w:tcPr/>
          <w:p>
            <w:pPr>
              <w:pStyle w:val="Compact"/>
              <w:jc w:val="left"/>
            </w:pPr>
            <w:r>
              <w:t xml:space="preserve">H1: phương pháp tối ưu khác phân bổ đều</w:t>
            </w:r>
          </w:p>
        </w:tc>
        <w:tc>
          <w:tcPr/>
          <w:p>
            <w:pPr>
              <w:pStyle w:val="Compact"/>
              <w:jc w:val="left"/>
            </w:pPr>
            <w:r>
              <w:t xml:space="preserve">Markowitz 0,20 và HRP 0,24 thấp hơn EW 0,29; Risk Parity 0,29 bằng EW</w:t>
            </w:r>
          </w:p>
        </w:tc>
        <w:tc>
          <w:tcPr/>
          <w:p>
            <w:pPr>
              <w:pStyle w:val="Compact"/>
              <w:jc w:val="left"/>
            </w:pPr>
            <w:r>
              <w:t xml:space="preserve">p ≥ 0,48; không bác bỏ</w:t>
            </w:r>
          </w:p>
        </w:tc>
        <w:tc>
          <w:tcPr/>
          <w:p>
            <w:pPr>
              <w:pStyle w:val="Compact"/>
              <w:jc w:val="left"/>
            </w:pPr>
            <w:r>
              <w:t xml:space="preserve">Không có bằng chứng tối ưu vượt phân bổ đều</w:t>
            </w:r>
          </w:p>
        </w:tc>
      </w:tr>
      <w:tr>
        <w:trPr>
          <w:cantSplit/>
        </w:trPr>
        <w:tc>
          <w:tcPr/>
          <w:p>
            <w:pPr>
              <w:pStyle w:val="Compact"/>
              <w:jc w:val="left"/>
            </w:pPr>
            <w:r>
              <w:t xml:space="preserve">H2: dự báo học máy cải thiện Markowitz qua BL</w:t>
            </w:r>
          </w:p>
        </w:tc>
        <w:tc>
          <w:tcPr/>
          <w:p>
            <w:pPr>
              <w:pStyle w:val="Compact"/>
              <w:jc w:val="left"/>
            </w:pPr>
            <w:r>
              <w:t xml:space="preserve">BL–Elastic Net 0,37 so với Markowitz 0,20 (+0,16)</w:t>
            </w:r>
          </w:p>
        </w:tc>
        <w:tc>
          <w:tcPr/>
          <w:p>
            <w:pPr>
              <w:pStyle w:val="Compact"/>
              <w:jc w:val="left"/>
            </w:pPr>
            <w:r>
              <w:t xml:space="preserve">p = 0,34; không bác bỏ</w:t>
            </w:r>
          </w:p>
        </w:tc>
        <w:tc>
          <w:tcPr/>
          <w:p>
            <w:pPr>
              <w:pStyle w:val="Compact"/>
              <w:jc w:val="left"/>
            </w:pPr>
            <w:r>
              <w:t xml:space="preserve">Hướng cải thiện đúng nhưng chưa đủ độ mạnh để khẳng định</w:t>
            </w:r>
          </w:p>
        </w:tc>
      </w:tr>
      <w:tr>
        <w:trPr>
          <w:cantSplit/>
        </w:trPr>
        <w:tc>
          <w:tcPr/>
          <w:p>
            <w:pPr>
              <w:pStyle w:val="Compact"/>
              <w:jc w:val="left"/>
            </w:pPr>
            <w:r>
              <w:t xml:space="preserve">H3: 5 lớp tốt hơn cổ phiếu–trái phiếu</w:t>
            </w:r>
          </w:p>
        </w:tc>
        <w:tc>
          <w:tcPr/>
          <w:p>
            <w:pPr>
              <w:pStyle w:val="Compact"/>
              <w:jc w:val="left"/>
            </w:pPr>
            <w:r>
              <w:t xml:space="preserve">Cao hơn ở 4/5 phương pháp, lớn nhất +0,20 (BL); lợi ích đến từ vàng</w:t>
            </w:r>
          </w:p>
        </w:tc>
        <w:tc>
          <w:tcPr/>
          <w:p>
            <w:pPr>
              <w:pStyle w:val="Compact"/>
              <w:jc w:val="left"/>
            </w:pPr>
            <w:r>
              <w:t xml:space="preserve">p ≥ 0,29; không bác bỏ</w:t>
            </w:r>
          </w:p>
        </w:tc>
        <w:tc>
          <w:tcPr/>
          <w:p>
            <w:pPr>
              <w:pStyle w:val="Compact"/>
              <w:jc w:val="left"/>
            </w:pPr>
            <w:r>
              <w:t xml:space="preserve">Lợi ích đa dạng hóa có dấu hiệu nhưng chưa được xác nhận</w:t>
            </w:r>
          </w:p>
        </w:tc>
      </w:tr>
      <w:tr>
        <w:trPr>
          <w:cantSplit/>
        </w:trPr>
        <w:tc>
          <w:tcPr/>
          <w:p>
            <w:pPr>
              <w:pStyle w:val="Compact"/>
              <w:jc w:val="left"/>
            </w:pPr>
            <w:r>
              <w:t xml:space="preserve">H4: học tăng cường (phụ lục)</w:t>
            </w:r>
          </w:p>
        </w:tc>
        <w:tc>
          <w:tcPr/>
          <w:p>
            <w:pPr>
              <w:pStyle w:val="Compact"/>
              <w:jc w:val="left"/>
            </w:pPr>
            <w:r>
              <w:t xml:space="preserve">RL 0,21, thấp hơn EW, RP, HRP, BL</w:t>
            </w:r>
          </w:p>
        </w:tc>
        <w:tc>
          <w:tcPr/>
          <w:p>
            <w:pPr>
              <w:pStyle w:val="Compact"/>
              <w:jc w:val="left"/>
            </w:pPr>
            <w:r>
              <w:t xml:space="preserve">p ≥ 0,32; không bác bỏ</w:t>
            </w:r>
          </w:p>
        </w:tc>
        <w:tc>
          <w:tcPr/>
          <w:p>
            <w:pPr>
              <w:pStyle w:val="Compact"/>
              <w:jc w:val="left"/>
            </w:pPr>
            <w:r>
              <w:t xml:space="preserve">Không có lợi ích từ tác tử bandit</w:t>
            </w:r>
          </w:p>
        </w:tc>
      </w:tr>
    </w:tbl>
    <w:p>
      <w:pPr>
        <w:pStyle w:val="BodyText"/>
        <w:spacing w:before="200"/>
      </w:pPr>
      <w:r>
        <w:rPr>
          <w:iCs/>
          <w:i/>
        </w:rPr>
        <w:t xml:space="preserve">Sharpe kịch bản Cân bằng / Trung hạn. Kiểm định Ledoit–Wolf (2008), hiệu chỉnh Holm theo họ.</w:t>
      </w:r>
    </w:p>
    <w:bookmarkEnd w:id="161"/>
    <w:bookmarkStart w:id="162" w:name="các-kết-luận-chính"/>
    <w:p>
      <w:pPr>
        <w:pStyle w:val="Heading3"/>
      </w:pPr>
      <w:r>
        <w:t xml:space="preserve">6.1.2 Các kết luận chính</w:t>
      </w:r>
    </w:p>
    <w:p>
      <w:pPr>
        <w:pStyle w:val="FirstParagraph"/>
      </w:pPr>
      <w:r>
        <w:rPr>
          <w:bCs/>
          <w:b/>
        </w:rPr>
        <w:t xml:space="preserve">Thứ nhất, về các phương pháp tối ưu truyền thống.</w:t>
      </w:r>
      <w:r>
        <w:t xml:space="preserve"> </w:t>
      </w:r>
      <w:r>
        <w:t xml:space="preserve">Với dữ liệu hiện có, Markowitz, Risk Parity và HRP không vượt danh mục phân bổ đều, kết quả nhất quán với DeMiguel, Garlappi và Uppal (2009). Markowitz nhạy nhất với tham số (Sharpe 0,11–0,28 qua các biến thể), xác nhận vai trò của sai số ước lượng lợi nhuận kỳ vọng. Các phương pháp dựa trên rủi ro dễ bị đánh lừa bởi tài sản định giá trơn: nếu không có trần tỷ trọng và dải khẩu vị, Risk Parity và HRP dồn phần lớn vốn vào quỹ trái phiếu và cho Sharpe cao một cách giả tạo.</w:t>
      </w:r>
    </w:p>
    <w:p>
      <w:pPr>
        <w:pStyle w:val="BodyText"/>
      </w:pPr>
      <w:r>
        <w:rPr>
          <w:bCs/>
          <w:b/>
        </w:rPr>
        <w:t xml:space="preserve">Thứ hai, về học máy.</w:t>
      </w:r>
      <w:r>
        <w:t xml:space="preserve"> </w:t>
      </w:r>
      <w:r>
        <w:t xml:space="preserve">Lợi nhuận cổ phiếu Việt Nam không dự báo được tốt hơn trung bình lịch sử bằng cả ba mô hình (R²</w:t>
      </w:r>
      <w:r>
        <w:rPr>
          <w:vertAlign w:val="subscript"/>
        </w:rPr>
        <w:t xml:space="preserve">OS</w:t>
      </w:r>
      <w:r>
        <w:t xml:space="preserve"> </w:t>
      </w:r>
      <w:r>
        <w:t xml:space="preserve">từ −4% đến −5%). Kỹ năng dự báo có ý nghĩa chỉ xuất hiện ở vàng SJC (Elastic Net R²</w:t>
      </w:r>
      <w:r>
        <w:rPr>
          <w:vertAlign w:val="subscript"/>
        </w:rPr>
        <w:t xml:space="preserve">OS</w:t>
      </w:r>
      <w:r>
        <w:t xml:space="preserve"> </w:t>
      </w:r>
      <w:r>
        <w:t xml:space="preserve">6,7%, Clark–West p = 0,026). Mô hình tuyến tính đơn giản cho kết quả ổn định nhất và học được quan hệ đúng dấu lý thuyết (động lượng ngắn hạn dương, lãi suất tăng bất lợi); LightGBM khi được chính quy hóa đúng cách gần như trở về hằng số, còn MLP không tốt hơn. Đưa dự báo vào danh mục qua Black–Litterman, có lọc theo kỹ năng, cho Sharpe cao nhất trong nhóm 5 phương pháp chính ở 8/9 kịch bản và ổn định hơn cách dùng dự báo trực tiếp (MLP_MVO), với vòng quay chỉ bằng khoảng một nửa.</w:t>
      </w:r>
    </w:p>
    <w:p>
      <w:pPr>
        <w:pStyle w:val="BodyText"/>
      </w:pPr>
      <w:r>
        <w:rPr>
          <w:bCs/>
          <w:b/>
        </w:rPr>
        <w:t xml:space="preserve">Thứ ba, về đa dạng hóa.</w:t>
      </w:r>
      <w:r>
        <w:t xml:space="preserve"> </w:t>
      </w:r>
      <w:r>
        <w:t xml:space="preserve">Vàng và trái phiếu có tương quan gần 0 với cổ phiếu. Trong ba đợt sụt giảm (2018, 2020, 2022), trái phiếu đều tăng giá, còn vàng tăng trong đợt COVID-19 và chỉ giảm 4–6% trong hai đợt còn lại, so với mức giảm 24–30% của cổ phiếu; các danh mục đa tài sản chỉ mất khoảng một phần ba đến một nửa mức giảm của cổ phiếu. Phân tích thêm từng lớp cho thấy lợi ích đa dạng hóa đến chủ yếu từ vàng, còn cổ phiếu bất động sản, với tương quan 0,63 với cổ phiếu chung, làm giảm hiệu quả danh mục.</w:t>
      </w:r>
    </w:p>
    <w:p>
      <w:pPr>
        <w:pStyle w:val="BodyText"/>
      </w:pPr>
      <w:r>
        <w:rPr>
          <w:bCs/>
          <w:b/>
        </w:rPr>
        <w:t xml:space="preserve">Thứ tư, về vai trò của khẩu vị và khung thời gian.</w:t>
      </w:r>
      <w:r>
        <w:t xml:space="preserve"> </w:t>
      </w:r>
      <w:r>
        <w:t xml:space="preserve">Khẩu vị rủi ro và tần suất tái cân bằng quyết định Sharpe nhiều hơn phương pháp phân bổ. Trong giai đoạn kiểm tra, chuyển từ khẩu vị Thận trọng sang Tăng trưởng làm độ biến động tăng hơn gấp đôi mà không tăng lợi nhuận, và tái cân bằng hằng năm cho Sharpe cao hơn tái cân bằng hằng tháng khoảng 0,15 nhờ chi phí thấp hơn và lãi kỳ hạn dài hơn cho phần tiền mặt.</w:t>
      </w:r>
    </w:p>
    <w:p>
      <w:pPr>
        <w:pStyle w:val="BodyText"/>
      </w:pPr>
      <w:r>
        <w:rPr>
          <w:bCs/>
          <w:b/>
        </w:rPr>
        <w:t xml:space="preserve">Thứ năm, về độ tin cậy của thứ hạng.</w:t>
      </w:r>
      <w:r>
        <w:t xml:space="preserve"> </w:t>
      </w:r>
      <w:r>
        <w:t xml:space="preserve">Không cặp so sánh nào có ý nghĩa thống kê. Với 102 tháng, kiểm định chỉ phát hiện được chênh lệch Sharpe từ 0,18 đến 0,53, lớn hơn mọi chênh lệch quan sát được. Deflated Sharpe của mọi phương pháp đều không quá 0,5; trong mô phỏng bootstrap, Markowitz lại đứng đầu nhiều nhất (43%); và khi bỏ giai đoạn vàng dựng lại, lợi thế của BL biến mất. Hơn một nửa lợi nhuận của BL đến từ vàng.</w:t>
      </w:r>
    </w:p>
    <w:p>
      <w:pPr>
        <w:pStyle w:val="BodyText"/>
      </w:pPr>
      <w:r>
        <w:rPr>
          <w:bCs/>
          <w:b/>
        </w:rPr>
        <w:t xml:space="preserve">Kết luận chung:</w:t>
      </w:r>
      <w:r>
        <w:t xml:space="preserve"> </w:t>
      </w:r>
      <w:r>
        <w:t xml:space="preserve">với dữ liệu Việt Nam hiện có, các phương pháp phức tạp, kể cả có học máy, chưa chứng minh được lợi thế so với phân bổ đều hay Risk Parity. Quyết định quan trọng nhất với nhà đầu tư là chọn đúng mức rủi ro, đa dạng hóa sang vàng và trái phiếu, và tái cân bằng thưa với chi phí thấp, chứ không phải chọn thuật toán. Trên cơ sở đó, khóa luận xây dựng ứng dụng PortfolioVN dùng Risk Parity, chuyển kết quả thành kế hoạch mua cụ thể, thể hiện rủi ro bằng tiền đồng và có thể tái lập.</w:t>
      </w:r>
    </w:p>
    <w:bookmarkEnd w:id="162"/>
    <w:bookmarkStart w:id="163" w:name="mức-độ-hoàn-thành-mục-tiêu"/>
    <w:p>
      <w:pPr>
        <w:pStyle w:val="Heading3"/>
      </w:pPr>
      <w:r>
        <w:t xml:space="preserve">6.1.3 Mức độ hoàn thành mục tiêu</w:t>
      </w:r>
    </w:p>
    <w:p>
      <w:pPr>
        <w:pStyle w:val="FirstParagraph"/>
      </w:pPr>
      <w:r>
        <w:t xml:space="preserve">Sáu mục tiêu cụ thể ở mục 1.2 đều đã được thực hiện. Bộ dữ liệu 5 lớp có trích nguồn và kiểm chứng được xây dựng (mục tiêu 1); kỹ năng dự báo của ba mô hình được đánh giá theo từng lớp (mục tiêu 2); bảy phương pháp được so sánh trên 9 kịch bản với kiểm định thống kê (mục tiêu 3); lợi ích đa dạng hóa được lượng hóa và quy về từng lớp (mục tiêu 4); độ vững được kiểm tra bằng ba cách độc lập (mục tiêu 5); và ứng dụng PortfolioVN được xây dựng, kiểm thử và tái lập được (mục tiêu 6). Mục tiêu tổng quát được thực hiện một phần: nghiên cứu xác định được phương pháp phù hợp dựa trên tính ổn định và cơ sở lý thuyết, nhưng không thể khẳng định bằng thống kê rằng phương pháp đó vượt trội các phương pháp khác.</w:t>
      </w:r>
    </w:p>
    <w:bookmarkEnd w:id="163"/>
    <w:bookmarkEnd w:id="164"/>
    <w:bookmarkStart w:id="168" w:name="hàm-ý"/>
    <w:p>
      <w:pPr>
        <w:pStyle w:val="Heading2"/>
      </w:pPr>
      <w:r>
        <w:t xml:space="preserve">6.2 Hàm ý</w:t>
      </w:r>
    </w:p>
    <w:bookmarkStart w:id="165" w:name="cho-nhà-đầu-tư-cá-nhân"/>
    <w:p>
      <w:pPr>
        <w:pStyle w:val="Heading3"/>
      </w:pPr>
      <w:r>
        <w:t xml:space="preserve">6.2.1 Cho nhà đầu tư cá nhân</w:t>
      </w:r>
    </w:p>
    <w:p>
      <w:pPr>
        <w:numPr>
          <w:ilvl w:val="0"/>
          <w:numId w:val="1017"/>
        </w:numPr>
      </w:pPr>
      <w:r>
        <w:rPr>
          <w:bCs/>
          <w:b/>
        </w:rPr>
        <w:t xml:space="preserve">Chọn mức rủi ro trước, phương pháp sau.</w:t>
      </w:r>
      <w:r>
        <w:t xml:space="preserve"> </w:t>
      </w:r>
      <w:r>
        <w:t xml:space="preserve">Tỷ trọng cổ phiếu phù hợp với khả năng tài chính và thời gian đầu tư ảnh hưởng đến kết quả nhiều hơn việc dùng công thức phân bổ nào. Nên đánh giá cả mức sẵn sàng chịu rủi ro lẫn khả năng tài chính, và dùng mức thấp hơn trong hai.</w:t>
      </w:r>
    </w:p>
    <w:p>
      <w:pPr>
        <w:numPr>
          <w:ilvl w:val="0"/>
          <w:numId w:val="1017"/>
        </w:numPr>
      </w:pPr>
      <w:r>
        <w:rPr>
          <w:bCs/>
          <w:b/>
        </w:rPr>
        <w:t xml:space="preserve">Đa dạng hóa ra ngoài cổ phiếu.</w:t>
      </w:r>
      <w:r>
        <w:t xml:space="preserve"> </w:t>
      </w:r>
      <w:r>
        <w:t xml:space="preserve">Vàng và quỹ trái phiếu giúp giảm mạnh mức sụt giảm trong khủng hoảng. Riêng cổ phiếu bất động sản có tương quan cao với thị trường chung (0,63) và đã mất 73% giá trị từ đỉnh, nên không mang lại đa dạng hóa như nhiều người kỳ vọng.</w:t>
      </w:r>
    </w:p>
    <w:p>
      <w:pPr>
        <w:numPr>
          <w:ilvl w:val="0"/>
          <w:numId w:val="1017"/>
        </w:numPr>
      </w:pPr>
      <w:r>
        <w:rPr>
          <w:bCs/>
          <w:b/>
        </w:rPr>
        <w:t xml:space="preserve">Chuẩn bị tâm lý cho các giai đoạn kéo dài.</w:t>
      </w:r>
      <w:r>
        <w:t xml:space="preserve"> </w:t>
      </w:r>
      <w:r>
        <w:t xml:space="preserve">Ngay cả danh mục Cân bằng đa tài sản cũng từng dưới đỉnh hơn 3 năm và có khoảng một phần tư số cửa sổ 12 tháng lợi nhuận âm. Biết trước điều này giúp nhà đầu tư không bán tháo sau một đợt sụt giảm.</w:t>
      </w:r>
    </w:p>
    <w:p>
      <w:pPr>
        <w:numPr>
          <w:ilvl w:val="0"/>
          <w:numId w:val="1017"/>
        </w:numPr>
      </w:pPr>
      <w:r>
        <w:rPr>
          <w:bCs/>
          <w:b/>
        </w:rPr>
        <w:t xml:space="preserve">Thận trọng với chiến lược dựa vào dự báo.</w:t>
      </w:r>
      <w:r>
        <w:t xml:space="preserve"> </w:t>
      </w:r>
      <w:r>
        <w:t xml:space="preserve">Không mô hình nào trong khóa luận dự báo được cổ phiếu tốt hơn trung bình lịch sử. Một chiến lược có Sharpe quá khứ cao cần được hỏi: bao nhiêu cấu hình đã được thử, và kết quả còn không nếu bỏ một giai đoạn thuận lợi.</w:t>
      </w:r>
    </w:p>
    <w:p>
      <w:pPr>
        <w:numPr>
          <w:ilvl w:val="0"/>
          <w:numId w:val="1017"/>
        </w:numPr>
      </w:pPr>
      <w:r>
        <w:rPr>
          <w:bCs/>
          <w:b/>
        </w:rPr>
        <w:t xml:space="preserve">Giữ chi phí thấp và tái cân bằng định kỳ.</w:t>
      </w:r>
      <w:r>
        <w:t xml:space="preserve"> </w:t>
      </w:r>
      <w:r>
        <w:t xml:space="preserve">Phương pháp đơn giản có vòng quay thấp (khoảng 2% mỗi lần) và đạt hiệu quả tương đương phương pháp phức tạp. Tái cân bằng hằng năm cho kết quả tốt hơn tái cân bằng hằng tháng trong giai đoạn nghiên cứu.</w:t>
      </w:r>
    </w:p>
    <w:p>
      <w:pPr>
        <w:numPr>
          <w:ilvl w:val="0"/>
          <w:numId w:val="1017"/>
        </w:numPr>
      </w:pPr>
      <w:r>
        <w:rPr>
          <w:bCs/>
          <w:b/>
        </w:rPr>
        <w:t xml:space="preserve">Số vốn nhỏ cần công cụ chia nhỏ được.</w:t>
      </w:r>
      <w:r>
        <w:t xml:space="preserve"> </w:t>
      </w:r>
      <w:r>
        <w:t xml:space="preserve">Với dưới vài trăm triệu đồng, lô cổ phiếu và giá vàng miếng khiến danh mục thực tế lệch xa tỷ trọng mục tiêu; chứng chỉ quỹ và các sản phẩm mua theo số tiền phù hợp hơn.</w:t>
      </w:r>
    </w:p>
    <w:bookmarkEnd w:id="165"/>
    <w:bookmarkStart w:id="166" w:name="X522e1b98fbe2c12c99014bf977cd11773d0910d"/>
    <w:p>
      <w:pPr>
        <w:pStyle w:val="Heading3"/>
      </w:pPr>
      <w:r>
        <w:t xml:space="preserve">6.2.2 Cho dịch vụ tư vấn và công ty quản lý quỹ</w:t>
      </w:r>
    </w:p>
    <w:p>
      <w:pPr>
        <w:numPr>
          <w:ilvl w:val="0"/>
          <w:numId w:val="1018"/>
        </w:numPr>
      </w:pPr>
      <w:r>
        <w:rPr>
          <w:bCs/>
          <w:b/>
        </w:rPr>
        <w:t xml:space="preserve">Tư vấn tự động nên dựa trên phương pháp ổn định, giải thích được</w:t>
      </w:r>
      <w:r>
        <w:t xml:space="preserve">, như Risk Parity có ràng buộc khẩu vị, thay vì chọn theo Sharpe backtest. Khi giới thiệu chiến lược, nên công bố kiểm định thống kê và độ mạnh thay vì chỉ hiển thị lợi nhuận quá khứ.</w:t>
      </w:r>
    </w:p>
    <w:p>
      <w:pPr>
        <w:numPr>
          <w:ilvl w:val="0"/>
          <w:numId w:val="1018"/>
        </w:numPr>
      </w:pPr>
      <w:r>
        <w:rPr>
          <w:bCs/>
          <w:b/>
        </w:rPr>
        <w:t xml:space="preserve">Đánh giá khẩu vị cần tách mức chấp nhận và khả năng chịu rủi ro</w:t>
      </w:r>
      <w:r>
        <w:t xml:space="preserve">, lấy mức thấp hơn, và thể hiện rủi ro bằng tiền đồng để người dùng hiểu đúng.</w:t>
      </w:r>
    </w:p>
    <w:p>
      <w:pPr>
        <w:numPr>
          <w:ilvl w:val="0"/>
          <w:numId w:val="1018"/>
        </w:numPr>
      </w:pPr>
      <w:r>
        <w:rPr>
          <w:bCs/>
          <w:b/>
        </w:rPr>
        <w:t xml:space="preserve">Dự báo chỉ nên được dùng khi đã chứng minh kỹ năng ngoài mẫu</w:t>
      </w:r>
      <w:r>
        <w:t xml:space="preserve">, và qua cơ chế có điểm neo như Black–Litterman để danh mục tự quay về trạng thái trung lập khi dự báo kém.</w:t>
      </w:r>
    </w:p>
    <w:p>
      <w:pPr>
        <w:numPr>
          <w:ilvl w:val="0"/>
          <w:numId w:val="1018"/>
        </w:numPr>
      </w:pPr>
      <w:r>
        <w:rPr>
          <w:bCs/>
          <w:b/>
        </w:rPr>
        <w:t xml:space="preserve">Đo rủi ro đúng trước khi phân bổ theo rủi ro.</w:t>
      </w:r>
      <w:r>
        <w:t xml:space="preserve"> </w:t>
      </w:r>
      <w:r>
        <w:t xml:space="preserve">Với tài sản định giá trơn như NAV quỹ trái phiếu, cần khử độ trơn và đặt trần tỷ trọng, nếu không danh mục</w:t>
      </w:r>
      <w:r>
        <w:t xml:space="preserve"> </w:t>
      </w:r>
      <w:r>
        <w:t xml:space="preserve">“</w:t>
      </w:r>
      <w:r>
        <w:t xml:space="preserve">cân bằng rủi ro</w:t>
      </w:r>
      <w:r>
        <w:t xml:space="preserve">”</w:t>
      </w:r>
      <w:r>
        <w:t xml:space="preserve"> </w:t>
      </w:r>
      <w:r>
        <w:t xml:space="preserve">thực chất dồn vào một lớp.</w:t>
      </w:r>
    </w:p>
    <w:p>
      <w:pPr>
        <w:numPr>
          <w:ilvl w:val="0"/>
          <w:numId w:val="1018"/>
        </w:numPr>
      </w:pPr>
      <w:r>
        <w:rPr>
          <w:bCs/>
          <w:b/>
        </w:rPr>
        <w:t xml:space="preserve">Nhu cầu sản phẩm:</w:t>
      </w:r>
      <w:r>
        <w:t xml:space="preserve"> </w:t>
      </w:r>
      <w:r>
        <w:t xml:space="preserve">một quỹ hoặc chứng chỉ vàng có thể mua theo số tiền nhỏ sẽ giúp nhà đầu tư nhỏ tiếp cận lớp tài sản đã đóng góp nhiều nhất vào hiệu quả danh mục trong giai đoạn nghiên cứu.</w:t>
      </w:r>
    </w:p>
    <w:bookmarkEnd w:id="166"/>
    <w:bookmarkStart w:id="167" w:name="cho-nghiên-cứu-học-thuật"/>
    <w:p>
      <w:pPr>
        <w:pStyle w:val="Heading3"/>
      </w:pPr>
      <w:r>
        <w:t xml:space="preserve">6.2.3 Cho nghiên cứu học thuật</w:t>
      </w:r>
    </w:p>
    <w:p>
      <w:pPr>
        <w:numPr>
          <w:ilvl w:val="0"/>
          <w:numId w:val="1019"/>
        </w:numPr>
      </w:pPr>
      <w:r>
        <w:rPr>
          <w:bCs/>
          <w:b/>
        </w:rPr>
        <w:t xml:space="preserve">Báo cáo độ mạnh cùng giá trị p.</w:t>
      </w:r>
      <w:r>
        <w:t xml:space="preserve"> </w:t>
      </w:r>
      <w:r>
        <w:t xml:space="preserve">Với mẫu dưới 10 năm dữ liệu tháng, hầu hết so sánh chiến lược không đủ độ mạnh; báo cáo chênh lệch tối thiểu phát hiện được giúp tránh diễn giải</w:t>
      </w:r>
      <w:r>
        <w:t xml:space="preserve"> </w:t>
      </w:r>
      <w:r>
        <w:t xml:space="preserve">“</w:t>
      </w:r>
      <w:r>
        <w:t xml:space="preserve">không có ý nghĩa</w:t>
      </w:r>
      <w:r>
        <w:t xml:space="preserve">”</w:t>
      </w:r>
      <w:r>
        <w:t xml:space="preserve"> </w:t>
      </w:r>
      <w:r>
        <w:t xml:space="preserve">thành</w:t>
      </w:r>
      <w:r>
        <w:t xml:space="preserve"> </w:t>
      </w:r>
      <w:r>
        <w:t xml:space="preserve">“</w:t>
      </w:r>
      <w:r>
        <w:t xml:space="preserve">không có khác biệt</w:t>
      </w:r>
      <w:r>
        <w:t xml:space="preserve">”</w:t>
      </w:r>
      <w:r>
        <w:t xml:space="preserve">.</w:t>
      </w:r>
    </w:p>
    <w:p>
      <w:pPr>
        <w:numPr>
          <w:ilvl w:val="0"/>
          <w:numId w:val="1019"/>
        </w:numPr>
      </w:pPr>
      <w:r>
        <w:rPr>
          <w:bCs/>
          <w:b/>
        </w:rPr>
        <w:t xml:space="preserve">So sánh dự báo với trung bình lịch sử.</w:t>
      </w:r>
      <w:r>
        <w:t xml:space="preserve"> </w:t>
      </w:r>
      <w:r>
        <w:t xml:space="preserve">Đánh giá học máy bằng R²</w:t>
      </w:r>
      <w:r>
        <w:rPr>
          <w:vertAlign w:val="subscript"/>
        </w:rPr>
        <w:t xml:space="preserve">OS</w:t>
      </w:r>
      <w:r>
        <w:t xml:space="preserve"> </w:t>
      </w:r>
      <w:r>
        <w:t xml:space="preserve">và Clark–West theo từng lớp tài sản cho kết luận khác hẳn so với đánh giá bằng độ chính xác dự báo chiều hay RMSE gộp.</w:t>
      </w:r>
    </w:p>
    <w:p>
      <w:pPr>
        <w:numPr>
          <w:ilvl w:val="0"/>
          <w:numId w:val="1019"/>
        </w:numPr>
      </w:pPr>
      <w:r>
        <w:rPr>
          <w:bCs/>
          <w:b/>
        </w:rPr>
        <w:t xml:space="preserve">Chú ý thiên lệch sống sót và dữ liệu dựng lại.</w:t>
      </w:r>
      <w:r>
        <w:t xml:space="preserve"> </w:t>
      </w:r>
      <w:r>
        <w:t xml:space="preserve">Rổ tài sản cần được chọn theo quy tắc point-in-time, và các chuỗi dựng lại cần được kiểm chứng trên đoạn có dữ liệu thật, đồng thời kiểm tra độ nhạy của kết luận khi bỏ phần dựng lại.</w:t>
      </w:r>
    </w:p>
    <w:bookmarkEnd w:id="167"/>
    <w:bookmarkEnd w:id="168"/>
    <w:bookmarkStart w:id="169" w:name="hạn-chế-của-nghiên-cứu"/>
    <w:p>
      <w:pPr>
        <w:pStyle w:val="Heading2"/>
      </w:pPr>
      <w:r>
        <w:t xml:space="preserve">6.3 Hạn chế của nghiên cứu</w:t>
      </w:r>
    </w:p>
    <w:p>
      <w:pPr>
        <w:pStyle w:val="FirstParagraph"/>
      </w:pPr>
      <w:r>
        <w:rPr>
          <w:bCs/>
          <w:b/>
        </w:rPr>
        <w:t xml:space="preserve">Về dữ liệu:</w:t>
      </w:r>
    </w:p>
    <w:p>
      <w:pPr>
        <w:numPr>
          <w:ilvl w:val="0"/>
          <w:numId w:val="1020"/>
        </w:numPr>
      </w:pPr>
      <w:r>
        <w:rPr>
          <w:iCs/>
          <w:i/>
        </w:rPr>
        <w:t xml:space="preserve">Giá vàng SJC trước 08/2022 là giá dựng lại</w:t>
      </w:r>
      <w:r>
        <w:t xml:space="preserve"> </w:t>
      </w:r>
      <w:r>
        <w:t xml:space="preserve">giữa các điểm neo 6 tháng và 4 tháng. Kiểm chứng cho tương quan lợi nhuận 0,72 với giá thật, nhưng độ biến động bị ước lượng thấp khoảng 4 điểm %, và kết quả của BL nhạy với giai đoạn này.</w:t>
      </w:r>
    </w:p>
    <w:p>
      <w:pPr>
        <w:numPr>
          <w:ilvl w:val="0"/>
          <w:numId w:val="1020"/>
        </w:numPr>
      </w:pPr>
      <w:r>
        <w:rPr>
          <w:iCs/>
          <w:i/>
        </w:rPr>
        <w:t xml:space="preserve">NAV quỹ trái phiếu được định giá trơn.</w:t>
      </w:r>
      <w:r>
        <w:t xml:space="preserve"> </w:t>
      </w:r>
      <w:r>
        <w:t xml:space="preserve">Đã khử độ trơn theo Geltner (ρ tối đa 0,6) và đặt trần 50%, nhưng rủi ro trái phiếu vẫn có thể bị đánh giá thấp: trong giai đoạn kiểm tra, độ biến động của NAV chỉ 0,9%/năm. NAV quỹ DCBF có hai tháng tăng bất thường (07/2017 +5,7%, 01/2018 +4,6%) chưa được giải thích.</w:t>
      </w:r>
    </w:p>
    <w:p>
      <w:pPr>
        <w:numPr>
          <w:ilvl w:val="0"/>
          <w:numId w:val="1020"/>
        </w:numPr>
      </w:pPr>
      <w:r>
        <w:rPr>
          <w:iCs/>
          <w:i/>
        </w:rPr>
        <w:t xml:space="preserve">Vốn hóa cuối năm 2014–2017</w:t>
      </w:r>
      <w:r>
        <w:t xml:space="preserve"> </w:t>
      </w:r>
      <w:r>
        <w:t xml:space="preserve">dùng để chọn rổ bất động sản là giá trị ước lượng, bỏ qua việc phát hành thêm cổ phiếu.</w:t>
      </w:r>
    </w:p>
    <w:p>
      <w:pPr>
        <w:numPr>
          <w:ilvl w:val="0"/>
          <w:numId w:val="1020"/>
        </w:numPr>
      </w:pPr>
      <w:r>
        <w:rPr>
          <w:iCs/>
          <w:i/>
        </w:rPr>
        <w:t xml:space="preserve">Tỷ giá là tỷ giá chính thức</w:t>
      </w:r>
      <w:r>
        <w:t xml:space="preserve"> </w:t>
      </w:r>
      <w:r>
        <w:t xml:space="preserve">của IMF, không phải giá bán của ngân hàng thương mại. Lãi suất Vietcombank giai đoạn 01–08/2016 chưa tìm được nguồn xác nhận.</w:t>
      </w:r>
    </w:p>
    <w:p>
      <w:pPr>
        <w:numPr>
          <w:ilvl w:val="0"/>
          <w:numId w:val="1020"/>
        </w:numPr>
      </w:pPr>
      <w:r>
        <w:rPr>
          <w:iCs/>
          <w:i/>
        </w:rPr>
        <w:t xml:space="preserve">Mỗi lớp chỉ có một công cụ đại diện</w:t>
      </w:r>
      <w:r>
        <w:t xml:space="preserve"> </w:t>
      </w:r>
      <w:r>
        <w:t xml:space="preserve">(một quỹ trái phiếu, một ngân hàng, một ETF); kết quả có thể khác với công cụ khác.</w:t>
      </w:r>
    </w:p>
    <w:p>
      <w:pPr>
        <w:numPr>
          <w:ilvl w:val="0"/>
          <w:numId w:val="1020"/>
        </w:numPr>
      </w:pPr>
      <w:r>
        <w:rPr>
          <w:iCs/>
          <w:i/>
        </w:rPr>
        <w:t xml:space="preserve">Giai đoạn mẫu đặc thù.</w:t>
      </w:r>
      <w:r>
        <w:t xml:space="preserve"> </w:t>
      </w:r>
      <w:r>
        <w:t xml:space="preserve">Giai đoạn kiểm tra bắt đầu ngay sau năm cổ phiếu tăng 59% và kết thúc sau đợt tăng giá vàng đặc biệt mạnh 2024–2025; kết quả có thể khác trong một giai đoạn có cấu trúc lợi nhuận khác.</w:t>
      </w:r>
    </w:p>
    <w:p>
      <w:pPr>
        <w:pStyle w:val="FirstParagraph"/>
      </w:pPr>
      <w:r>
        <w:rPr>
          <w:bCs/>
          <w:b/>
        </w:rPr>
        <w:t xml:space="preserve">Về phương pháp:</w:t>
      </w:r>
    </w:p>
    <w:p>
      <w:pPr>
        <w:numPr>
          <w:ilvl w:val="0"/>
          <w:numId w:val="1021"/>
        </w:numPr>
      </w:pPr>
      <w:r>
        <w:rPr>
          <w:iCs/>
          <w:i/>
        </w:rPr>
        <w:t xml:space="preserve">Độ mạnh thống kê thấp.</w:t>
      </w:r>
      <w:r>
        <w:t xml:space="preserve"> </w:t>
      </w:r>
      <w:r>
        <w:t xml:space="preserve">102 tháng chỉ đủ phát hiện chênh lệch Sharpe từ 0,18 đến 0,53; đây là giới hạn lớn nhất của khóa luận.</w:t>
      </w:r>
    </w:p>
    <w:p>
      <w:pPr>
        <w:numPr>
          <w:ilvl w:val="0"/>
          <w:numId w:val="1021"/>
        </w:numPr>
      </w:pPr>
      <w:r>
        <w:rPr>
          <w:iCs/>
          <w:i/>
        </w:rPr>
        <w:t xml:space="preserve">Số cấu hình đã thử.</w:t>
      </w:r>
      <w:r>
        <w:t xml:space="preserve"> </w:t>
      </w:r>
      <w:r>
        <w:t xml:space="preserve">Thiết kế được chỉnh sửa qua nhiều vòng kiểm tra chất lượng; Deflated Sharpe đã tính đến N = 63 và 252, nhưng không loại trừ hoàn toàn thiên lệch chọn lọc.</w:t>
      </w:r>
    </w:p>
    <w:p>
      <w:pPr>
        <w:numPr>
          <w:ilvl w:val="0"/>
          <w:numId w:val="1021"/>
        </w:numPr>
      </w:pPr>
      <w:r>
        <w:rPr>
          <w:iCs/>
          <w:i/>
        </w:rPr>
        <w:t xml:space="preserve">Tập biến dự báo nhỏ</w:t>
      </w:r>
      <w:r>
        <w:t xml:space="preserve"> </w:t>
      </w:r>
      <w:r>
        <w:t xml:space="preserve">(7 biến kỹ thuật và vĩ mô), chưa có biến cơ bản như định giá (P/E, P/B), dòng tiền khối ngoại hay lạm phát.</w:t>
      </w:r>
    </w:p>
    <w:p>
      <w:pPr>
        <w:numPr>
          <w:ilvl w:val="0"/>
          <w:numId w:val="1021"/>
        </w:numPr>
      </w:pPr>
      <w:r>
        <w:rPr>
          <w:iCs/>
          <w:i/>
        </w:rPr>
        <w:t xml:space="preserve">Tác tử học tăng cường đơn giản</w:t>
      </w:r>
      <w:r>
        <w:t xml:space="preserve"> </w:t>
      </w:r>
      <w:r>
        <w:t xml:space="preserve">(contextual bandit 4 trạng thái, 3 hành động), chưa phải học tăng cường đầy đủ.</w:t>
      </w:r>
    </w:p>
    <w:p>
      <w:pPr>
        <w:numPr>
          <w:ilvl w:val="0"/>
          <w:numId w:val="1021"/>
        </w:numPr>
      </w:pPr>
      <w:r>
        <w:rPr>
          <w:iCs/>
          <w:i/>
        </w:rPr>
        <w:t xml:space="preserve">Giả định chi phí</w:t>
      </w:r>
      <w:r>
        <w:t xml:space="preserve"> </w:t>
      </w:r>
      <w:r>
        <w:t xml:space="preserve">cố định theo lớp, chưa tính thuế, trượt giá và chênh lệch mua–bán vàng thay đổi theo thời gian.</w:t>
      </w:r>
    </w:p>
    <w:p>
      <w:pPr>
        <w:numPr>
          <w:ilvl w:val="0"/>
          <w:numId w:val="1021"/>
        </w:numPr>
      </w:pPr>
      <w:r>
        <w:rPr>
          <w:iCs/>
          <w:i/>
        </w:rPr>
        <w:t xml:space="preserve">Dải khẩu vị là ràng buộc chặt.</w:t>
      </w:r>
      <w:r>
        <w:t xml:space="preserve"> </w:t>
      </w:r>
      <w:r>
        <w:t xml:space="preserve">Với Risk Parity, HRP và Equal Weight, dải bị chạm ở hầu hết các lần tái cân bằng, nên so sánh giữa các phương pháp phần lớn là so sánh cách chia bên trong mỗi nhóm.</w:t>
      </w:r>
    </w:p>
    <w:p>
      <w:pPr>
        <w:pStyle w:val="FirstParagraph"/>
      </w:pPr>
      <w:r>
        <w:rPr>
          <w:bCs/>
          <w:b/>
        </w:rPr>
        <w:t xml:space="preserve">Về ứng dụng:</w:t>
      </w:r>
      <w:r>
        <w:t xml:space="preserve"> </w:t>
      </w:r>
      <w:r>
        <w:t xml:space="preserve">bảng hỏi khẩu vị chưa được kiểm định độ tin cậy trên người dùng thật; ứng dụng chưa được thử nghiệm với nhà đầu tư; và với số vốn nhỏ, danh mục thực tế lệch đáng kể so với tỷ trọng mục tiêu.</w:t>
      </w:r>
    </w:p>
    <w:bookmarkEnd w:id="169"/>
    <w:bookmarkStart w:id="170" w:name="hướng-nghiên-cứu-tiếp-theo"/>
    <w:p>
      <w:pPr>
        <w:pStyle w:val="Heading2"/>
      </w:pPr>
      <w:r>
        <w:t xml:space="preserve">6.4 Hướng nghiên cứu tiếp theo</w:t>
      </w:r>
    </w:p>
    <w:p>
      <w:pPr>
        <w:numPr>
          <w:ilvl w:val="0"/>
          <w:numId w:val="1022"/>
        </w:numPr>
      </w:pPr>
      <w:r>
        <w:rPr>
          <w:bCs/>
          <w:b/>
        </w:rPr>
        <w:t xml:space="preserve">Mở rộng dữ liệu.</w:t>
      </w:r>
      <w:r>
        <w:t xml:space="preserve"> </w:t>
      </w:r>
      <w:r>
        <w:t xml:space="preserve">Thu thập giá vàng SJC hằng ngày trước 2022 từ các nguồn lưu trữ để thay chuỗi dựng lại; dùng nhiều quỹ trái phiếu và ngân hàng để kiểm tra độ vững. Mỗi năm dữ liệu mới làm tăng độ mạnh; cần khoảng 185 tháng để phát hiện chênh lệch Sharpe 0,3 giữa BL và Markowitz.</w:t>
      </w:r>
    </w:p>
    <w:p>
      <w:pPr>
        <w:numPr>
          <w:ilvl w:val="0"/>
          <w:numId w:val="1022"/>
        </w:numPr>
      </w:pPr>
      <w:r>
        <w:rPr>
          <w:bCs/>
          <w:b/>
        </w:rPr>
        <w:t xml:space="preserve">Biến dự báo phong phú hơn.</w:t>
      </w:r>
      <w:r>
        <w:t xml:space="preserve"> </w:t>
      </w:r>
      <w:r>
        <w:t xml:space="preserve">Bổ sung biến định giá, lạm phát, tăng trưởng tín dụng, dòng tiền khối ngoại và chênh lệch vàng trong nước–thế giới; thử dự báo ở cấp cổ phiếu rồi gộp lên lớp để có mẫu lớn hơn.</w:t>
      </w:r>
    </w:p>
    <w:p>
      <w:pPr>
        <w:numPr>
          <w:ilvl w:val="0"/>
          <w:numId w:val="1022"/>
        </w:numPr>
      </w:pPr>
      <w:r>
        <w:rPr>
          <w:bCs/>
          <w:b/>
        </w:rPr>
        <w:t xml:space="preserve">Quan điểm tương đối và độ bất định của dự báo.</w:t>
      </w:r>
      <w:r>
        <w:t xml:space="preserve"> </w:t>
      </w:r>
      <w:r>
        <w:t xml:space="preserve">Dùng quan điểm dạng</w:t>
      </w:r>
      <w:r>
        <w:t xml:space="preserve"> </w:t>
      </w:r>
      <w:r>
        <w:t xml:space="preserve">“</w:t>
      </w:r>
      <w:r>
        <w:t xml:space="preserve">lớp A tốt hơn lớp B</w:t>
      </w:r>
      <w:r>
        <w:t xml:space="preserve">”</w:t>
      </w:r>
      <w:r>
        <w:t xml:space="preserve"> </w:t>
      </w:r>
      <w:r>
        <w:t xml:space="preserve">trong Black–Litterman và ước lượng Ω trực tiếp từ sai số dự báo ngoài mẫu.</w:t>
      </w:r>
    </w:p>
    <w:p>
      <w:pPr>
        <w:numPr>
          <w:ilvl w:val="0"/>
          <w:numId w:val="1022"/>
        </w:numPr>
      </w:pPr>
      <w:r>
        <w:rPr>
          <w:bCs/>
          <w:b/>
        </w:rPr>
        <w:t xml:space="preserve">Thước đo rủi ro đuôi.</w:t>
      </w:r>
      <w:r>
        <w:t xml:space="preserve"> </w:t>
      </w:r>
      <w:r>
        <w:t xml:space="preserve">Thử tối ưu trung bình–CVaR, phù hợp với phân phối đuôi dày của các tài sản Việt Nam (Le và Dao, 2021).</w:t>
      </w:r>
    </w:p>
    <w:p>
      <w:pPr>
        <w:numPr>
          <w:ilvl w:val="0"/>
          <w:numId w:val="1022"/>
        </w:numPr>
      </w:pPr>
      <w:r>
        <w:rPr>
          <w:bCs/>
          <w:b/>
        </w:rPr>
        <w:t xml:space="preserve">Dải khẩu vị linh hoạt hơn.</w:t>
      </w:r>
      <w:r>
        <w:t xml:space="preserve"> </w:t>
      </w:r>
      <w:r>
        <w:t xml:space="preserve">Thay dải cố định bằng mục tiêu độ biến động hoặc mục tiêu sụt giảm tối đa, để phương pháp có nhiều không gian phân bổ hơn và so sánh giữa các phương pháp rõ nét hơn.</w:t>
      </w:r>
    </w:p>
    <w:p>
      <w:pPr>
        <w:numPr>
          <w:ilvl w:val="0"/>
          <w:numId w:val="1022"/>
        </w:numPr>
      </w:pPr>
      <w:r>
        <w:rPr>
          <w:bCs/>
          <w:b/>
        </w:rPr>
        <w:t xml:space="preserve">Học tăng cường đầy đủ</w:t>
      </w:r>
      <w:r>
        <w:t xml:space="preserve"> </w:t>
      </w:r>
      <w:r>
        <w:t xml:space="preserve">với không gian hành động liên tục và chi phí giao dịch trong hàm thưởng, khi có đủ dữ liệu.</w:t>
      </w:r>
    </w:p>
    <w:p>
      <w:pPr>
        <w:numPr>
          <w:ilvl w:val="0"/>
          <w:numId w:val="1022"/>
        </w:numPr>
      </w:pPr>
      <w:r>
        <w:rPr>
          <w:bCs/>
          <w:b/>
        </w:rPr>
        <w:t xml:space="preserve">Thử nghiệm người dùng.</w:t>
      </w:r>
      <w:r>
        <w:t xml:space="preserve"> </w:t>
      </w:r>
      <w:r>
        <w:t xml:space="preserve">Khảo sát nhà đầu tư cá nhân để kiểm định bảng hỏi khẩu vị và đánh giá mức độ hiểu, tin tưởng và làm theo kế hoạch của ứng dụng.</w:t>
      </w:r>
    </w:p>
    <w:p>
      <w:pPr>
        <w:numPr>
          <w:ilvl w:val="0"/>
          <w:numId w:val="1022"/>
        </w:numPr>
      </w:pPr>
      <w:r>
        <w:rPr>
          <w:bCs/>
          <w:b/>
        </w:rPr>
        <w:t xml:space="preserve">Cập nhật tự động và theo dõi ngoài mẫu thật.</w:t>
      </w:r>
      <w:r>
        <w:t xml:space="preserve"> </w:t>
      </w:r>
      <w:r>
        <w:t xml:space="preserve">Kết nối nguồn dữ liệu có bản quyền để pipeline chạy hằng tháng và tạo phiên bản kết quả mới, theo dõi hiệu quả ngoài mẫu thực sự từ sau thời điểm nộp khóa luận. Đây là cách duy nhất để đánh giá các phương pháp mà không chịu thiên lệch chọn lọc của nghiên cứu.</w:t>
      </w:r>
    </w:p>
    <w:bookmarkEnd w:id="170"/>
    <w:bookmarkEnd w:id="171"/>
    <w:bookmarkStart w:id="172" w:name="tài-liệu-tham-khảo"/>
    <w:p>
      <w:pPr>
        <w:pStyle w:val="Heading1"/>
      </w:pPr>
      <w:r>
        <w:t xml:space="preserve">Tài liệu tham khảo</w:t>
      </w:r>
    </w:p>
    <w:p>
      <w:pPr>
        <w:pStyle w:val="SubHeading"/>
      </w:pPr>
      <w:r>
        <w:t xml:space="preserve">Tài liệu tiếng Việt</w:t>
      </w:r>
    </w:p>
    <w:p>
      <w:pPr>
        <w:pStyle w:val="ReferenceEntry"/>
      </w:pPr>
      <w:r>
        <w:t xml:space="preserve">Báo Nhân Dân. (2026, 9 tháng 4).</w:t>
      </w:r>
      <w:r>
        <w:t xml:space="preserve"> </w:t>
      </w:r>
      <w:r>
        <w:rPr>
          <w:iCs/>
          <w:i/>
        </w:rPr>
        <w:t xml:space="preserve">Kết thúc quý I/2026, Việt Nam có hơn 12,6 triệu tài khoản chứng khoán</w:t>
      </w:r>
      <w:r>
        <w:t xml:space="preserve">. https://nhandan.vn/ocop/ket-thuc-quy-i2026-viet-nam-co-hon-126-trieu-tai-khoan-chung-khoan-post954464.html</w:t>
      </w:r>
    </w:p>
    <w:p>
      <w:pPr>
        <w:pStyle w:val="ReferenceEntry"/>
      </w:pPr>
      <w:r>
        <w:t xml:space="preserve">Chính phủ. (2012).</w:t>
      </w:r>
      <w:r>
        <w:t xml:space="preserve"> </w:t>
      </w:r>
      <w:r>
        <w:rPr>
          <w:iCs/>
          <w:i/>
        </w:rPr>
        <w:t xml:space="preserve">Nghị định số 24/2012/NĐ-CP ngày 03/4/2012 về quản lý hoạt động kinh doanh vàng</w:t>
      </w:r>
      <w:r>
        <w:t xml:space="preserve">.</w:t>
      </w:r>
    </w:p>
    <w:p>
      <w:pPr>
        <w:pStyle w:val="ReferenceEntry"/>
      </w:pPr>
      <w:r>
        <w:t xml:space="preserve">Lê Thị Anh Quyên, Nguyễn Minh Nhật, Phan Diên Vỹ, &amp; Trần Thiên Kỷ. (2024). So sánh hiệu quả kỹ thuật co gọn phi tuyến tính với co gọn tuyến tính trên mô hình tương quan cố định trong tối ưu hóa danh mục đầu tư.</w:t>
      </w:r>
      <w:r>
        <w:t xml:space="preserve"> </w:t>
      </w:r>
      <w:r>
        <w:rPr>
          <w:iCs/>
          <w:i/>
        </w:rPr>
        <w:t xml:space="preserve">Tạp chí Kinh tế và Ngân hàng châu Á</w:t>
      </w:r>
      <w:r>
        <w:t xml:space="preserve">, (224). https://doi.org/10.63065/ajeb.vn.2024.224.105846</w:t>
      </w:r>
    </w:p>
    <w:p>
      <w:pPr>
        <w:pStyle w:val="ReferenceEntry"/>
      </w:pPr>
      <w:r>
        <w:t xml:space="preserve">Nguyễn Minh Nhật, &amp; Phạm Thị Thu Hường. (2024). Ước lượng ma trận hiệp phương sai với trọng số Shrinkage cân bằng trong lựa chọn danh mục đầu tư: Nghiên cứu thực nghiệm trên thị trường chứng khoán Việt Nam.</w:t>
      </w:r>
      <w:r>
        <w:t xml:space="preserve"> </w:t>
      </w:r>
      <w:r>
        <w:rPr>
          <w:iCs/>
          <w:i/>
        </w:rPr>
        <w:t xml:space="preserve">Tạp chí Kinh tế – Luật và Ngân hàng</w:t>
      </w:r>
      <w:r>
        <w:t xml:space="preserve">, (265). https://doi.org/10.59276/JELB.2024.06.2686</w:t>
      </w:r>
    </w:p>
    <w:p>
      <w:pPr>
        <w:pStyle w:val="ReferenceEntry"/>
      </w:pPr>
      <w:r>
        <w:t xml:space="preserve">Tạp chí Ngân hàng. (2025, 27 tháng 8).</w:t>
      </w:r>
      <w:r>
        <w:t xml:space="preserve"> </w:t>
      </w:r>
      <w:r>
        <w:rPr>
          <w:iCs/>
          <w:i/>
        </w:rPr>
        <w:t xml:space="preserve">Chính thức bãi bỏ quy định nhà nước độc quyền sản xuất vàng miếng, xuất nhập khẩu vàng nguyên liệu để sản xuất vàng miếng</w:t>
      </w:r>
      <w:r>
        <w:t xml:space="preserve">. https://tapchinganhang.gov.vn/chinh-thuc-bai-bo-quy-dinh-nha-nuoc-doc-quyen-san-xuat-vang-mieng-xuat-nhap-khau-vang-nguyen-lieu-de-san-xuat-vang-mieng-16453.html</w:t>
      </w:r>
    </w:p>
    <w:p>
      <w:pPr>
        <w:pStyle w:val="ReferenceEntry"/>
      </w:pPr>
      <w:r>
        <w:t xml:space="preserve">VnEconomy. (2026, 19 tháng 2).</w:t>
      </w:r>
      <w:r>
        <w:t xml:space="preserve"> </w:t>
      </w:r>
      <w:r>
        <w:rPr>
          <w:iCs/>
          <w:i/>
        </w:rPr>
        <w:t xml:space="preserve">HOSE năm 2025: VN-Index chinh phục mốc 1.784 điểm, vốn hóa thị trường đạt trên 72% GDP</w:t>
      </w:r>
      <w:r>
        <w:t xml:space="preserve">. https://vneconomy.vn/hose-nam-2025-vn-index-chinh-phuc-moc-1784-diem-von-hoa-thi-truong-dat-tren-72-gdp.htm</w:t>
      </w:r>
    </w:p>
    <w:p>
      <w:pPr>
        <w:pStyle w:val="SubHeading"/>
      </w:pPr>
      <w:r>
        <w:t xml:space="preserve">Tài liệu tiếng Anh</w:t>
      </w:r>
    </w:p>
    <w:p>
      <w:pPr>
        <w:pStyle w:val="ReferenceEntry"/>
      </w:pPr>
      <w:r>
        <w:t xml:space="preserve">Asness, C. S., Frazzini, A., &amp; Pedersen, L. H. (2012). Leverage aversion and risk parity.</w:t>
      </w:r>
      <w:r>
        <w:t xml:space="preserve"> </w:t>
      </w:r>
      <w:r>
        <w:rPr>
          <w:iCs/>
          <w:i/>
        </w:rPr>
        <w:t xml:space="preserve">Financial Analysts Journal, 68</w:t>
      </w:r>
      <w:r>
        <w:t xml:space="preserve">(1), 47–59.</w:t>
      </w:r>
    </w:p>
    <w:p>
      <w:pPr>
        <w:pStyle w:val="ReferenceEntry"/>
      </w:pPr>
      <w:r>
        <w:t xml:space="preserve">Bailey, D. H., &amp; López de Prado, M. (2014). The deflated Sharpe ratio: Correcting for selection bias, backtest overfitting, and non-normality.</w:t>
      </w:r>
      <w:r>
        <w:t xml:space="preserve"> </w:t>
      </w:r>
      <w:r>
        <w:rPr>
          <w:iCs/>
          <w:i/>
        </w:rPr>
        <w:t xml:space="preserve">Journal of Portfolio Management, 40</w:t>
      </w:r>
      <w:r>
        <w:t xml:space="preserve">(5), 94–107.</w:t>
      </w:r>
    </w:p>
    <w:p>
      <w:pPr>
        <w:pStyle w:val="ReferenceEntry"/>
      </w:pPr>
      <w:r>
        <w:t xml:space="preserve">Baur, D. G., &amp; Lucey, B. M. (2010). Is gold a hedge or a safe haven? An analysis of stocks, bonds and gold.</w:t>
      </w:r>
      <w:r>
        <w:t xml:space="preserve"> </w:t>
      </w:r>
      <w:r>
        <w:rPr>
          <w:iCs/>
          <w:i/>
        </w:rPr>
        <w:t xml:space="preserve">Financial Review, 45</w:t>
      </w:r>
      <w:r>
        <w:t xml:space="preserve">(2), 217–229.</w:t>
      </w:r>
    </w:p>
    <w:p>
      <w:pPr>
        <w:pStyle w:val="ReferenceEntry"/>
      </w:pPr>
      <w:r>
        <w:t xml:space="preserve">Black, F., &amp; Litterman, R. (1992). Global portfolio optimization.</w:t>
      </w:r>
      <w:r>
        <w:t xml:space="preserve"> </w:t>
      </w:r>
      <w:r>
        <w:rPr>
          <w:iCs/>
          <w:i/>
        </w:rPr>
        <w:t xml:space="preserve">Financial Analysts Journal, 48</w:t>
      </w:r>
      <w:r>
        <w:t xml:space="preserve">(5), 28–43.</w:t>
      </w:r>
    </w:p>
    <w:p>
      <w:pPr>
        <w:pStyle w:val="ReferenceEntry"/>
      </w:pPr>
      <w:r>
        <w:t xml:space="preserve">Brinson, G. P., Hood, L. R., &amp; Beebower, G. L. (1986). Determinants of portfolio performance.</w:t>
      </w:r>
      <w:r>
        <w:t xml:space="preserve"> </w:t>
      </w:r>
      <w:r>
        <w:rPr>
          <w:iCs/>
          <w:i/>
        </w:rPr>
        <w:t xml:space="preserve">Financial Analysts Journal, 42</w:t>
      </w:r>
      <w:r>
        <w:t xml:space="preserve">(4), 39–44.</w:t>
      </w:r>
    </w:p>
    <w:p>
      <w:pPr>
        <w:pStyle w:val="ReferenceEntry"/>
      </w:pPr>
      <w:r>
        <w:t xml:space="preserve">Campbell, J. Y., &amp; Thompson, S. B. (2008). Predicting excess stock returns out of sample: Can anything beat the historical average?</w:t>
      </w:r>
      <w:r>
        <w:t xml:space="preserve"> </w:t>
      </w:r>
      <w:r>
        <w:rPr>
          <w:iCs/>
          <w:i/>
        </w:rPr>
        <w:t xml:space="preserve">Review of Financial Studies, 21</w:t>
      </w:r>
      <w:r>
        <w:t xml:space="preserve">(4), 1509–1531.</w:t>
      </w:r>
    </w:p>
    <w:p>
      <w:pPr>
        <w:pStyle w:val="ReferenceEntry"/>
      </w:pPr>
      <w:r>
        <w:t xml:space="preserve">Chopra, V. K., &amp; Ziemba, W. T. (1993). The effect of errors in means, variances, and covariances on optimal portfolio choice.</w:t>
      </w:r>
      <w:r>
        <w:t xml:space="preserve"> </w:t>
      </w:r>
      <w:r>
        <w:rPr>
          <w:iCs/>
          <w:i/>
        </w:rPr>
        <w:t xml:space="preserve">Journal of Portfolio Management, 19</w:t>
      </w:r>
      <w:r>
        <w:t xml:space="preserve">(2), 6–11.</w:t>
      </w:r>
    </w:p>
    <w:p>
      <w:pPr>
        <w:pStyle w:val="ReferenceEntry"/>
      </w:pPr>
      <w:r>
        <w:t xml:space="preserve">Clark, T. E., &amp; West, K. D. (2007). Approximately normal tests for equal predictive accuracy in nested models.</w:t>
      </w:r>
      <w:r>
        <w:t xml:space="preserve"> </w:t>
      </w:r>
      <w:r>
        <w:rPr>
          <w:iCs/>
          <w:i/>
        </w:rPr>
        <w:t xml:space="preserve">Journal of Econometrics, 138</w:t>
      </w:r>
      <w:r>
        <w:t xml:space="preserve">(1), 291–311.</w:t>
      </w:r>
    </w:p>
    <w:p>
      <w:pPr>
        <w:pStyle w:val="ReferenceEntry"/>
      </w:pPr>
      <w:r>
        <w:t xml:space="preserve">DeMiguel, V., Garlappi, L., &amp; Uppal, R. (2009). Optimal versus naive diversification: How inefficient is the 1/N portfolio strategy?</w:t>
      </w:r>
      <w:r>
        <w:t xml:space="preserve"> </w:t>
      </w:r>
      <w:r>
        <w:rPr>
          <w:iCs/>
          <w:i/>
        </w:rPr>
        <w:t xml:space="preserve">Review of Financial Studies, 22</w:t>
      </w:r>
      <w:r>
        <w:t xml:space="preserve">(5), 1915–1953.</w:t>
      </w:r>
    </w:p>
    <w:p>
      <w:pPr>
        <w:pStyle w:val="ReferenceEntry"/>
      </w:pPr>
      <w:r>
        <w:t xml:space="preserve">Diamond, S., &amp; Boyd, S. (2016). CVXPY: A Python-embedded modeling language for convex optimization.</w:t>
      </w:r>
      <w:r>
        <w:t xml:space="preserve"> </w:t>
      </w:r>
      <w:r>
        <w:rPr>
          <w:iCs/>
          <w:i/>
        </w:rPr>
        <w:t xml:space="preserve">Journal of Machine Learning Research, 17</w:t>
      </w:r>
      <w:r>
        <w:t xml:space="preserve">(83), 1–5.</w:t>
      </w:r>
    </w:p>
    <w:p>
      <w:pPr>
        <w:pStyle w:val="ReferenceEntry"/>
      </w:pPr>
      <w:r>
        <w:t xml:space="preserve">Fama, E. F., &amp; French, K. R. (1989). Business conditions and expected returns on stocks and bonds.</w:t>
      </w:r>
      <w:r>
        <w:t xml:space="preserve"> </w:t>
      </w:r>
      <w:r>
        <w:rPr>
          <w:iCs/>
          <w:i/>
        </w:rPr>
        <w:t xml:space="preserve">Journal of Financial Economics, 25</w:t>
      </w:r>
      <w:r>
        <w:t xml:space="preserve">(1), 23–49.</w:t>
      </w:r>
    </w:p>
    <w:p>
      <w:pPr>
        <w:pStyle w:val="ReferenceEntry"/>
      </w:pPr>
      <w:r>
        <w:t xml:space="preserve">Friedman, J. H. (2001). Greedy function approximation: A gradient boosting machine.</w:t>
      </w:r>
      <w:r>
        <w:t xml:space="preserve"> </w:t>
      </w:r>
      <w:r>
        <w:rPr>
          <w:iCs/>
          <w:i/>
        </w:rPr>
        <w:t xml:space="preserve">Annals of Statistics, 29</w:t>
      </w:r>
      <w:r>
        <w:t xml:space="preserve">(5), 1189–1232.</w:t>
      </w:r>
    </w:p>
    <w:p>
      <w:pPr>
        <w:pStyle w:val="ReferenceEntry"/>
      </w:pPr>
      <w:r>
        <w:t xml:space="preserve">Geltner, D. (1993). Estimating market values from appraised values without assuming an efficient market.</w:t>
      </w:r>
      <w:r>
        <w:t xml:space="preserve"> </w:t>
      </w:r>
      <w:r>
        <w:rPr>
          <w:iCs/>
          <w:i/>
        </w:rPr>
        <w:t xml:space="preserve">Journal of Real Estate Research, 8</w:t>
      </w:r>
      <w:r>
        <w:t xml:space="preserve">(3), 325–345.</w:t>
      </w:r>
    </w:p>
    <w:p>
      <w:pPr>
        <w:pStyle w:val="ReferenceEntry"/>
      </w:pPr>
      <w:r>
        <w:t xml:space="preserve">Goulart, P. J., &amp; Chen, Y. (2024).</w:t>
      </w:r>
      <w:r>
        <w:t xml:space="preserve"> </w:t>
      </w:r>
      <w:r>
        <w:rPr>
          <w:iCs/>
          <w:i/>
        </w:rPr>
        <w:t xml:space="preserve">Clarabel: An interior-point solver for conic programs with quadratic objectives</w:t>
      </w:r>
      <w:r>
        <w:t xml:space="preserve"> </w:t>
      </w:r>
      <w:r>
        <w:t xml:space="preserve">(arXiv:2405.12762). arXiv.</w:t>
      </w:r>
    </w:p>
    <w:p>
      <w:pPr>
        <w:pStyle w:val="ReferenceEntry"/>
      </w:pPr>
      <w:r>
        <w:t xml:space="preserve">Grable, J., &amp; Lytton, R. H. (1999). Financial risk tolerance revisited: The development of a risk assessment instrument.</w:t>
      </w:r>
      <w:r>
        <w:t xml:space="preserve"> </w:t>
      </w:r>
      <w:r>
        <w:rPr>
          <w:iCs/>
          <w:i/>
        </w:rPr>
        <w:t xml:space="preserve">Financial Services Review, 8</w:t>
      </w:r>
      <w:r>
        <w:t xml:space="preserve">(3), 163–181.</w:t>
      </w:r>
    </w:p>
    <w:p>
      <w:pPr>
        <w:pStyle w:val="ReferenceEntry"/>
      </w:pPr>
      <w:r>
        <w:t xml:space="preserve">Grinold, R. C., &amp; Kahn, R. N. (2000).</w:t>
      </w:r>
      <w:r>
        <w:t xml:space="preserve"> </w:t>
      </w:r>
      <w:r>
        <w:rPr>
          <w:iCs/>
          <w:i/>
        </w:rPr>
        <w:t xml:space="preserve">Active portfolio management</w:t>
      </w:r>
      <w:r>
        <w:t xml:space="preserve"> </w:t>
      </w:r>
      <w:r>
        <w:t xml:space="preserve">(2nd ed.). McGraw-Hill.</w:t>
      </w:r>
    </w:p>
    <w:p>
      <w:pPr>
        <w:pStyle w:val="ReferenceEntry"/>
      </w:pPr>
      <w:r>
        <w:t xml:space="preserve">Gu, S., Kelly, B., &amp; Xiu, D. (2020). Empirical asset pricing via machine learning.</w:t>
      </w:r>
      <w:r>
        <w:t xml:space="preserve"> </w:t>
      </w:r>
      <w:r>
        <w:rPr>
          <w:iCs/>
          <w:i/>
        </w:rPr>
        <w:t xml:space="preserve">Review of Financial Studies, 33</w:t>
      </w:r>
      <w:r>
        <w:t xml:space="preserve">(5), 2223–2273.</w:t>
      </w:r>
    </w:p>
    <w:p>
      <w:pPr>
        <w:pStyle w:val="ReferenceEntry"/>
      </w:pPr>
      <w:r>
        <w:t xml:space="preserve">Harvey, C. R., Liu, Y., &amp; Zhu, H. (2016). … and the cross-section of expected returns.</w:t>
      </w:r>
      <w:r>
        <w:t xml:space="preserve"> </w:t>
      </w:r>
      <w:r>
        <w:rPr>
          <w:iCs/>
          <w:i/>
        </w:rPr>
        <w:t xml:space="preserve">Review of Financial Studies, 29</w:t>
      </w:r>
      <w:r>
        <w:t xml:space="preserve">(1), 5–68.</w:t>
      </w:r>
    </w:p>
    <w:p>
      <w:pPr>
        <w:pStyle w:val="ReferenceEntry"/>
      </w:pPr>
      <w:r>
        <w:t xml:space="preserve">Hastie, T., Tibshirani, R., &amp; Friedman, J. (2009).</w:t>
      </w:r>
      <w:r>
        <w:t xml:space="preserve"> </w:t>
      </w:r>
      <w:r>
        <w:rPr>
          <w:iCs/>
          <w:i/>
        </w:rPr>
        <w:t xml:space="preserve">The elements of statistical learning</w:t>
      </w:r>
      <w:r>
        <w:t xml:space="preserve"> </w:t>
      </w:r>
      <w:r>
        <w:t xml:space="preserve">(2nd ed.). Springer.</w:t>
      </w:r>
    </w:p>
    <w:p>
      <w:pPr>
        <w:pStyle w:val="ReferenceEntry"/>
      </w:pPr>
      <w:r>
        <w:t xml:space="preserve">He, G., &amp; Litterman, R. (1999).</w:t>
      </w:r>
      <w:r>
        <w:t xml:space="preserve"> </w:t>
      </w:r>
      <w:r>
        <w:rPr>
          <w:iCs/>
          <w:i/>
        </w:rPr>
        <w:t xml:space="preserve">The intuition behind Black–Litterman model portfolios</w:t>
      </w:r>
      <w:r>
        <w:t xml:space="preserve">. Goldman Sachs Investment Management Research.</w:t>
      </w:r>
    </w:p>
    <w:p>
      <w:pPr>
        <w:pStyle w:val="ReferenceEntry"/>
      </w:pPr>
      <w:r>
        <w:t xml:space="preserve">Hoerl, A. E., &amp; Kennard, R. W. (1970). Ridge regression: Biased estimation for nonorthogonal problems.</w:t>
      </w:r>
      <w:r>
        <w:t xml:space="preserve"> </w:t>
      </w:r>
      <w:r>
        <w:rPr>
          <w:iCs/>
          <w:i/>
        </w:rPr>
        <w:t xml:space="preserve">Technometrics, 12</w:t>
      </w:r>
      <w:r>
        <w:t xml:space="preserve">(1), 55–67.</w:t>
      </w:r>
    </w:p>
    <w:p>
      <w:pPr>
        <w:pStyle w:val="ReferenceEntry"/>
      </w:pPr>
      <w:r>
        <w:t xml:space="preserve">Holm, S. (1979). A simple sequentially rejective multiple test procedure.</w:t>
      </w:r>
      <w:r>
        <w:t xml:space="preserve"> </w:t>
      </w:r>
      <w:r>
        <w:rPr>
          <w:iCs/>
          <w:i/>
        </w:rPr>
        <w:t xml:space="preserve">Scandinavian Journal of Statistics, 6</w:t>
      </w:r>
      <w:r>
        <w:t xml:space="preserve">(2), 65–70.</w:t>
      </w:r>
    </w:p>
    <w:p>
      <w:pPr>
        <w:pStyle w:val="ReferenceEntry"/>
      </w:pPr>
      <w:r>
        <w:t xml:space="preserve">Hornik, K., Stinchcombe, M., &amp; White, H. (1989). Multilayer feedforward networks are universal approximators.</w:t>
      </w:r>
      <w:r>
        <w:t xml:space="preserve"> </w:t>
      </w:r>
      <w:r>
        <w:rPr>
          <w:iCs/>
          <w:i/>
        </w:rPr>
        <w:t xml:space="preserve">Neural Networks, 2</w:t>
      </w:r>
      <w:r>
        <w:t xml:space="preserve">(5), 359–366.</w:t>
      </w:r>
    </w:p>
    <w:p>
      <w:pPr>
        <w:pStyle w:val="ReferenceEntry"/>
      </w:pPr>
      <w:r>
        <w:t xml:space="preserve">Idzorek, T. M. (2007). A step-by-step guide to the Black–Litterman model: Incorporating user-specified confidence levels. In S. Satchell (Ed.),</w:t>
      </w:r>
      <w:r>
        <w:t xml:space="preserve"> </w:t>
      </w:r>
      <w:r>
        <w:rPr>
          <w:iCs/>
          <w:i/>
        </w:rPr>
        <w:t xml:space="preserve">Forecasting expected returns in the financial markets</w:t>
      </w:r>
      <w:r>
        <w:t xml:space="preserve"> </w:t>
      </w:r>
      <w:r>
        <w:t xml:space="preserve">(pp. 17–38). Academic Press.</w:t>
      </w:r>
    </w:p>
    <w:p>
      <w:pPr>
        <w:pStyle w:val="ReferenceEntry"/>
      </w:pPr>
      <w:r>
        <w:t xml:space="preserve">Jobson, J. D., &amp; Korkie, B. M. (1981). Performance hypothesis testing with the Sharpe and Treynor measures.</w:t>
      </w:r>
      <w:r>
        <w:t xml:space="preserve"> </w:t>
      </w:r>
      <w:r>
        <w:rPr>
          <w:iCs/>
          <w:i/>
        </w:rPr>
        <w:t xml:space="preserve">Journal of Finance, 36</w:t>
      </w:r>
      <w:r>
        <w:t xml:space="preserve">(4), 889–908.</w:t>
      </w:r>
    </w:p>
    <w:p>
      <w:pPr>
        <w:pStyle w:val="ReferenceEntry"/>
      </w:pPr>
      <w:r>
        <w:t xml:space="preserve">Jorion, P. (1986). Bayes–Stein estimation for portfolio analysis.</w:t>
      </w:r>
      <w:r>
        <w:t xml:space="preserve"> </w:t>
      </w:r>
      <w:r>
        <w:rPr>
          <w:iCs/>
          <w:i/>
        </w:rPr>
        <w:t xml:space="preserve">Journal of Financial and Quantitative Analysis, 21</w:t>
      </w:r>
      <w:r>
        <w:t xml:space="preserve">(3), 279–292.</w:t>
      </w:r>
    </w:p>
    <w:p>
      <w:pPr>
        <w:pStyle w:val="ReferenceEntry"/>
      </w:pPr>
      <w:r>
        <w:t xml:space="preserve">Ke, G., Meng, Q., Finley, T., Wang, T., Chen, W., Ma, W., Ye, Q., &amp; Liu, T.-Y. (2017). LightGBM: A highly efficient gradient boosting decision tree.</w:t>
      </w:r>
      <w:r>
        <w:t xml:space="preserve"> </w:t>
      </w:r>
      <w:r>
        <w:rPr>
          <w:iCs/>
          <w:i/>
        </w:rPr>
        <w:t xml:space="preserve">Advances in Neural Information Processing Systems, 30</w:t>
      </w:r>
      <w:r>
        <w:t xml:space="preserve">, 3146–3154.</w:t>
      </w:r>
    </w:p>
    <w:p>
      <w:pPr>
        <w:pStyle w:val="ReferenceEntry"/>
      </w:pPr>
      <w:r>
        <w:t xml:space="preserve">Kingma, D. P., &amp; Ba, J. (2015). Adam: A method for stochastic optimization.</w:t>
      </w:r>
      <w:r>
        <w:t xml:space="preserve"> </w:t>
      </w:r>
      <w:r>
        <w:rPr>
          <w:iCs/>
          <w:i/>
        </w:rPr>
        <w:t xml:space="preserve">International Conference on Learning Representations</w:t>
      </w:r>
      <w:r>
        <w:t xml:space="preserve">. https://arxiv.org/abs/1412.6980</w:t>
      </w:r>
    </w:p>
    <w:p>
      <w:pPr>
        <w:pStyle w:val="ReferenceEntry"/>
      </w:pPr>
      <w:r>
        <w:t xml:space="preserve">Lattimore, T., &amp; Szepesvári, C. (2020).</w:t>
      </w:r>
      <w:r>
        <w:t xml:space="preserve"> </w:t>
      </w:r>
      <w:r>
        <w:rPr>
          <w:iCs/>
          <w:i/>
        </w:rPr>
        <w:t xml:space="preserve">Bandit algorithms</w:t>
      </w:r>
      <w:r>
        <w:t xml:space="preserve">. Cambridge University Press.</w:t>
      </w:r>
    </w:p>
    <w:p>
      <w:pPr>
        <w:pStyle w:val="ReferenceEntry"/>
      </w:pPr>
      <w:r>
        <w:t xml:space="preserve">Le, T. A., &amp; Dao, T. T. B. (2021). Portfolio optimization under mean-CVaR simulation with copulas on the Vietnamese stock exchange.</w:t>
      </w:r>
      <w:r>
        <w:t xml:space="preserve"> </w:t>
      </w:r>
      <w:r>
        <w:rPr>
          <w:iCs/>
          <w:i/>
        </w:rPr>
        <w:t xml:space="preserve">Investment Management and Financial Innovations, 18</w:t>
      </w:r>
      <w:r>
        <w:t xml:space="preserve">(2), 273–286. https://doi.org/10.21511/imfi.18(2).2021.22</w:t>
      </w:r>
    </w:p>
    <w:p>
      <w:pPr>
        <w:pStyle w:val="ReferenceEntry"/>
      </w:pPr>
      <w:r>
        <w:t xml:space="preserve">Le, T. T., &amp; Nguyen, D. K. (2017). The role of gold as a safe haven in Vietnam.</w:t>
      </w:r>
      <w:r>
        <w:t xml:space="preserve"> </w:t>
      </w:r>
      <w:r>
        <w:rPr>
          <w:iCs/>
          <w:i/>
        </w:rPr>
        <w:t xml:space="preserve">VNU Journal of Economics and Business, 33</w:t>
      </w:r>
      <w:r>
        <w:t xml:space="preserve">(1).</w:t>
      </w:r>
    </w:p>
    <w:p>
      <w:pPr>
        <w:pStyle w:val="ReferenceEntry"/>
      </w:pPr>
      <w:r>
        <w:t xml:space="preserve">Ledoit, O., &amp; Wolf, M. (2004). A well-conditioned estimator for large-dimensional covariance matrices.</w:t>
      </w:r>
      <w:r>
        <w:t xml:space="preserve"> </w:t>
      </w:r>
      <w:r>
        <w:rPr>
          <w:iCs/>
          <w:i/>
        </w:rPr>
        <w:t xml:space="preserve">Journal of Multivariate Analysis, 88</w:t>
      </w:r>
      <w:r>
        <w:t xml:space="preserve">(2), 365–411.</w:t>
      </w:r>
    </w:p>
    <w:p>
      <w:pPr>
        <w:pStyle w:val="ReferenceEntry"/>
      </w:pPr>
      <w:r>
        <w:t xml:space="preserve">Ledoit, O., &amp; Wolf, M. (2008). Robust performance hypothesis testing with the Sharpe ratio.</w:t>
      </w:r>
      <w:r>
        <w:t xml:space="preserve"> </w:t>
      </w:r>
      <w:r>
        <w:rPr>
          <w:iCs/>
          <w:i/>
        </w:rPr>
        <w:t xml:space="preserve">Journal of Empirical Finance, 15</w:t>
      </w:r>
      <w:r>
        <w:t xml:space="preserve">(5), 850–859.</w:t>
      </w:r>
    </w:p>
    <w:p>
      <w:pPr>
        <w:pStyle w:val="ReferenceEntry"/>
      </w:pPr>
      <w:r>
        <w:t xml:space="preserve">Lo, A. W. (2002). The statistics of Sharpe ratios.</w:t>
      </w:r>
      <w:r>
        <w:t xml:space="preserve"> </w:t>
      </w:r>
      <w:r>
        <w:rPr>
          <w:iCs/>
          <w:i/>
        </w:rPr>
        <w:t xml:space="preserve">Financial Analysts Journal, 58</w:t>
      </w:r>
      <w:r>
        <w:t xml:space="preserve">(4), 36–52.</w:t>
      </w:r>
    </w:p>
    <w:p>
      <w:pPr>
        <w:pStyle w:val="ReferenceEntry"/>
      </w:pPr>
      <w:r>
        <w:t xml:space="preserve">López de Prado, M. (2016). Building diversified portfolios that outperform out of sample.</w:t>
      </w:r>
      <w:r>
        <w:t xml:space="preserve"> </w:t>
      </w:r>
      <w:r>
        <w:rPr>
          <w:iCs/>
          <w:i/>
        </w:rPr>
        <w:t xml:space="preserve">Journal of Portfolio Management, 42</w:t>
      </w:r>
      <w:r>
        <w:t xml:space="preserve">(4), 59–69.</w:t>
      </w:r>
    </w:p>
    <w:p>
      <w:pPr>
        <w:pStyle w:val="ReferenceEntry"/>
      </w:pPr>
      <w:r>
        <w:t xml:space="preserve">Maillard, S., Roncalli, T., &amp; Teïletche, J. (2010). The properties of equally weighted risk contribution portfolios.</w:t>
      </w:r>
      <w:r>
        <w:t xml:space="preserve"> </w:t>
      </w:r>
      <w:r>
        <w:rPr>
          <w:iCs/>
          <w:i/>
        </w:rPr>
        <w:t xml:space="preserve">Journal of Portfolio Management, 36</w:t>
      </w:r>
      <w:r>
        <w:t xml:space="preserve">(4), 60–70.</w:t>
      </w:r>
    </w:p>
    <w:p>
      <w:pPr>
        <w:pStyle w:val="ReferenceEntry"/>
      </w:pPr>
      <w:r>
        <w:t xml:space="preserve">Markowitz, H. (1952). Portfolio selection.</w:t>
      </w:r>
      <w:r>
        <w:t xml:space="preserve"> </w:t>
      </w:r>
      <w:r>
        <w:rPr>
          <w:iCs/>
          <w:i/>
        </w:rPr>
        <w:t xml:space="preserve">Journal of Finance, 7</w:t>
      </w:r>
      <w:r>
        <w:t xml:space="preserve">(1), 77–91.</w:t>
      </w:r>
    </w:p>
    <w:p>
      <w:pPr>
        <w:pStyle w:val="ReferenceEntry"/>
      </w:pPr>
      <w:r>
        <w:t xml:space="preserve">Memmel, C. (2003). Performance hypothesis testing with the Sharpe ratio.</w:t>
      </w:r>
      <w:r>
        <w:t xml:space="preserve"> </w:t>
      </w:r>
      <w:r>
        <w:rPr>
          <w:iCs/>
          <w:i/>
        </w:rPr>
        <w:t xml:space="preserve">Finance Letters, 1</w:t>
      </w:r>
      <w:r>
        <w:t xml:space="preserve">, 21–23.</w:t>
      </w:r>
    </w:p>
    <w:p>
      <w:pPr>
        <w:pStyle w:val="ReferenceEntry"/>
      </w:pPr>
      <w:r>
        <w:t xml:space="preserve">Merton, R. C. (1980). On estimating the expected return on the market: An exploratory investigation.</w:t>
      </w:r>
      <w:r>
        <w:t xml:space="preserve"> </w:t>
      </w:r>
      <w:r>
        <w:rPr>
          <w:iCs/>
          <w:i/>
        </w:rPr>
        <w:t xml:space="preserve">Journal of Financial Economics, 8</w:t>
      </w:r>
      <w:r>
        <w:t xml:space="preserve">(4), 323–361.</w:t>
      </w:r>
    </w:p>
    <w:p>
      <w:pPr>
        <w:pStyle w:val="ReferenceEntry"/>
      </w:pPr>
      <w:r>
        <w:t xml:space="preserve">Michaud, R. O. (1989). The Markowitz optimization enigma: Is</w:t>
      </w:r>
      <w:r>
        <w:t xml:space="preserve"> </w:t>
      </w:r>
      <w:r>
        <w:t xml:space="preserve">“</w:t>
      </w:r>
      <w:r>
        <w:t xml:space="preserve">optimized</w:t>
      </w:r>
      <w:r>
        <w:t xml:space="preserve">”</w:t>
      </w:r>
      <w:r>
        <w:t xml:space="preserve"> </w:t>
      </w:r>
      <w:r>
        <w:t xml:space="preserve">optimal?</w:t>
      </w:r>
      <w:r>
        <w:t xml:space="preserve"> </w:t>
      </w:r>
      <w:r>
        <w:rPr>
          <w:iCs/>
          <w:i/>
        </w:rPr>
        <w:t xml:space="preserve">Financial Analysts Journal, 45</w:t>
      </w:r>
      <w:r>
        <w:t xml:space="preserve">(1), 31–42.</w:t>
      </w:r>
    </w:p>
    <w:p>
      <w:pPr>
        <w:pStyle w:val="ReferenceEntry"/>
      </w:pPr>
      <w:r>
        <w:t xml:space="preserve">Moreira, A., &amp; Muir, T. (2017). Volatility-managed portfolios.</w:t>
      </w:r>
      <w:r>
        <w:t xml:space="preserve"> </w:t>
      </w:r>
      <w:r>
        <w:rPr>
          <w:iCs/>
          <w:i/>
        </w:rPr>
        <w:t xml:space="preserve">Journal of Finance, 72</w:t>
      </w:r>
      <w:r>
        <w:t xml:space="preserve">(4), 1611–1644.</w:t>
      </w:r>
    </w:p>
    <w:p>
      <w:pPr>
        <w:pStyle w:val="ReferenceEntry"/>
      </w:pPr>
      <w:r>
        <w:t xml:space="preserve">Moskowitz, T. J., Ooi, Y. H., &amp; Pedersen, L. H. (2012). Time series momentum.</w:t>
      </w:r>
      <w:r>
        <w:t xml:space="preserve"> </w:t>
      </w:r>
      <w:r>
        <w:rPr>
          <w:iCs/>
          <w:i/>
        </w:rPr>
        <w:t xml:space="preserve">Journal of Financial Economics, 104</w:t>
      </w:r>
      <w:r>
        <w:t xml:space="preserve">(2), 228–250.</w:t>
      </w:r>
    </w:p>
    <w:p>
      <w:pPr>
        <w:pStyle w:val="ReferenceEntry"/>
      </w:pPr>
      <w:r>
        <w:t xml:space="preserve">Pedregosa, F., Varoquaux, G., Gramfort, A., et al. (2011). Scikit-learn: Machine learning in Python.</w:t>
      </w:r>
      <w:r>
        <w:t xml:space="preserve"> </w:t>
      </w:r>
      <w:r>
        <w:rPr>
          <w:iCs/>
          <w:i/>
        </w:rPr>
        <w:t xml:space="preserve">Journal of Machine Learning Research, 12</w:t>
      </w:r>
      <w:r>
        <w:t xml:space="preserve">, 2825–2830.</w:t>
      </w:r>
    </w:p>
    <w:p>
      <w:pPr>
        <w:pStyle w:val="ReferenceEntry"/>
      </w:pPr>
      <w:r>
        <w:t xml:space="preserve">Politis, D. N., &amp; Romano, J. P. (1994). The stationary bootstrap.</w:t>
      </w:r>
      <w:r>
        <w:t xml:space="preserve"> </w:t>
      </w:r>
      <w:r>
        <w:rPr>
          <w:iCs/>
          <w:i/>
        </w:rPr>
        <w:t xml:space="preserve">Journal of the American Statistical Association, 89</w:t>
      </w:r>
      <w:r>
        <w:t xml:space="preserve">(428), 1303–1313.</w:t>
      </w:r>
    </w:p>
    <w:p>
      <w:pPr>
        <w:pStyle w:val="ReferenceEntry"/>
      </w:pPr>
      <w:r>
        <w:t xml:space="preserve">Roncalli, T. (2013).</w:t>
      </w:r>
      <w:r>
        <w:t xml:space="preserve"> </w:t>
      </w:r>
      <w:r>
        <w:rPr>
          <w:iCs/>
          <w:i/>
        </w:rPr>
        <w:t xml:space="preserve">Introduction to risk parity and budgeting</w:t>
      </w:r>
      <w:r>
        <w:t xml:space="preserve">. Chapman &amp; Hall/CRC.</w:t>
      </w:r>
    </w:p>
    <w:p>
      <w:pPr>
        <w:pStyle w:val="ReferenceEntry"/>
      </w:pPr>
      <w:r>
        <w:t xml:space="preserve">Schäfer, J., &amp; Strimmer, K. (2005). A shrinkage approach to large-scale covariance matrix estimation and implications for functional genomics.</w:t>
      </w:r>
      <w:r>
        <w:t xml:space="preserve"> </w:t>
      </w:r>
      <w:r>
        <w:rPr>
          <w:iCs/>
          <w:i/>
        </w:rPr>
        <w:t xml:space="preserve">Statistical Applications in Genetics and Molecular Biology, 4</w:t>
      </w:r>
      <w:r>
        <w:t xml:space="preserve">(1), Article 32.</w:t>
      </w:r>
    </w:p>
    <w:p>
      <w:pPr>
        <w:pStyle w:val="ReferenceEntry"/>
      </w:pPr>
      <w:r>
        <w:t xml:space="preserve">Sharpe, W. F. (1964). Capital asset prices: A theory of market equilibrium under conditions of risk.</w:t>
      </w:r>
      <w:r>
        <w:t xml:space="preserve"> </w:t>
      </w:r>
      <w:r>
        <w:rPr>
          <w:iCs/>
          <w:i/>
        </w:rPr>
        <w:t xml:space="preserve">Journal of Finance, 19</w:t>
      </w:r>
      <w:r>
        <w:t xml:space="preserve">(3), 425–442.</w:t>
      </w:r>
    </w:p>
    <w:p>
      <w:pPr>
        <w:pStyle w:val="ReferenceEntry"/>
      </w:pPr>
      <w:r>
        <w:t xml:space="preserve">Sharpe, W. F. (1966). Mutual fund performance.</w:t>
      </w:r>
      <w:r>
        <w:t xml:space="preserve"> </w:t>
      </w:r>
      <w:r>
        <w:rPr>
          <w:iCs/>
          <w:i/>
        </w:rPr>
        <w:t xml:space="preserve">Journal of Business, 39</w:t>
      </w:r>
      <w:r>
        <w:t xml:space="preserve">(1), 119–138.</w:t>
      </w:r>
    </w:p>
    <w:p>
      <w:pPr>
        <w:pStyle w:val="ReferenceEntry"/>
      </w:pPr>
      <w:r>
        <w:t xml:space="preserve">Sutton, R. S., &amp; Barto, A. G. (2018).</w:t>
      </w:r>
      <w:r>
        <w:t xml:space="preserve"> </w:t>
      </w:r>
      <w:r>
        <w:rPr>
          <w:iCs/>
          <w:i/>
        </w:rPr>
        <w:t xml:space="preserve">Reinforcement learning: An introduction</w:t>
      </w:r>
      <w:r>
        <w:t xml:space="preserve"> </w:t>
      </w:r>
      <w:r>
        <w:t xml:space="preserve">(2nd ed.). MIT Press.</w:t>
      </w:r>
    </w:p>
    <w:p>
      <w:pPr>
        <w:pStyle w:val="ReferenceEntry"/>
      </w:pPr>
      <w:r>
        <w:t xml:space="preserve">Thanh Nhon, H., Do-Thi, N., &amp; Nguyen-Trang, T. (2025). Predicting stock returns using machine learning combined with data envelopment analysis and automatic feature engineering: A case study on the Vietnamese stock market.</w:t>
      </w:r>
      <w:r>
        <w:t xml:space="preserve"> </w:t>
      </w:r>
      <w:r>
        <w:rPr>
          <w:iCs/>
          <w:i/>
        </w:rPr>
        <w:t xml:space="preserve">PLoS ONE, 20</w:t>
      </w:r>
      <w:r>
        <w:t xml:space="preserve">(9), e0332154. https://doi.org/10.1371/journal.pone.0332154</w:t>
      </w:r>
    </w:p>
    <w:p>
      <w:pPr>
        <w:pStyle w:val="ReferenceEntry"/>
      </w:pPr>
      <w:r>
        <w:t xml:space="preserve">Tibshirani, R. (1996). Regression shrinkage and selection via the lasso.</w:t>
      </w:r>
      <w:r>
        <w:t xml:space="preserve"> </w:t>
      </w:r>
      <w:r>
        <w:rPr>
          <w:iCs/>
          <w:i/>
        </w:rPr>
        <w:t xml:space="preserve">Journal of the Royal Statistical Society: Series B, 58</w:t>
      </w:r>
      <w:r>
        <w:t xml:space="preserve">(1), 267–288.</w:t>
      </w:r>
    </w:p>
    <w:p>
      <w:pPr>
        <w:pStyle w:val="ReferenceEntry"/>
      </w:pPr>
      <w:r>
        <w:t xml:space="preserve">Welch, I., &amp; Goyal, A. (2008). A comprehensive look at the empirical performance of equity premium prediction.</w:t>
      </w:r>
      <w:r>
        <w:t xml:space="preserve"> </w:t>
      </w:r>
      <w:r>
        <w:rPr>
          <w:iCs/>
          <w:i/>
        </w:rPr>
        <w:t xml:space="preserve">Review of Financial Studies, 21</w:t>
      </w:r>
      <w:r>
        <w:t xml:space="preserve">(4), 1455–1508.</w:t>
      </w:r>
    </w:p>
    <w:p>
      <w:pPr>
        <w:pStyle w:val="ReferenceEntry"/>
      </w:pPr>
      <w:r>
        <w:t xml:space="preserve">Zou, H., &amp; Hastie, T. (2005). Regularization and variable selection via the elastic net.</w:t>
      </w:r>
      <w:r>
        <w:t xml:space="preserve"> </w:t>
      </w:r>
      <w:r>
        <w:rPr>
          <w:iCs/>
          <w:i/>
        </w:rPr>
        <w:t xml:space="preserve">Journal of the Royal Statistical Society: Series B, 67</w:t>
      </w:r>
      <w:r>
        <w:t xml:space="preserve">(2), 301–320.</w:t>
      </w:r>
    </w:p>
    <w:p>
      <w:pPr>
        <w:pStyle w:val="SubHeading"/>
      </w:pPr>
      <w:r>
        <w:t xml:space="preserve">Nguồn dữ liệu</w:t>
      </w:r>
    </w:p>
    <w:p>
      <w:pPr>
        <w:pStyle w:val="ReferenceEntry"/>
      </w:pPr>
      <w:r>
        <w:t xml:space="preserve">Fmarket. (2026).</w:t>
      </w:r>
      <w:r>
        <w:t xml:space="preserve"> </w:t>
      </w:r>
      <w:r>
        <w:rPr>
          <w:iCs/>
          <w:i/>
        </w:rPr>
        <w:t xml:space="preserve">Lịch sử NAV quỹ DCBF và VFF</w:t>
      </w:r>
      <w:r>
        <w:t xml:space="preserve"> </w:t>
      </w:r>
      <w:r>
        <w:t xml:space="preserve">[Dữ liệu]. Truy cập ngày 24/10/2026, từ https://fmarket.vn</w:t>
      </w:r>
    </w:p>
    <w:p>
      <w:pPr>
        <w:pStyle w:val="ReferenceEntry"/>
      </w:pPr>
      <w:r>
        <w:t xml:space="preserve">International Monetary Fund. (2026).</w:t>
      </w:r>
      <w:r>
        <w:t xml:space="preserve"> </w:t>
      </w:r>
      <w:r>
        <w:rPr>
          <w:iCs/>
          <w:i/>
        </w:rPr>
        <w:t xml:space="preserve">International Financial Statistics: Exchange rates</w:t>
      </w:r>
      <w:r>
        <w:t xml:space="preserve"> </w:t>
      </w:r>
      <w:r>
        <w:t xml:space="preserve">[Dữ liệu]. Truy cập ngày 24/10/2026, từ https://data.imf.org</w:t>
      </w:r>
    </w:p>
    <w:p>
      <w:pPr>
        <w:pStyle w:val="ReferenceEntry"/>
      </w:pPr>
      <w:r>
        <w:t xml:space="preserve">Investing.com. (2026).</w:t>
      </w:r>
      <w:r>
        <w:t xml:space="preserve"> </w:t>
      </w:r>
      <w:r>
        <w:rPr>
          <w:iCs/>
          <w:i/>
        </w:rPr>
        <w:t xml:space="preserve">Vietnam 5-year bond yield historical data</w:t>
      </w:r>
      <w:r>
        <w:t xml:space="preserve"> </w:t>
      </w:r>
      <w:r>
        <w:t xml:space="preserve">[Dữ liệu]. Truy cập ngày 24/10/2026, từ https://www.investing.com/rates-bonds/vietnam-5-year-bond-yield-historical-data</w:t>
      </w:r>
    </w:p>
    <w:p>
      <w:pPr>
        <w:pStyle w:val="ReferenceEntry"/>
      </w:pPr>
      <w:r>
        <w:t xml:space="preserve">Pricedancing. (2026).</w:t>
      </w:r>
      <w:r>
        <w:t xml:space="preserve"> </w:t>
      </w:r>
      <w:r>
        <w:rPr>
          <w:iCs/>
          <w:i/>
        </w:rPr>
        <w:t xml:space="preserve">Giá vàng miếng SJC; lãi suất tiết kiệm Vietcombank 1, 3, 12 tháng</w:t>
      </w:r>
      <w:r>
        <w:t xml:space="preserve"> </w:t>
      </w:r>
      <w:r>
        <w:t xml:space="preserve">[Dữ liệu]. Truy cập ngày 24/10/2026, từ https://www.pricedancing.com</w:t>
      </w:r>
    </w:p>
    <w:p>
      <w:pPr>
        <w:pStyle w:val="ReferenceEntry"/>
      </w:pPr>
      <w:r>
        <w:t xml:space="preserve">Vietcap Securities. (2026).</w:t>
      </w:r>
      <w:r>
        <w:t xml:space="preserve"> </w:t>
      </w:r>
      <w:r>
        <w:rPr>
          <w:iCs/>
          <w:i/>
        </w:rPr>
        <w:t xml:space="preserve">Giá lịch sử cổ phiếu, ETF và VN-Index; vốn hóa doanh nghiệp (Vietcap IQ)</w:t>
      </w:r>
      <w:r>
        <w:t xml:space="preserve"> </w:t>
      </w:r>
      <w:r>
        <w:t xml:space="preserve">[Dữ liệu]. Truy cập ngày 24/10/2026, từ https://trading.vietcap.com.vn và https://iq.vietcap.com.vn</w:t>
      </w:r>
    </w:p>
    <w:p>
      <w:pPr>
        <w:pStyle w:val="ReferenceEntry"/>
      </w:pPr>
      <w:r>
        <w:t xml:space="preserve">World Bank. (2026).</w:t>
      </w:r>
      <w:r>
        <w:t xml:space="preserve"> </w:t>
      </w:r>
      <w:r>
        <w:rPr>
          <w:iCs/>
          <w:i/>
        </w:rPr>
        <w:t xml:space="preserve">Commodity markets: Pink Sheet data</w:t>
      </w:r>
      <w:r>
        <w:t xml:space="preserve"> </w:t>
      </w:r>
      <w:r>
        <w:t xml:space="preserve">[Dữ liệu]. Truy cập ngày 24/10/2026, từ https://www.worldbank.org/en/research/commodity-markets</w:t>
      </w:r>
    </w:p>
    <w:p>
      <w:pPr>
        <w:pStyle w:val="ReferenceEntry"/>
      </w:pPr>
      <w:r>
        <w:rPr>
          <w:iCs/>
          <w:i/>
        </w:rPr>
        <w:t xml:space="preserve">Khoảng 55 bài báo về biểu lãi suất Vietcombank (2014–06/2020) được liệt kê theo URL trong Phụ lục A.</w:t>
      </w:r>
    </w:p>
    <w:bookmarkEnd w:id="172"/>
    <w:bookmarkStart w:id="180" w:name="phụ-lục"/>
    <w:p>
      <w:pPr>
        <w:pStyle w:val="Heading1"/>
      </w:pPr>
      <w:r>
        <w:t xml:space="preserve">Phụ lục</w:t>
      </w:r>
    </w:p>
    <w:bookmarkStart w:id="173" w:name="Xbdb7be2a58486c660f7dd10035efc93051022df"/>
    <w:p>
      <w:pPr>
        <w:pStyle w:val="Heading2"/>
      </w:pPr>
      <w:r>
        <w:t xml:space="preserve">Phụ lục A. Nguồn dữ liệu và kiểm tra độ khớp giữa các nguồn</w:t>
      </w:r>
    </w:p>
    <w:p>
      <w:pPr>
        <w:pStyle w:val="TableCaption"/>
      </w:pPr>
      <w:r>
        <w:t xml:space="preserve">Bảng A.1. Nguồn từng file dữ liệu thô (ngày truy cập 24/10/2026, trừ khi ghi khác)</w:t>
      </w:r>
    </w:p>
    <w:tbl>
      <w:tblPr>
        <w:tblStyle w:val="Table"/>
        <w:tblW w:type="pct" w:w="5000"/>
        <w:jc w:val="center"/>
        <w:tblLook w:firstRow="1" w:lastRow="0" w:firstColumn="0" w:lastColumn="0" w:noHBand="0" w:noVBand="0" w:val="0020"/>
        <w:tblCaption w:val="Bảng A.1. Nguồn từng file dữ liệu thô (ngày truy cập 24/10/2026, trừ khi ghi khác)"/>
      </w:tblPr>
      <w:tblGrid>
        <w:gridCol w:w="2329"/>
        <w:gridCol w:w="1863"/>
        <w:gridCol w:w="1863"/>
        <w:gridCol w:w="1863"/>
      </w:tblGrid>
      <w:tr>
        <w:trPr>
          <w:tblHeader w:val="true"/>
        </w:trPr>
        <w:tc>
          <w:tcPr/>
          <w:p>
            <w:pPr>
              <w:pStyle w:val="Compact"/>
              <w:jc w:val="center"/>
            </w:pPr>
            <w:r>
              <w:rPr>
                <w:b/>
              </w:rPr>
              <w:t xml:space="preserve">File</w:t>
            </w:r>
          </w:p>
        </w:tc>
        <w:tc>
          <w:tcPr/>
          <w:p>
            <w:pPr>
              <w:pStyle w:val="Compact"/>
              <w:jc w:val="center"/>
            </w:pPr>
            <w:r>
              <w:rPr>
                <w:b/>
              </w:rPr>
              <w:t xml:space="preserve">Nội dung</w:t>
            </w:r>
          </w:p>
        </w:tc>
        <w:tc>
          <w:tcPr/>
          <w:p>
            <w:pPr>
              <w:pStyle w:val="Compact"/>
              <w:jc w:val="center"/>
            </w:pPr>
            <w:r>
              <w:rPr>
                <w:b/>
              </w:rPr>
              <w:t xml:space="preserve">Nguồn</w:t>
            </w:r>
          </w:p>
        </w:tc>
        <w:tc>
          <w:tcPr/>
          <w:p>
            <w:pPr>
              <w:pStyle w:val="Compact"/>
              <w:jc w:val="center"/>
            </w:pPr>
            <w:r>
              <w:rPr>
                <w:b/>
              </w:rPr>
              <w:t xml:space="preserve">Ghi chú</w:t>
            </w:r>
          </w:p>
        </w:tc>
      </w:tr>
      <w:tr>
        <w:trPr>
          <w:cantSplit/>
        </w:trPr>
        <w:tc>
          <w:tcPr/>
          <w:p>
            <w:pPr>
              <w:pStyle w:val="Compact"/>
              <w:jc w:val="left"/>
            </w:pPr>
            <w:r>
              <w:rPr>
                <w:rStyle w:val="VerbatimChar"/>
              </w:rPr>
              <w:t xml:space="preserve">all_stock_based_raw.csv</w:t>
            </w:r>
          </w:p>
        </w:tc>
        <w:tc>
          <w:tcPr/>
          <w:p>
            <w:pPr>
              <w:pStyle w:val="Compact"/>
              <w:jc w:val="left"/>
            </w:pPr>
            <w:r>
              <w:t xml:space="preserve">Giá đóng cửa điều chỉnh cổ phiếu, ETF E1VFVN30, VN-Index (HOSE)</w:t>
            </w:r>
          </w:p>
        </w:tc>
        <w:tc>
          <w:tcPr/>
          <w:p>
            <w:pPr>
              <w:pStyle w:val="Compact"/>
              <w:jc w:val="left"/>
            </w:pPr>
            <w:r>
              <w:t xml:space="preserve">Vietcap (VCI): giá ngày từ 08/2018; giá cuối tháng 01/2014–07/2018 và các mã ứng viên rổ BĐS</w:t>
            </w:r>
          </w:p>
        </w:tc>
        <w:tc>
          <w:tcPr/>
          <w:p>
            <w:pPr>
              <w:pStyle w:val="Compact"/>
              <w:jc w:val="left"/>
            </w:pPr>
            <w:r>
              <w:t xml:space="preserve">E1VFVN30 chỉ có từ 01/2016; dữ liệu VHM trước 05/2018 là của doanh nghiệp khác nên đã loại</w:t>
            </w:r>
          </w:p>
        </w:tc>
      </w:tr>
      <w:tr>
        <w:trPr>
          <w:cantSplit/>
        </w:trPr>
        <w:tc>
          <w:tcPr/>
          <w:p>
            <w:pPr>
              <w:pStyle w:val="Compact"/>
              <w:jc w:val="left"/>
            </w:pPr>
            <w:r>
              <w:rPr>
                <w:rStyle w:val="VerbatimChar"/>
              </w:rPr>
              <w:t xml:space="preserve">Vietnam_5-Year_Bond_Yield_Historical_Data.csv</w:t>
            </w:r>
          </w:p>
        </w:tc>
        <w:tc>
          <w:tcPr/>
          <w:p>
            <w:pPr>
              <w:pStyle w:val="Compact"/>
              <w:jc w:val="left"/>
            </w:pPr>
            <w:r>
              <w:t xml:space="preserve">Lợi suất TPCP 5 năm</w:t>
            </w:r>
          </w:p>
        </w:tc>
        <w:tc>
          <w:tcPr/>
          <w:p>
            <w:pPr>
              <w:pStyle w:val="Compact"/>
              <w:jc w:val="left"/>
            </w:pPr>
            <w:r>
              <w:t xml:space="preserve">Investing.com: ngày 2020–2026; tháng 01/2013–12/2019</w:t>
            </w:r>
          </w:p>
        </w:tc>
        <w:tc>
          <w:tcPr/>
          <w:p>
            <w:pPr>
              <w:pStyle w:val="Compact"/>
              <w:jc w:val="left"/>
            </w:pPr>
            <w:r>
              <w:t xml:space="preserve">Chỉ dùng cho biến chênh lệch kỳ hạn</w:t>
            </w:r>
          </w:p>
        </w:tc>
      </w:tr>
      <w:tr>
        <w:trPr>
          <w:cantSplit/>
        </w:trPr>
        <w:tc>
          <w:tcPr/>
          <w:p>
            <w:pPr>
              <w:pStyle w:val="Compact"/>
              <w:jc w:val="left"/>
            </w:pPr>
            <w:r>
              <w:rPr>
                <w:rStyle w:val="VerbatimChar"/>
              </w:rPr>
              <w:t xml:space="preserve">gold_sjc_2020_2026_final.csv</w:t>
            </w:r>
          </w:p>
        </w:tc>
        <w:tc>
          <w:tcPr/>
          <w:p>
            <w:pPr>
              <w:pStyle w:val="Compact"/>
              <w:jc w:val="left"/>
            </w:pPr>
            <w:r>
              <w:t xml:space="preserve">Giá vàng miếng SJC 1 lượng</w:t>
            </w:r>
          </w:p>
        </w:tc>
        <w:tc>
          <w:tcPr/>
          <w:p>
            <w:pPr>
              <w:pStyle w:val="Compact"/>
              <w:jc w:val="left"/>
            </w:pPr>
            <w:r>
              <w:t xml:space="preserve">pricedancing.com (biểu đồ rAAvxj)</w:t>
            </w:r>
          </w:p>
        </w:tc>
        <w:tc>
          <w:tcPr/>
          <w:p>
            <w:pPr>
              <w:pStyle w:val="Compact"/>
              <w:jc w:val="left"/>
            </w:pPr>
            <w:r>
              <w:t xml:space="preserve">Nến 6 tháng 2009–2019; 4 tháng 2020–07/2022; tháng từ 08/2022</w:t>
            </w:r>
          </w:p>
        </w:tc>
      </w:tr>
      <w:tr>
        <w:trPr>
          <w:cantSplit/>
        </w:trPr>
        <w:tc>
          <w:tcPr/>
          <w:p>
            <w:pPr>
              <w:pStyle w:val="Compact"/>
              <w:jc w:val="left"/>
            </w:pPr>
            <w:r>
              <w:rPr>
                <w:rStyle w:val="VerbatimChar"/>
              </w:rPr>
              <w:t xml:space="preserve">deposit_rate_12m_2020_2026_final.csv</w:t>
            </w:r>
          </w:p>
        </w:tc>
        <w:tc>
          <w:tcPr/>
          <w:p>
            <w:pPr>
              <w:pStyle w:val="Compact"/>
              <w:jc w:val="left"/>
            </w:pPr>
            <w:r>
              <w:t xml:space="preserve">Lãi tiết kiệm 12 tháng Vietcombank</w:t>
            </w:r>
          </w:p>
        </w:tc>
        <w:tc>
          <w:tcPr/>
          <w:p>
            <w:pPr>
              <w:pStyle w:val="Compact"/>
              <w:jc w:val="left"/>
            </w:pPr>
            <w:r>
              <w:t xml:space="preserve">pricedancing.com (btQhHe), bổ sung bảng mốc từ báo chí trước 07/2020</w:t>
            </w:r>
          </w:p>
        </w:tc>
        <w:tc>
          <w:tcPr/>
          <w:p>
            <w:pPr>
              <w:pStyle w:val="Compact"/>
              <w:jc w:val="left"/>
            </w:pPr>
            <w:r>
              <w:t xml:space="preserve">Tải 08/2026</w:t>
            </w:r>
          </w:p>
        </w:tc>
      </w:tr>
      <w:tr>
        <w:trPr>
          <w:cantSplit/>
        </w:trPr>
        <w:tc>
          <w:tcPr/>
          <w:p>
            <w:pPr>
              <w:pStyle w:val="Compact"/>
              <w:jc w:val="left"/>
            </w:pPr>
            <w:r>
              <w:rPr>
                <w:rStyle w:val="VerbatimChar"/>
              </w:rPr>
              <w:t xml:space="preserve">deposit_rate_1m_3m.csv</w:t>
            </w:r>
          </w:p>
        </w:tc>
        <w:tc>
          <w:tcPr/>
          <w:p>
            <w:pPr>
              <w:pStyle w:val="Compact"/>
              <w:jc w:val="left"/>
            </w:pPr>
            <w:r>
              <w:t xml:space="preserve">Lãi tiết kiệm 1 và 3 tháng Vietcombank</w:t>
            </w:r>
          </w:p>
        </w:tc>
        <w:tc>
          <w:tcPr/>
          <w:p>
            <w:pPr>
              <w:pStyle w:val="Compact"/>
              <w:jc w:val="left"/>
            </w:pPr>
            <w:r>
              <w:t xml:space="preserve">pricedancing.com từ 07/2020; trước đó dựng từ 56 mốc điều chỉnh trên báo chí</w:t>
            </w:r>
          </w:p>
        </w:tc>
        <w:tc>
          <w:tcPr/>
          <w:p>
            <w:pPr>
              <w:pStyle w:val="Compact"/>
              <w:jc w:val="left"/>
            </w:pPr>
            <w:r>
              <w:t xml:space="preserve">Giai đoạn 01–08/2016 chưa xác minh</w:t>
            </w:r>
          </w:p>
        </w:tc>
      </w:tr>
      <w:tr>
        <w:trPr>
          <w:cantSplit/>
        </w:trPr>
        <w:tc>
          <w:tcPr/>
          <w:p>
            <w:pPr>
              <w:pStyle w:val="Compact"/>
              <w:jc w:val="left"/>
            </w:pPr>
            <w:r>
              <w:rPr>
                <w:rStyle w:val="VerbatimChar"/>
              </w:rPr>
              <w:t xml:space="preserve">vcb_deposit_rate_events.csv</w:t>
            </w:r>
          </w:p>
        </w:tc>
        <w:tc>
          <w:tcPr/>
          <w:p>
            <w:pPr>
              <w:pStyle w:val="Compact"/>
              <w:jc w:val="left"/>
            </w:pPr>
            <w:r>
              <w:t xml:space="preserve">Bảng mốc điều chỉnh biểu lãi suất Vietcombank</w:t>
            </w:r>
          </w:p>
        </w:tc>
        <w:tc>
          <w:tcPr/>
          <w:p>
            <w:pPr>
              <w:pStyle w:val="Compact"/>
              <w:jc w:val="left"/>
            </w:pPr>
            <w:r>
              <w:t xml:space="preserve">VnEconomy, VnExpress, Vietnambiz, Thị trường Tài chính Tiền tệ, The Investor, VNS…</w:t>
            </w:r>
          </w:p>
        </w:tc>
        <w:tc>
          <w:tcPr/>
          <w:p>
            <w:pPr>
              <w:pStyle w:val="Compact"/>
              <w:jc w:val="left"/>
            </w:pPr>
            <w:r>
              <w:t xml:space="preserve">URL từng bài ở cột</w:t>
            </w:r>
            <w:r>
              <w:t xml:space="preserve"> </w:t>
            </w:r>
            <w:r>
              <w:rPr>
                <w:rStyle w:val="VerbatimChar"/>
              </w:rPr>
              <w:t xml:space="preserve">source</w:t>
            </w:r>
            <w:r>
              <w:t xml:space="preserve">; cột</w:t>
            </w:r>
            <w:r>
              <w:t xml:space="preserve"> </w:t>
            </w:r>
            <w:r>
              <w:rPr>
                <w:rStyle w:val="VerbatimChar"/>
              </w:rPr>
              <w:t xml:space="preserve">date_basis</w:t>
            </w:r>
            <w:r>
              <w:t xml:space="preserve"> </w:t>
            </w:r>
            <w:r>
              <w:t xml:space="preserve">ghi loại ngày</w:t>
            </w:r>
          </w:p>
        </w:tc>
      </w:tr>
      <w:tr>
        <w:trPr>
          <w:cantSplit/>
        </w:trPr>
        <w:tc>
          <w:tcPr/>
          <w:p>
            <w:pPr>
              <w:pStyle w:val="Compact"/>
              <w:jc w:val="left"/>
            </w:pPr>
            <w:r>
              <w:rPr>
                <w:rStyle w:val="VerbatimChar"/>
              </w:rPr>
              <w:t xml:space="preserve">world_gold_usd_monthly_wb.csv</w:t>
            </w:r>
          </w:p>
        </w:tc>
        <w:tc>
          <w:tcPr/>
          <w:p>
            <w:pPr>
              <w:pStyle w:val="Compact"/>
              <w:jc w:val="left"/>
            </w:pPr>
            <w:r>
              <w:t xml:space="preserve">Giá vàng thế giới bình quân tháng (USD/oz)</w:t>
            </w:r>
          </w:p>
        </w:tc>
        <w:tc>
          <w:tcPr/>
          <w:p>
            <w:pPr>
              <w:pStyle w:val="Compact"/>
              <w:jc w:val="left"/>
            </w:pPr>
            <w:r>
              <w:t xml:space="preserve">World Bank Commodity Markets (Pink Sheet)</w:t>
            </w:r>
          </w:p>
        </w:tc>
        <w:tc>
          <w:tcPr/>
          <w:p>
            <w:pPr>
              <w:pStyle w:val="Compact"/>
            </w:pPr>
          </w:p>
        </w:tc>
      </w:tr>
      <w:tr>
        <w:trPr>
          <w:cantSplit/>
        </w:trPr>
        <w:tc>
          <w:tcPr/>
          <w:p>
            <w:pPr>
              <w:pStyle w:val="Compact"/>
              <w:jc w:val="left"/>
            </w:pPr>
            <w:r>
              <w:rPr>
                <w:rStyle w:val="VerbatimChar"/>
              </w:rPr>
              <w:t xml:space="preserve">usd_vnd_monthly.csv</w:t>
            </w:r>
          </w:p>
        </w:tc>
        <w:tc>
          <w:tcPr/>
          <w:p>
            <w:pPr>
              <w:pStyle w:val="Compact"/>
              <w:jc w:val="left"/>
            </w:pPr>
            <w:r>
              <w:t xml:space="preserve">Tỷ giá VND/USD bình quân tháng</w:t>
            </w:r>
          </w:p>
        </w:tc>
        <w:tc>
          <w:tcPr/>
          <w:p>
            <w:pPr>
              <w:pStyle w:val="Compact"/>
              <w:jc w:val="left"/>
            </w:pPr>
            <w:r>
              <w:t xml:space="preserve">IMF International Financial Statistics</w:t>
            </w:r>
          </w:p>
        </w:tc>
        <w:tc>
          <w:tcPr/>
          <w:p>
            <w:pPr>
              <w:pStyle w:val="Compact"/>
              <w:jc w:val="left"/>
            </w:pPr>
            <w:r>
              <w:t xml:space="preserve">Tỷ giá chính thức, không phải giá bán NHTM</w:t>
            </w:r>
          </w:p>
        </w:tc>
      </w:tr>
      <w:tr>
        <w:trPr>
          <w:cantSplit/>
        </w:trPr>
        <w:tc>
          <w:tcPr/>
          <w:p>
            <w:pPr>
              <w:pStyle w:val="Compact"/>
              <w:jc w:val="left"/>
            </w:pPr>
            <w:r>
              <w:rPr>
                <w:rStyle w:val="VerbatimChar"/>
              </w:rPr>
              <w:t xml:space="preserve">re_basket_membership.csv</w:t>
            </w:r>
            <w:r>
              <w:t xml:space="preserve">,</w:t>
            </w:r>
            <w:r>
              <w:t xml:space="preserve"> </w:t>
            </w:r>
            <w:r>
              <w:rPr>
                <w:rStyle w:val="VerbatimChar"/>
              </w:rPr>
              <w:t xml:space="preserve">re_basket_marketcap_ranking.csv</w:t>
            </w:r>
          </w:p>
        </w:tc>
        <w:tc>
          <w:tcPr/>
          <w:p>
            <w:pPr>
              <w:pStyle w:val="Compact"/>
              <w:jc w:val="left"/>
            </w:pPr>
            <w:r>
              <w:t xml:space="preserve">Thành viên rổ BĐS và bảng xếp hạng vốn hóa</w:t>
            </w:r>
          </w:p>
        </w:tc>
        <w:tc>
          <w:tcPr/>
          <w:p>
            <w:pPr>
              <w:pStyle w:val="Compact"/>
              <w:jc w:val="left"/>
            </w:pPr>
            <w:r>
              <w:t xml:space="preserve">Vietcap IQ (vốn hóa Q4); 2014–2017 ước lượng</w:t>
            </w:r>
          </w:p>
        </w:tc>
        <w:tc>
          <w:tcPr/>
          <w:p>
            <w:pPr>
              <w:pStyle w:val="Compact"/>
              <w:jc w:val="left"/>
            </w:pPr>
            <w:r>
              <w:t xml:space="preserve">Xem Phụ lục B</w:t>
            </w:r>
          </w:p>
        </w:tc>
      </w:tr>
      <w:tr>
        <w:trPr>
          <w:cantSplit/>
        </w:trPr>
        <w:tc>
          <w:tcPr/>
          <w:p>
            <w:pPr>
              <w:pStyle w:val="Compact"/>
              <w:jc w:val="left"/>
            </w:pPr>
            <w:r>
              <w:rPr>
                <w:rStyle w:val="VerbatimChar"/>
              </w:rPr>
              <w:t xml:space="preserve">bond_fund_nav.csv</w:t>
            </w:r>
          </w:p>
        </w:tc>
        <w:tc>
          <w:tcPr/>
          <w:p>
            <w:pPr>
              <w:pStyle w:val="Compact"/>
              <w:jc w:val="left"/>
            </w:pPr>
            <w:r>
              <w:t xml:space="preserve">NAV cuối tháng quỹ DCBF (Dragon Capital) 06/2013–10/2026</w:t>
            </w:r>
          </w:p>
        </w:tc>
        <w:tc>
          <w:tcPr/>
          <w:p>
            <w:pPr>
              <w:pStyle w:val="Compact"/>
              <w:jc w:val="left"/>
            </w:pPr>
            <w:r>
              <w:t xml:space="preserve">Fmarket</w:t>
            </w:r>
          </w:p>
        </w:tc>
        <w:tc>
          <w:tcPr/>
          <w:p>
            <w:pPr>
              <w:pStyle w:val="Compact"/>
              <w:jc w:val="left"/>
            </w:pPr>
            <w:r>
              <w:t xml:space="preserve">Đối chiếu với quỹ VFF (VinaCapital)</w:t>
            </w:r>
          </w:p>
        </w:tc>
      </w:tr>
    </w:tbl>
    <w:p/>
    <w:p>
      <w:pPr>
        <w:pStyle w:val="TableCaption"/>
      </w:pPr>
      <w:r>
        <w:t xml:space="preserve">Bảng A.2. Kiểm tra độ khớp ở các đoạn ghép chuỗi</w:t>
      </w:r>
    </w:p>
    <w:tbl>
      <w:tblPr>
        <w:tblStyle w:val="Table"/>
        <w:tblW w:type="pct" w:w="5000"/>
        <w:jc w:val="center"/>
        <w:tblLook w:firstRow="1" w:lastRow="0" w:firstColumn="0" w:lastColumn="0" w:noHBand="0" w:noVBand="0" w:val="0020"/>
        <w:tblCaption w:val="Bảng A.2. Kiểm tra độ khớp ở các đoạn ghép chuỗi"/>
      </w:tblPr>
      <w:tblGrid>
        <w:gridCol w:w="2933"/>
        <w:gridCol w:w="2053"/>
        <w:gridCol w:w="2933"/>
      </w:tblGrid>
      <w:tr>
        <w:trPr>
          <w:tblHeader w:val="true"/>
        </w:trPr>
        <w:tc>
          <w:tcPr/>
          <w:p>
            <w:pPr>
              <w:pStyle w:val="Compact"/>
              <w:jc w:val="center"/>
            </w:pPr>
            <w:r>
              <w:rPr>
                <w:b/>
              </w:rPr>
              <w:t xml:space="preserve">Chuỗi</w:t>
            </w:r>
          </w:p>
        </w:tc>
        <w:tc>
          <w:tcPr/>
          <w:p>
            <w:pPr>
              <w:pStyle w:val="Compact"/>
              <w:jc w:val="center"/>
            </w:pPr>
            <w:r>
              <w:rPr>
                <w:b/>
              </w:rPr>
              <w:t xml:space="preserve">Đoạn trùng</w:t>
            </w:r>
          </w:p>
        </w:tc>
        <w:tc>
          <w:tcPr/>
          <w:p>
            <w:pPr>
              <w:pStyle w:val="Compact"/>
              <w:jc w:val="center"/>
            </w:pPr>
            <w:r>
              <w:rPr>
                <w:b/>
              </w:rPr>
              <w:t xml:space="preserve">Kết quả</w:t>
            </w:r>
          </w:p>
        </w:tc>
      </w:tr>
      <w:tr>
        <w:trPr>
          <w:cantSplit/>
        </w:trPr>
        <w:tc>
          <w:tcPr/>
          <w:p>
            <w:pPr>
              <w:pStyle w:val="Compact"/>
              <w:jc w:val="left"/>
            </w:pPr>
            <w:r>
              <w:t xml:space="preserve">Giá cổ phiếu, ETF (cuối tháng và ngày)</w:t>
            </w:r>
          </w:p>
        </w:tc>
        <w:tc>
          <w:tcPr/>
          <w:p>
            <w:pPr>
              <w:pStyle w:val="Compact"/>
              <w:jc w:val="left"/>
            </w:pPr>
            <w:r>
              <w:t xml:space="preserve">96 tháng</w:t>
            </w:r>
          </w:p>
        </w:tc>
        <w:tc>
          <w:tcPr/>
          <w:p>
            <w:pPr>
              <w:pStyle w:val="Compact"/>
              <w:jc w:val="left"/>
            </w:pPr>
            <w:r>
              <w:t xml:space="preserve">Tỷ lệ giá không đổi theo từng mã, lợi nhuận trùng khớp; ghép bằng hệ số cố định</w:t>
            </w:r>
          </w:p>
        </w:tc>
      </w:tr>
      <w:tr>
        <w:trPr>
          <w:cantSplit/>
        </w:trPr>
        <w:tc>
          <w:tcPr/>
          <w:p>
            <w:pPr>
              <w:pStyle w:val="Compact"/>
              <w:jc w:val="left"/>
            </w:pPr>
            <w:r>
              <w:t xml:space="preserve">Lợi suất TPCP 5 năm (tháng và ngày)</w:t>
            </w:r>
          </w:p>
        </w:tc>
        <w:tc>
          <w:tcPr/>
          <w:p>
            <w:pPr>
              <w:pStyle w:val="Compact"/>
              <w:jc w:val="left"/>
            </w:pPr>
            <w:r>
              <w:t xml:space="preserve">80 tháng</w:t>
            </w:r>
          </w:p>
        </w:tc>
        <w:tc>
          <w:tcPr/>
          <w:p>
            <w:pPr>
              <w:pStyle w:val="Compact"/>
              <w:jc w:val="left"/>
            </w:pPr>
            <w:r>
              <w:t xml:space="preserve">Lệch trung vị 0, lớn nhất 0,1 điểm %</w:t>
            </w:r>
          </w:p>
        </w:tc>
      </w:tr>
      <w:tr>
        <w:trPr>
          <w:cantSplit/>
        </w:trPr>
        <w:tc>
          <w:tcPr/>
          <w:p>
            <w:pPr>
              <w:pStyle w:val="Compact"/>
              <w:jc w:val="left"/>
            </w:pPr>
            <w:r>
              <w:t xml:space="preserve">Lãi 12 tháng: pricedancing so với bảng mốc Vietcombank</w:t>
            </w:r>
          </w:p>
        </w:tc>
        <w:tc>
          <w:tcPr/>
          <w:p>
            <w:pPr>
              <w:pStyle w:val="Compact"/>
              <w:jc w:val="left"/>
            </w:pPr>
            <w:r>
              <w:t xml:space="preserve">48 tháng (08/2022–07/2026)</w:t>
            </w:r>
          </w:p>
        </w:tc>
        <w:tc>
          <w:tcPr/>
          <w:p>
            <w:pPr>
              <w:pStyle w:val="Compact"/>
              <w:jc w:val="left"/>
            </w:pPr>
            <w:r>
              <w:t xml:space="preserve">44 tháng khớp tuyệt đối, còn lại lệch 0,1–0,2 điểm % do ngày hiệu lực trong tháng</w:t>
            </w:r>
          </w:p>
        </w:tc>
      </w:tr>
      <w:tr>
        <w:trPr>
          <w:cantSplit/>
        </w:trPr>
        <w:tc>
          <w:tcPr/>
          <w:p>
            <w:pPr>
              <w:pStyle w:val="Compact"/>
              <w:jc w:val="left"/>
            </w:pPr>
            <w:r>
              <w:t xml:space="preserve">Lãi 1 và 3 tháng: pricedancing so với bảng mốc</w:t>
            </w:r>
          </w:p>
        </w:tc>
        <w:tc>
          <w:tcPr/>
          <w:p>
            <w:pPr>
              <w:pStyle w:val="Compact"/>
              <w:jc w:val="left"/>
            </w:pPr>
            <w:r>
              <w:t xml:space="preserve">59 tháng</w:t>
            </w:r>
          </w:p>
        </w:tc>
        <w:tc>
          <w:tcPr/>
          <w:p>
            <w:pPr>
              <w:pStyle w:val="Compact"/>
              <w:jc w:val="left"/>
            </w:pPr>
            <w:r>
              <w:t xml:space="preserve">Lệch trung vị 0, lớn nhất 0,2 điểm %</w:t>
            </w:r>
          </w:p>
        </w:tc>
      </w:tr>
      <w:tr>
        <w:trPr>
          <w:cantSplit/>
        </w:trPr>
        <w:tc>
          <w:tcPr/>
          <w:p>
            <w:pPr>
              <w:pStyle w:val="Compact"/>
              <w:jc w:val="left"/>
            </w:pPr>
            <w:r>
              <w:t xml:space="preserve">Giá vàng dựng lại so với giá thật</w:t>
            </w:r>
          </w:p>
        </w:tc>
        <w:tc>
          <w:tcPr/>
          <w:p>
            <w:pPr>
              <w:pStyle w:val="Compact"/>
              <w:jc w:val="left"/>
            </w:pPr>
            <w:r>
              <w:t xml:space="preserve">47 tháng (2022–2026), 4 cách chọn neo</w:t>
            </w:r>
          </w:p>
        </w:tc>
        <w:tc>
          <w:tcPr/>
          <w:p>
            <w:pPr>
              <w:pStyle w:val="Compact"/>
              <w:jc w:val="left"/>
            </w:pPr>
            <w:r>
              <w:t xml:space="preserve">Tương quan lợi nhuận 0,72 (nội suy thẳng: 0,59); RMSE giá 3,5%; độ biến động 14,8% so với 18,6% thật</w:t>
            </w:r>
          </w:p>
        </w:tc>
      </w:tr>
    </w:tbl>
    <w:p>
      <w:pPr>
        <w:pStyle w:val="BodyText"/>
        <w:spacing w:before="200"/>
      </w:pPr>
      <w:r>
        <w:t xml:space="preserve">Trạng thái kiểm tra chất lượng dữ liệu ở phiên bản cuối (</w:t>
      </w:r>
      <w:r>
        <w:rPr>
          <w:rStyle w:val="VerbatimChar"/>
        </w:rPr>
        <w:t xml:space="preserve">qc_checks.csv</w:t>
      </w:r>
      <w:r>
        <w:t xml:space="preserve">): 27 mục đạt, 0 mục còn cờ. Danh sách URL của khoảng 55 bài báo về biểu lãi suất Vietcombank: in từ cột</w:t>
      </w:r>
      <w:r>
        <w:t xml:space="preserve"> </w:t>
      </w:r>
      <w:r>
        <w:rPr>
          <w:rStyle w:val="VerbatimChar"/>
        </w:rPr>
        <w:t xml:space="preserve">source</w:t>
      </w:r>
      <w:r>
        <w:t xml:space="preserve"> </w:t>
      </w:r>
      <w:r>
        <w:t xml:space="preserve">của</w:t>
      </w:r>
      <w:r>
        <w:t xml:space="preserve"> </w:t>
      </w:r>
      <w:r>
        <w:rPr>
          <w:rStyle w:val="VerbatimChar"/>
        </w:rPr>
        <w:t xml:space="preserve">vcb_deposit_rate_events.csv</w:t>
      </w:r>
      <w:r>
        <w:t xml:space="preserve"> </w:t>
      </w:r>
      <w:r>
        <w:t xml:space="preserve">khi đóng quyển.</w:t>
      </w:r>
    </w:p>
    <w:bookmarkEnd w:id="173"/>
    <w:bookmarkStart w:id="174" w:name="X4676fb61e84a481b3b862e98e81114ab0c232da"/>
    <w:p>
      <w:pPr>
        <w:pStyle w:val="Heading2"/>
      </w:pPr>
      <w:r>
        <w:t xml:space="preserve">Phụ lục B. Bảng xếp hạng vốn hóa và thành viên rổ cổ phiếu BĐS 2015–2026</w:t>
      </w:r>
    </w:p>
    <w:p>
      <w:pPr>
        <w:pStyle w:val="FirstParagraph"/>
      </w:pPr>
      <w:r>
        <w:t xml:space="preserve">Quy tắc: rổ năm N gồm 4 doanh nghiệp phát triển bất động sản dân dụng có vốn hóa lớn nhất trên HOSE vào cuối năm N − 1, tỷ trọng bằng nhau; loại tập đoàn đa ngành (VIC, FLC), bán lẻ và cho thuê thương mại (VRE), khu công nghiệp (KBC, ITA) và môi giới (DXS, CRE). Thành viên rổ từng năm ở Bảng 3.5.</w:t>
      </w:r>
    </w:p>
    <w:p>
      <w:pPr>
        <w:pStyle w:val="TableCaption"/>
      </w:pPr>
      <w:r>
        <w:t xml:space="preserve">Bảng B.1. Sáu doanh nghiệp vốn hóa lớn nhất cuối mỗi năm (tỷ đồng)</w:t>
      </w:r>
    </w:p>
    <w:tbl>
      <w:tblPr>
        <w:tblStyle w:val="Table"/>
        <w:tblW w:type="pct" w:w="5000"/>
        <w:jc w:val="center"/>
        <w:tblLook w:firstRow="1" w:lastRow="0" w:firstColumn="0" w:lastColumn="0" w:noHBand="0" w:noVBand="0" w:val="0020"/>
        <w:tblCaption w:val="Bảng B.1. Sáu doanh nghiệp vốn hóa lớn nhất cuối mỗi năm (tỷ đồng)"/>
      </w:tblPr>
      <w:tblGrid>
        <w:gridCol w:w="800"/>
        <w:gridCol w:w="1245"/>
        <w:gridCol w:w="1245"/>
        <w:gridCol w:w="1156"/>
        <w:gridCol w:w="1156"/>
        <w:gridCol w:w="1156"/>
        <w:gridCol w:w="1156"/>
      </w:tblGrid>
      <w:tr>
        <w:trPr>
          <w:tblHeader w:val="true"/>
        </w:trPr>
        <w:tc>
          <w:tcPr/>
          <w:p>
            <w:pPr>
              <w:pStyle w:val="Compact"/>
              <w:jc w:val="center"/>
            </w:pPr>
            <w:r>
              <w:rPr>
                <w:b/>
              </w:rPr>
              <w:t xml:space="preserve">Cuối năm</w:t>
            </w:r>
          </w:p>
        </w:tc>
        <w:tc>
          <w:tcPr/>
          <w:p>
            <w:pPr>
              <w:pStyle w:val="Compact"/>
              <w:jc w:val="center"/>
            </w:pPr>
            <w:r>
              <w:rPr>
                <w:b/>
              </w:rPr>
              <w:t xml:space="preserve">Hạng 1</w:t>
            </w:r>
          </w:p>
        </w:tc>
        <w:tc>
          <w:tcPr/>
          <w:p>
            <w:pPr>
              <w:pStyle w:val="Compact"/>
              <w:jc w:val="center"/>
            </w:pPr>
            <w:r>
              <w:rPr>
                <w:b/>
              </w:rPr>
              <w:t xml:space="preserve">Hạng 2</w:t>
            </w:r>
          </w:p>
        </w:tc>
        <w:tc>
          <w:tcPr/>
          <w:p>
            <w:pPr>
              <w:pStyle w:val="Compact"/>
              <w:jc w:val="center"/>
            </w:pPr>
            <w:r>
              <w:rPr>
                <w:b/>
              </w:rPr>
              <w:t xml:space="preserve">Hạng 3</w:t>
            </w:r>
          </w:p>
        </w:tc>
        <w:tc>
          <w:tcPr/>
          <w:p>
            <w:pPr>
              <w:pStyle w:val="Compact"/>
              <w:jc w:val="center"/>
            </w:pPr>
            <w:r>
              <w:rPr>
                <w:b/>
              </w:rPr>
              <w:t xml:space="preserve">Hạng 4</w:t>
            </w:r>
          </w:p>
        </w:tc>
        <w:tc>
          <w:tcPr/>
          <w:p>
            <w:pPr>
              <w:pStyle w:val="Compact"/>
              <w:jc w:val="center"/>
            </w:pPr>
            <w:r>
              <w:rPr>
                <w:b/>
              </w:rPr>
              <w:t xml:space="preserve">Hạng 5</w:t>
            </w:r>
          </w:p>
        </w:tc>
        <w:tc>
          <w:tcPr/>
          <w:p>
            <w:pPr>
              <w:pStyle w:val="Compact"/>
              <w:jc w:val="center"/>
            </w:pPr>
            <w:r>
              <w:rPr>
                <w:b/>
              </w:rPr>
              <w:t xml:space="preserve">Hạng 6</w:t>
            </w:r>
          </w:p>
        </w:tc>
      </w:tr>
      <w:tr>
        <w:trPr>
          <w:cantSplit/>
        </w:trPr>
        <w:tc>
          <w:tcPr/>
          <w:p>
            <w:pPr>
              <w:pStyle w:val="Compact"/>
              <w:jc w:val="left"/>
            </w:pPr>
            <w:r>
              <w:t xml:space="preserve">2014</w:t>
            </w:r>
          </w:p>
        </w:tc>
        <w:tc>
          <w:tcPr/>
          <w:p>
            <w:pPr>
              <w:pStyle w:val="Compact"/>
              <w:jc w:val="left"/>
            </w:pPr>
            <w:r>
              <w:t xml:space="preserve">KDH (4.048)</w:t>
            </w:r>
          </w:p>
        </w:tc>
        <w:tc>
          <w:tcPr/>
          <w:p>
            <w:pPr>
              <w:pStyle w:val="Compact"/>
              <w:jc w:val="left"/>
            </w:pPr>
            <w:r>
              <w:t xml:space="preserve">NLG (3.208)</w:t>
            </w:r>
          </w:p>
        </w:tc>
        <w:tc>
          <w:tcPr/>
          <w:p>
            <w:pPr>
              <w:pStyle w:val="Compact"/>
              <w:jc w:val="left"/>
            </w:pPr>
            <w:r>
              <w:t xml:space="preserve">DIG (3.020)</w:t>
            </w:r>
          </w:p>
        </w:tc>
        <w:tc>
          <w:tcPr/>
          <w:p>
            <w:pPr>
              <w:pStyle w:val="Compact"/>
              <w:jc w:val="left"/>
            </w:pPr>
            <w:r>
              <w:t xml:space="preserve">HQC (3.012)</w:t>
            </w:r>
          </w:p>
        </w:tc>
        <w:tc>
          <w:tcPr/>
          <w:p>
            <w:pPr>
              <w:pStyle w:val="Compact"/>
              <w:jc w:val="left"/>
            </w:pPr>
            <w:r>
              <w:t xml:space="preserve">PDR (2.774)</w:t>
            </w:r>
          </w:p>
        </w:tc>
        <w:tc>
          <w:tcPr/>
          <w:p>
            <w:pPr>
              <w:pStyle w:val="Compact"/>
              <w:jc w:val="left"/>
            </w:pPr>
            <w:r>
              <w:t xml:space="preserve">QCG (2.772)</w:t>
            </w:r>
          </w:p>
        </w:tc>
      </w:tr>
      <w:tr>
        <w:trPr>
          <w:cantSplit/>
        </w:trPr>
        <w:tc>
          <w:tcPr/>
          <w:p>
            <w:pPr>
              <w:pStyle w:val="Compact"/>
              <w:jc w:val="left"/>
            </w:pPr>
            <w:r>
              <w:t xml:space="preserve">2015</w:t>
            </w:r>
          </w:p>
        </w:tc>
        <w:tc>
          <w:tcPr/>
          <w:p>
            <w:pPr>
              <w:pStyle w:val="Compact"/>
              <w:jc w:val="left"/>
            </w:pPr>
            <w:r>
              <w:t xml:space="preserve">KDH (4.979)</w:t>
            </w:r>
          </w:p>
        </w:tc>
        <w:tc>
          <w:tcPr/>
          <w:p>
            <w:pPr>
              <w:pStyle w:val="Compact"/>
              <w:jc w:val="left"/>
            </w:pPr>
            <w:r>
              <w:t xml:space="preserve">NLG (4.257)</w:t>
            </w:r>
          </w:p>
        </w:tc>
        <w:tc>
          <w:tcPr/>
          <w:p>
            <w:pPr>
              <w:pStyle w:val="Compact"/>
              <w:jc w:val="left"/>
            </w:pPr>
            <w:r>
              <w:t xml:space="preserve">DXG (3.441)</w:t>
            </w:r>
          </w:p>
        </w:tc>
        <w:tc>
          <w:tcPr/>
          <w:p>
            <w:pPr>
              <w:pStyle w:val="Compact"/>
              <w:jc w:val="left"/>
            </w:pPr>
            <w:r>
              <w:t xml:space="preserve">PDR (2.835)</w:t>
            </w:r>
          </w:p>
        </w:tc>
        <w:tc>
          <w:tcPr/>
          <w:p>
            <w:pPr>
              <w:pStyle w:val="Compact"/>
              <w:jc w:val="left"/>
            </w:pPr>
            <w:r>
              <w:t xml:space="preserve">SCR (2.335)</w:t>
            </w:r>
          </w:p>
        </w:tc>
        <w:tc>
          <w:tcPr/>
          <w:p>
            <w:pPr>
              <w:pStyle w:val="Compact"/>
              <w:jc w:val="left"/>
            </w:pPr>
            <w:r>
              <w:t xml:space="preserve">DIG (2.266)</w:t>
            </w:r>
          </w:p>
        </w:tc>
      </w:tr>
      <w:tr>
        <w:trPr>
          <w:cantSplit/>
        </w:trPr>
        <w:tc>
          <w:tcPr/>
          <w:p>
            <w:pPr>
              <w:pStyle w:val="Compact"/>
              <w:jc w:val="left"/>
            </w:pPr>
            <w:r>
              <w:t xml:space="preserve">2016</w:t>
            </w:r>
          </w:p>
        </w:tc>
        <w:tc>
          <w:tcPr/>
          <w:p>
            <w:pPr>
              <w:pStyle w:val="Compact"/>
              <w:jc w:val="left"/>
            </w:pPr>
            <w:r>
              <w:t xml:space="preserve">NVL (39.587)</w:t>
            </w:r>
          </w:p>
        </w:tc>
        <w:tc>
          <w:tcPr/>
          <w:p>
            <w:pPr>
              <w:pStyle w:val="Compact"/>
              <w:jc w:val="left"/>
            </w:pPr>
            <w:r>
              <w:t xml:space="preserve">TCH (6.567)</w:t>
            </w:r>
          </w:p>
        </w:tc>
        <w:tc>
          <w:tcPr/>
          <w:p>
            <w:pPr>
              <w:pStyle w:val="Compact"/>
              <w:jc w:val="left"/>
            </w:pPr>
            <w:r>
              <w:t xml:space="preserve">KDH (6.153)</w:t>
            </w:r>
          </w:p>
        </w:tc>
        <w:tc>
          <w:tcPr/>
          <w:p>
            <w:pPr>
              <w:pStyle w:val="Compact"/>
              <w:jc w:val="left"/>
            </w:pPr>
            <w:r>
              <w:t xml:space="preserve">NLG (4.277)</w:t>
            </w:r>
          </w:p>
        </w:tc>
        <w:tc>
          <w:tcPr/>
          <w:p>
            <w:pPr>
              <w:pStyle w:val="Compact"/>
              <w:jc w:val="left"/>
            </w:pPr>
            <w:r>
              <w:t xml:space="preserve">DXG (2.952)</w:t>
            </w:r>
          </w:p>
        </w:tc>
        <w:tc>
          <w:tcPr/>
          <w:p>
            <w:pPr>
              <w:pStyle w:val="Compact"/>
              <w:jc w:val="left"/>
            </w:pPr>
            <w:r>
              <w:t xml:space="preserve">PDR (2.892)</w:t>
            </w:r>
          </w:p>
        </w:tc>
      </w:tr>
      <w:tr>
        <w:trPr>
          <w:cantSplit/>
        </w:trPr>
        <w:tc>
          <w:tcPr/>
          <w:p>
            <w:pPr>
              <w:pStyle w:val="Compact"/>
              <w:jc w:val="left"/>
            </w:pPr>
            <w:r>
              <w:t xml:space="preserve">2017</w:t>
            </w:r>
          </w:p>
        </w:tc>
        <w:tc>
          <w:tcPr/>
          <w:p>
            <w:pPr>
              <w:pStyle w:val="Compact"/>
              <w:jc w:val="left"/>
            </w:pPr>
            <w:r>
              <w:t xml:space="preserve">NVL (42.880)</w:t>
            </w:r>
          </w:p>
        </w:tc>
        <w:tc>
          <w:tcPr/>
          <w:p>
            <w:pPr>
              <w:pStyle w:val="Compact"/>
              <w:jc w:val="left"/>
            </w:pPr>
            <w:r>
              <w:t xml:space="preserve">KDH (10.002)</w:t>
            </w:r>
          </w:p>
        </w:tc>
        <w:tc>
          <w:tcPr/>
          <w:p>
            <w:pPr>
              <w:pStyle w:val="Compact"/>
              <w:jc w:val="left"/>
            </w:pPr>
            <w:r>
              <w:t xml:space="preserve">PDR (8.670)</w:t>
            </w:r>
          </w:p>
        </w:tc>
        <w:tc>
          <w:tcPr/>
          <w:p>
            <w:pPr>
              <w:pStyle w:val="Compact"/>
              <w:jc w:val="left"/>
            </w:pPr>
            <w:r>
              <w:t xml:space="preserve">TCH (8.585)</w:t>
            </w:r>
          </w:p>
        </w:tc>
        <w:tc>
          <w:tcPr/>
          <w:p>
            <w:pPr>
              <w:pStyle w:val="Compact"/>
              <w:jc w:val="left"/>
            </w:pPr>
            <w:r>
              <w:t xml:space="preserve">NLG (6.482)</w:t>
            </w:r>
          </w:p>
        </w:tc>
        <w:tc>
          <w:tcPr/>
          <w:p>
            <w:pPr>
              <w:pStyle w:val="Compact"/>
              <w:jc w:val="left"/>
            </w:pPr>
            <w:r>
              <w:t xml:space="preserve">DXG (6.167)</w:t>
            </w:r>
          </w:p>
        </w:tc>
      </w:tr>
      <w:tr>
        <w:trPr>
          <w:cantSplit/>
        </w:trPr>
        <w:tc>
          <w:tcPr/>
          <w:p>
            <w:pPr>
              <w:pStyle w:val="Compact"/>
              <w:jc w:val="left"/>
            </w:pPr>
            <w:r>
              <w:t xml:space="preserve">2018</w:t>
            </w:r>
          </w:p>
        </w:tc>
        <w:tc>
          <w:tcPr/>
          <w:p>
            <w:pPr>
              <w:pStyle w:val="Compact"/>
              <w:jc w:val="left"/>
            </w:pPr>
            <w:r>
              <w:t xml:space="preserve">VHM (301.456)</w:t>
            </w:r>
          </w:p>
        </w:tc>
        <w:tc>
          <w:tcPr/>
          <w:p>
            <w:pPr>
              <w:pStyle w:val="Compact"/>
              <w:jc w:val="left"/>
            </w:pPr>
            <w:r>
              <w:t xml:space="preserve">NVL (55.393)</w:t>
            </w:r>
          </w:p>
        </w:tc>
        <w:tc>
          <w:tcPr/>
          <w:p>
            <w:pPr>
              <w:pStyle w:val="Compact"/>
              <w:jc w:val="left"/>
            </w:pPr>
            <w:r>
              <w:t xml:space="preserve">KDH (12.835)</w:t>
            </w:r>
          </w:p>
        </w:tc>
        <w:tc>
          <w:tcPr/>
          <w:p>
            <w:pPr>
              <w:pStyle w:val="Compact"/>
              <w:jc w:val="left"/>
            </w:pPr>
            <w:r>
              <w:t xml:space="preserve">DXG (7.696)</w:t>
            </w:r>
          </w:p>
        </w:tc>
        <w:tc>
          <w:tcPr/>
          <w:p>
            <w:pPr>
              <w:pStyle w:val="Compact"/>
              <w:jc w:val="left"/>
            </w:pPr>
            <w:r>
              <w:t xml:space="preserve">TCH (7.507)</w:t>
            </w:r>
          </w:p>
        </w:tc>
        <w:tc>
          <w:tcPr/>
          <w:p>
            <w:pPr>
              <w:pStyle w:val="Compact"/>
              <w:jc w:val="left"/>
            </w:pPr>
            <w:r>
              <w:t xml:space="preserve">PDR (7.432)</w:t>
            </w:r>
          </w:p>
        </w:tc>
      </w:tr>
      <w:tr>
        <w:trPr>
          <w:cantSplit/>
        </w:trPr>
        <w:tc>
          <w:tcPr/>
          <w:p>
            <w:pPr>
              <w:pStyle w:val="Compact"/>
              <w:jc w:val="left"/>
            </w:pPr>
            <w:r>
              <w:t xml:space="preserve">2019</w:t>
            </w:r>
          </w:p>
        </w:tc>
        <w:tc>
          <w:tcPr/>
          <w:p>
            <w:pPr>
              <w:pStyle w:val="Compact"/>
              <w:jc w:val="left"/>
            </w:pPr>
            <w:r>
              <w:t xml:space="preserve">VHM (212.174)</w:t>
            </w:r>
          </w:p>
        </w:tc>
        <w:tc>
          <w:tcPr/>
          <w:p>
            <w:pPr>
              <w:pStyle w:val="Compact"/>
              <w:jc w:val="left"/>
            </w:pPr>
            <w:r>
              <w:t xml:space="preserve">NVL (51.580)</w:t>
            </w:r>
          </w:p>
        </w:tc>
        <w:tc>
          <w:tcPr/>
          <w:p>
            <w:pPr>
              <w:pStyle w:val="Compact"/>
              <w:jc w:val="left"/>
            </w:pPr>
            <w:r>
              <w:t xml:space="preserve">KDH (11.406)</w:t>
            </w:r>
          </w:p>
        </w:tc>
        <w:tc>
          <w:tcPr/>
          <w:p>
            <w:pPr>
              <w:pStyle w:val="Compact"/>
              <w:jc w:val="left"/>
            </w:pPr>
            <w:r>
              <w:t xml:space="preserve">PDR (8.208)</w:t>
            </w:r>
          </w:p>
        </w:tc>
        <w:tc>
          <w:tcPr/>
          <w:p>
            <w:pPr>
              <w:pStyle w:val="Compact"/>
              <w:jc w:val="left"/>
            </w:pPr>
            <w:r>
              <w:t xml:space="preserve">TCH (7.489)</w:t>
            </w:r>
          </w:p>
        </w:tc>
        <w:tc>
          <w:tcPr/>
          <w:p>
            <w:pPr>
              <w:pStyle w:val="Compact"/>
              <w:jc w:val="left"/>
            </w:pPr>
            <w:r>
              <w:t xml:space="preserve">VPI (6.688)</w:t>
            </w:r>
          </w:p>
        </w:tc>
      </w:tr>
      <w:tr>
        <w:trPr>
          <w:cantSplit/>
        </w:trPr>
        <w:tc>
          <w:tcPr/>
          <w:p>
            <w:pPr>
              <w:pStyle w:val="Compact"/>
              <w:jc w:val="left"/>
            </w:pPr>
            <w:r>
              <w:t xml:space="preserve">2020</w:t>
            </w:r>
          </w:p>
        </w:tc>
        <w:tc>
          <w:tcPr/>
          <w:p>
            <w:pPr>
              <w:pStyle w:val="Compact"/>
              <w:jc w:val="left"/>
            </w:pPr>
            <w:r>
              <w:t xml:space="preserve">VHM (328.951)</w:t>
            </w:r>
          </w:p>
        </w:tc>
        <w:tc>
          <w:tcPr/>
          <w:p>
            <w:pPr>
              <w:pStyle w:val="Compact"/>
              <w:jc w:val="left"/>
            </w:pPr>
            <w:r>
              <w:t xml:space="preserve">NVL (141.217)</w:t>
            </w:r>
          </w:p>
        </w:tc>
        <w:tc>
          <w:tcPr/>
          <w:p>
            <w:pPr>
              <w:pStyle w:val="Compact"/>
              <w:jc w:val="left"/>
            </w:pPr>
            <w:r>
              <w:t xml:space="preserve">PDR (34.601)</w:t>
            </w:r>
          </w:p>
        </w:tc>
        <w:tc>
          <w:tcPr/>
          <w:p>
            <w:pPr>
              <w:pStyle w:val="Compact"/>
              <w:jc w:val="left"/>
            </w:pPr>
            <w:r>
              <w:t xml:space="preserve">KDH (20.648)</w:t>
            </w:r>
          </w:p>
        </w:tc>
        <w:tc>
          <w:tcPr/>
          <w:p>
            <w:pPr>
              <w:pStyle w:val="Compact"/>
              <w:jc w:val="left"/>
            </w:pPr>
            <w:r>
              <w:t xml:space="preserve">DXG (12.439)</w:t>
            </w:r>
          </w:p>
        </w:tc>
        <w:tc>
          <w:tcPr/>
          <w:p>
            <w:pPr>
              <w:pStyle w:val="Compact"/>
              <w:jc w:val="left"/>
            </w:pPr>
            <w:r>
              <w:t xml:space="preserve">NLG (9.899)</w:t>
            </w:r>
          </w:p>
        </w:tc>
      </w:tr>
      <w:tr>
        <w:trPr>
          <w:cantSplit/>
        </w:trPr>
        <w:tc>
          <w:tcPr/>
          <w:p>
            <w:pPr>
              <w:pStyle w:val="Compact"/>
              <w:jc w:val="left"/>
            </w:pPr>
            <w:r>
              <w:t xml:space="preserve">2021</w:t>
            </w:r>
          </w:p>
        </w:tc>
        <w:tc>
          <w:tcPr/>
          <w:p>
            <w:pPr>
              <w:pStyle w:val="Compact"/>
              <w:jc w:val="left"/>
            </w:pPr>
            <w:r>
              <w:t xml:space="preserve">VHM (280.857)</w:t>
            </w:r>
          </w:p>
        </w:tc>
        <w:tc>
          <w:tcPr/>
          <w:p>
            <w:pPr>
              <w:pStyle w:val="Compact"/>
              <w:jc w:val="left"/>
            </w:pPr>
            <w:r>
              <w:t xml:space="preserve">NVL (159.877)</w:t>
            </w:r>
          </w:p>
        </w:tc>
        <w:tc>
          <w:tcPr/>
          <w:p>
            <w:pPr>
              <w:pStyle w:val="Compact"/>
              <w:jc w:val="left"/>
            </w:pPr>
            <w:r>
              <w:t xml:space="preserve">PDR (42.674)</w:t>
            </w:r>
          </w:p>
        </w:tc>
        <w:tc>
          <w:tcPr/>
          <w:p>
            <w:pPr>
              <w:pStyle w:val="Compact"/>
              <w:jc w:val="left"/>
            </w:pPr>
            <w:r>
              <w:t xml:space="preserve">DIG (32.493)</w:t>
            </w:r>
          </w:p>
        </w:tc>
        <w:tc>
          <w:tcPr/>
          <w:p>
            <w:pPr>
              <w:pStyle w:val="Compact"/>
              <w:jc w:val="left"/>
            </w:pPr>
            <w:r>
              <w:t xml:space="preserve">KDH (30.797)</w:t>
            </w:r>
          </w:p>
        </w:tc>
        <w:tc>
          <w:tcPr/>
          <w:p>
            <w:pPr>
              <w:pStyle w:val="Compact"/>
              <w:jc w:val="left"/>
            </w:pPr>
            <w:r>
              <w:t xml:space="preserve">DXG (22.236)</w:t>
            </w:r>
          </w:p>
        </w:tc>
      </w:tr>
      <w:tr>
        <w:trPr>
          <w:cantSplit/>
        </w:trPr>
        <w:tc>
          <w:tcPr/>
          <w:p>
            <w:pPr>
              <w:pStyle w:val="Compact"/>
              <w:jc w:val="left"/>
            </w:pPr>
            <w:r>
              <w:t xml:space="preserve">2022</w:t>
            </w:r>
          </w:p>
        </w:tc>
        <w:tc>
          <w:tcPr/>
          <w:p>
            <w:pPr>
              <w:pStyle w:val="Compact"/>
              <w:jc w:val="left"/>
            </w:pPr>
            <w:r>
              <w:t xml:space="preserve">VHM (217.718)</w:t>
            </w:r>
          </w:p>
        </w:tc>
        <w:tc>
          <w:tcPr/>
          <w:p>
            <w:pPr>
              <w:pStyle w:val="Compact"/>
              <w:jc w:val="left"/>
            </w:pPr>
            <w:r>
              <w:t xml:space="preserve">NVL (27.691)</w:t>
            </w:r>
          </w:p>
        </w:tc>
        <w:tc>
          <w:tcPr/>
          <w:p>
            <w:pPr>
              <w:pStyle w:val="Compact"/>
              <w:jc w:val="left"/>
            </w:pPr>
            <w:r>
              <w:t xml:space="preserve">KDH (20.501)</w:t>
            </w:r>
          </w:p>
        </w:tc>
        <w:tc>
          <w:tcPr/>
          <w:p>
            <w:pPr>
              <w:pStyle w:val="Compact"/>
              <w:jc w:val="left"/>
            </w:pPr>
            <w:r>
              <w:t xml:space="preserve">VPI (13.213)</w:t>
            </w:r>
          </w:p>
        </w:tc>
        <w:tc>
          <w:tcPr/>
          <w:p>
            <w:pPr>
              <w:pStyle w:val="Compact"/>
              <w:jc w:val="left"/>
            </w:pPr>
            <w:r>
              <w:t xml:space="preserve">NLG (11.369)</w:t>
            </w:r>
          </w:p>
        </w:tc>
        <w:tc>
          <w:tcPr/>
          <w:p>
            <w:pPr>
              <w:pStyle w:val="Compact"/>
              <w:jc w:val="left"/>
            </w:pPr>
            <w:r>
              <w:t xml:space="preserve">DIG (9.880)</w:t>
            </w:r>
          </w:p>
        </w:tc>
      </w:tr>
      <w:tr>
        <w:trPr>
          <w:cantSplit/>
        </w:trPr>
        <w:tc>
          <w:tcPr/>
          <w:p>
            <w:pPr>
              <w:pStyle w:val="Compact"/>
              <w:jc w:val="left"/>
            </w:pPr>
            <w:r>
              <w:t xml:space="preserve">2023</w:t>
            </w:r>
          </w:p>
        </w:tc>
        <w:tc>
          <w:tcPr/>
          <w:p>
            <w:pPr>
              <w:pStyle w:val="Compact"/>
              <w:jc w:val="left"/>
            </w:pPr>
            <w:r>
              <w:t xml:space="preserve">VHM (193.769)</w:t>
            </w:r>
          </w:p>
        </w:tc>
        <w:tc>
          <w:tcPr/>
          <w:p>
            <w:pPr>
              <w:pStyle w:val="Compact"/>
              <w:jc w:val="left"/>
            </w:pPr>
            <w:r>
              <w:t xml:space="preserve">NVL (34.517)</w:t>
            </w:r>
          </w:p>
        </w:tc>
        <w:tc>
          <w:tcPr/>
          <w:p>
            <w:pPr>
              <w:pStyle w:val="Compact"/>
              <w:jc w:val="left"/>
            </w:pPr>
            <w:r>
              <w:t xml:space="preserve">KDH (29.135)</w:t>
            </w:r>
          </w:p>
        </w:tc>
        <w:tc>
          <w:tcPr/>
          <w:p>
            <w:pPr>
              <w:pStyle w:val="Compact"/>
              <w:jc w:val="left"/>
            </w:pPr>
            <w:r>
              <w:t xml:space="preserve">PDR (23.605)</w:t>
            </w:r>
          </w:p>
        </w:tc>
        <w:tc>
          <w:tcPr/>
          <w:p>
            <w:pPr>
              <w:pStyle w:val="Compact"/>
              <w:jc w:val="left"/>
            </w:pPr>
            <w:r>
              <w:t xml:space="preserve">DIG (20.491)</w:t>
            </w:r>
          </w:p>
        </w:tc>
        <w:tc>
          <w:tcPr/>
          <w:p>
            <w:pPr>
              <w:pStyle w:val="Compact"/>
              <w:jc w:val="left"/>
            </w:pPr>
            <w:r>
              <w:t xml:space="preserve">NLG (16.449)</w:t>
            </w:r>
          </w:p>
        </w:tc>
      </w:tr>
      <w:tr>
        <w:trPr>
          <w:cantSplit/>
        </w:trPr>
        <w:tc>
          <w:tcPr/>
          <w:p>
            <w:pPr>
              <w:pStyle w:val="Compact"/>
              <w:jc w:val="left"/>
            </w:pPr>
            <w:r>
              <w:t xml:space="preserve">2024</w:t>
            </w:r>
          </w:p>
        </w:tc>
        <w:tc>
          <w:tcPr/>
          <w:p>
            <w:pPr>
              <w:pStyle w:val="Compact"/>
              <w:jc w:val="left"/>
            </w:pPr>
            <w:r>
              <w:t xml:space="preserve">VHM (236.176)</w:t>
            </w:r>
          </w:p>
        </w:tc>
        <w:tc>
          <w:tcPr/>
          <w:p>
            <w:pPr>
              <w:pStyle w:val="Compact"/>
              <w:jc w:val="left"/>
            </w:pPr>
            <w:r>
              <w:t xml:space="preserve">KDH (27.351)</w:t>
            </w:r>
          </w:p>
        </w:tc>
        <w:tc>
          <w:tcPr/>
          <w:p>
            <w:pPr>
              <w:pStyle w:val="Compact"/>
              <w:jc w:val="left"/>
            </w:pPr>
            <w:r>
              <w:t xml:space="preserve">VPI (18.627)</w:t>
            </w:r>
          </w:p>
        </w:tc>
        <w:tc>
          <w:tcPr/>
          <w:p>
            <w:pPr>
              <w:pStyle w:val="Compact"/>
              <w:jc w:val="left"/>
            </w:pPr>
            <w:r>
              <w:t xml:space="preserve">NVL (18.038)</w:t>
            </w:r>
          </w:p>
        </w:tc>
        <w:tc>
          <w:tcPr/>
          <w:p>
            <w:pPr>
              <w:pStyle w:val="Compact"/>
              <w:jc w:val="left"/>
            </w:pPr>
            <w:r>
              <w:t xml:space="preserve">PDR (14.407)</w:t>
            </w:r>
          </w:p>
        </w:tc>
        <w:tc>
          <w:tcPr/>
          <w:p>
            <w:pPr>
              <w:pStyle w:val="Compact"/>
              <w:jc w:val="left"/>
            </w:pPr>
            <w:r>
              <w:t xml:space="preserve">DXG (12.192)</w:t>
            </w:r>
          </w:p>
        </w:tc>
      </w:tr>
      <w:tr>
        <w:trPr>
          <w:cantSplit/>
        </w:trPr>
        <w:tc>
          <w:tcPr/>
          <w:p>
            <w:pPr>
              <w:pStyle w:val="Compact"/>
              <w:jc w:val="left"/>
            </w:pPr>
            <w:r>
              <w:t xml:space="preserve">2025</w:t>
            </w:r>
          </w:p>
        </w:tc>
        <w:tc>
          <w:tcPr/>
          <w:p>
            <w:pPr>
              <w:pStyle w:val="Compact"/>
              <w:jc w:val="left"/>
            </w:pPr>
            <w:r>
              <w:t xml:space="preserve">VHM (562.715)</w:t>
            </w:r>
          </w:p>
        </w:tc>
        <w:tc>
          <w:tcPr/>
          <w:p>
            <w:pPr>
              <w:pStyle w:val="Compact"/>
              <w:jc w:val="left"/>
            </w:pPr>
            <w:r>
              <w:t xml:space="preserve">NVL (39.104)</w:t>
            </w:r>
          </w:p>
        </w:tc>
        <w:tc>
          <w:tcPr/>
          <w:p>
            <w:pPr>
              <w:pStyle w:val="Compact"/>
              <w:jc w:val="left"/>
            </w:pPr>
            <w:r>
              <w:t xml:space="preserve">KDH (29.795)</w:t>
            </w:r>
          </w:p>
        </w:tc>
        <w:tc>
          <w:tcPr/>
          <w:p>
            <w:pPr>
              <w:pStyle w:val="Compact"/>
              <w:jc w:val="left"/>
            </w:pPr>
            <w:r>
              <w:t xml:space="preserve">VPI (18.819)</w:t>
            </w:r>
          </w:p>
        </w:tc>
        <w:tc>
          <w:tcPr/>
          <w:p>
            <w:pPr>
              <w:pStyle w:val="Compact"/>
              <w:jc w:val="left"/>
            </w:pPr>
            <w:r>
              <w:t xml:space="preserve">DXG (16.964)</w:t>
            </w:r>
          </w:p>
        </w:tc>
        <w:tc>
          <w:tcPr/>
          <w:p>
            <w:pPr>
              <w:pStyle w:val="Compact"/>
              <w:jc w:val="left"/>
            </w:pPr>
            <w:r>
              <w:t xml:space="preserve">PDR (16.414)</w:t>
            </w:r>
          </w:p>
        </w:tc>
      </w:tr>
    </w:tbl>
    <w:p>
      <w:pPr>
        <w:pStyle w:val="BodyText"/>
        <w:spacing w:before="200"/>
      </w:pPr>
      <w:r>
        <w:rPr>
          <w:iCs/>
          <w:i/>
        </w:rPr>
        <w:t xml:space="preserve">Ghi chú: vốn hóa cuối năm 2014–2017 là ước lượng = vốn hóa Q4/2018 × giá điều chỉnh (12/N) / giá điều chỉnh (12/2018), bỏ qua phát hành thêm; từ 2018 lấy từ Vietcap IQ.</w:t>
      </w:r>
    </w:p>
    <w:bookmarkEnd w:id="174"/>
    <w:bookmarkStart w:id="175" w:name="X4ed84656b35c62ae851b76001059b7b196cf446"/>
    <w:p>
      <w:pPr>
        <w:pStyle w:val="Heading2"/>
      </w:pPr>
      <w:r>
        <w:t xml:space="preserve">Phụ lục C. Kết quả kiểm định ngược đầy đủ theo 9 kịch bản</w:t>
      </w:r>
    </w:p>
    <w:p>
      <w:pPr>
        <w:pStyle w:val="FirstParagraph"/>
      </w:pPr>
      <w:r>
        <w:t xml:space="preserve">Giai đoạn kiểm định 02/2018–07/2026 (102 tháng), tái cân bằng hàng tháng, sau chi phí giao dịch. LN năm hóa = lợi nhuận bình quân năm hóa; biến động = độ lệch chuẩn năm hóa; Sharpe tính trên lợi nhuận vượt lãi tiền gửi 12 tháng; MDD = mức sụt giảm lớn nhất; turnover = tổng thay đổi tỷ trọng tuyệt đối bình quân mỗi tháng; tỷ trọng rủi ro TB = tỷ trọng bình quân của ETF, rổ BĐS và vàng.</w:t>
      </w:r>
    </w:p>
    <w:p>
      <w:pPr>
        <w:pStyle w:val="TableCaption"/>
      </w:pPr>
      <w:r>
        <w:t xml:space="preserve">Bảng C.1. Chỉ tiêu hiệu quả của 7 phương pháp × 9 kịch bản (63 danh mục)</w:t>
      </w:r>
    </w:p>
    <w:tbl>
      <w:tblPr>
        <w:tblStyle w:val="Table"/>
        <w:tblW w:type="pct" w:w="5000"/>
        <w:jc w:val="center"/>
        <w:tblCellMar>
          <w:left w:w="45" w:type="dxa"/>
          <w:right w:w="45" w:type="dxa"/>
        </w:tblCellMar>
        <w:tblLook w:firstRow="1" w:lastRow="0" w:firstColumn="0" w:lastColumn="0" w:noHBand="0" w:noVBand="0" w:val="0020"/>
        <w:tblCaption w:val="Bảng C.1. Chỉ tiêu hiệu quả của 7 phương pháp × 9 kịch bản (63 danh mục)"/>
      </w:tblPr>
      <w:tblGrid>
        <w:gridCol w:w="931"/>
        <w:gridCol w:w="698"/>
        <w:gridCol w:w="1397"/>
        <w:gridCol w:w="698"/>
        <w:gridCol w:w="698"/>
        <w:gridCol w:w="776"/>
        <w:gridCol w:w="776"/>
        <w:gridCol w:w="931"/>
        <w:gridCol w:w="1009"/>
      </w:tblGrid>
      <w:tr>
        <w:trPr>
          <w:tblHeader w:val="true"/>
        </w:trPr>
        <w:tc>
          <w:tcPr/>
          <w:p>
            <w:pPr>
              <w:pStyle w:val="CompactSmall"/>
              <w:jc w:val="center"/>
            </w:pPr>
            <w:r>
              <w:rPr>
                <w:b/>
              </w:rPr>
              <w:t xml:space="preserve">Khẩu vị</w:t>
            </w:r>
          </w:p>
        </w:tc>
        <w:tc>
          <w:tcPr/>
          <w:p>
            <w:pPr>
              <w:pStyle w:val="CompactSmall"/>
              <w:jc w:val="center"/>
            </w:pPr>
            <w:r>
              <w:rPr>
                <w:b/>
              </w:rPr>
              <w:t xml:space="preserve">Khung</w:t>
            </w:r>
          </w:p>
        </w:tc>
        <w:tc>
          <w:tcPr/>
          <w:p>
            <w:pPr>
              <w:pStyle w:val="CompactSmall"/>
              <w:jc w:val="center"/>
            </w:pPr>
            <w:r>
              <w:rPr>
                <w:b/>
              </w:rPr>
              <w:t xml:space="preserve">Phương pháp</w:t>
            </w:r>
          </w:p>
        </w:tc>
        <w:tc>
          <w:tcPr/>
          <w:p>
            <w:pPr>
              <w:pStyle w:val="CompactSmall"/>
              <w:jc w:val="center"/>
            </w:pPr>
            <w:r>
              <w:rPr>
                <w:b/>
              </w:rPr>
              <w:t xml:space="preserve">LN năm hóa</w:t>
            </w:r>
          </w:p>
        </w:tc>
        <w:tc>
          <w:tcPr/>
          <w:p>
            <w:pPr>
              <w:pStyle w:val="CompactSmall"/>
              <w:jc w:val="center"/>
            </w:pPr>
            <w:r>
              <w:rPr>
                <w:b/>
              </w:rPr>
              <w:t xml:space="preserve">Biến động</w:t>
            </w:r>
          </w:p>
        </w:tc>
        <w:tc>
          <w:tcPr/>
          <w:p>
            <w:pPr>
              <w:pStyle w:val="CompactSmall"/>
              <w:jc w:val="center"/>
            </w:pPr>
            <w:r>
              <w:rPr>
                <w:b/>
              </w:rPr>
              <w:t xml:space="preserve">Sharpe</w:t>
            </w:r>
          </w:p>
        </w:tc>
        <w:tc>
          <w:tcPr/>
          <w:p>
            <w:pPr>
              <w:pStyle w:val="CompactSmall"/>
              <w:jc w:val="center"/>
            </w:pPr>
            <w:r>
              <w:rPr>
                <w:b/>
              </w:rPr>
              <w:t xml:space="preserve">MDD</w:t>
            </w:r>
          </w:p>
        </w:tc>
        <w:tc>
          <w:tcPr/>
          <w:p>
            <w:pPr>
              <w:pStyle w:val="CompactSmall"/>
              <w:jc w:val="center"/>
            </w:pPr>
            <w:r>
              <w:rPr>
                <w:b/>
              </w:rPr>
              <w:t xml:space="preserve">Turnover</w:t>
            </w:r>
          </w:p>
        </w:tc>
        <w:tc>
          <w:tcPr/>
          <w:p>
            <w:pPr>
              <w:pStyle w:val="CompactSmall"/>
              <w:jc w:val="center"/>
            </w:pPr>
            <w:r>
              <w:rPr>
                <w:b/>
              </w:rPr>
              <w:t xml:space="preserve">Tỷ trọng rủi ro TB</w:t>
            </w:r>
          </w:p>
        </w:tc>
      </w:tr>
      <w:tr>
        <w:trPr>
          <w:cantSplit/>
        </w:trPr>
        <w:tc>
          <w:tcPr/>
          <w:p>
            <w:pPr>
              <w:pStyle w:val="CompactSmall"/>
              <w:jc w:val="left"/>
            </w:pPr>
            <w:r>
              <w:t xml:space="preserve">Thận trọng</w:t>
            </w:r>
          </w:p>
        </w:tc>
        <w:tc>
          <w:tcPr/>
          <w:p>
            <w:pPr>
              <w:pStyle w:val="CompactSmall"/>
              <w:jc w:val="left"/>
            </w:pPr>
            <w:r>
              <w:t xml:space="preserve">Ngắn</w:t>
            </w:r>
          </w:p>
        </w:tc>
        <w:tc>
          <w:tcPr/>
          <w:p>
            <w:pPr>
              <w:pStyle w:val="CompactSmall"/>
              <w:jc w:val="left"/>
            </w:pPr>
            <w:r>
              <w:t xml:space="preserve">EqualWeight</w:t>
            </w:r>
          </w:p>
        </w:tc>
        <w:tc>
          <w:tcPr/>
          <w:p>
            <w:pPr>
              <w:pStyle w:val="CompactSmall"/>
              <w:jc w:val="left"/>
            </w:pPr>
            <w:r>
              <w:t xml:space="preserve">8,5%</w:t>
            </w:r>
          </w:p>
        </w:tc>
        <w:tc>
          <w:tcPr/>
          <w:p>
            <w:pPr>
              <w:pStyle w:val="CompactSmall"/>
              <w:jc w:val="left"/>
            </w:pPr>
            <w:r>
              <w:t xml:space="preserve">8,1%</w:t>
            </w:r>
          </w:p>
        </w:tc>
        <w:tc>
          <w:tcPr/>
          <w:p>
            <w:pPr>
              <w:pStyle w:val="CompactSmall"/>
              <w:jc w:val="left"/>
            </w:pPr>
            <w:r>
              <w:t xml:space="preserve">0,33</w:t>
            </w:r>
          </w:p>
        </w:tc>
        <w:tc>
          <w:tcPr/>
          <w:p>
            <w:pPr>
              <w:pStyle w:val="CompactSmall"/>
              <w:jc w:val="left"/>
            </w:pPr>
            <w:r>
              <w:t xml:space="preserve">−19,4%</w:t>
            </w:r>
          </w:p>
        </w:tc>
        <w:tc>
          <w:tcPr/>
          <w:p>
            <w:pPr>
              <w:pStyle w:val="CompactSmall"/>
              <w:jc w:val="left"/>
            </w:pPr>
            <w:r>
              <w:t xml:space="preserve">2,7%</w:t>
            </w:r>
          </w:p>
        </w:tc>
        <w:tc>
          <w:tcPr/>
          <w:p>
            <w:pPr>
              <w:pStyle w:val="CompactSmall"/>
              <w:jc w:val="left"/>
            </w:pPr>
            <w:r>
              <w:t xml:space="preserve">30,0%</w:t>
            </w:r>
          </w:p>
        </w:tc>
      </w:tr>
      <w:tr>
        <w:trPr>
          <w:cantSplit/>
        </w:trPr>
        <w:tc>
          <w:tcPr/>
          <w:p>
            <w:pPr>
              <w:pStyle w:val="CompactSmall"/>
              <w:jc w:val="left"/>
            </w:pPr>
            <w:r>
              <w:t xml:space="preserve">Thận trọng</w:t>
            </w:r>
          </w:p>
        </w:tc>
        <w:tc>
          <w:tcPr/>
          <w:p>
            <w:pPr>
              <w:pStyle w:val="CompactSmall"/>
              <w:jc w:val="left"/>
            </w:pPr>
            <w:r>
              <w:t xml:space="preserve">Ngắn</w:t>
            </w:r>
          </w:p>
        </w:tc>
        <w:tc>
          <w:tcPr/>
          <w:p>
            <w:pPr>
              <w:pStyle w:val="CompactSmall"/>
              <w:jc w:val="left"/>
            </w:pPr>
            <w:r>
              <w:t xml:space="preserve">Markowitz</w:t>
            </w:r>
          </w:p>
        </w:tc>
        <w:tc>
          <w:tcPr/>
          <w:p>
            <w:pPr>
              <w:pStyle w:val="CompactSmall"/>
              <w:jc w:val="left"/>
            </w:pPr>
            <w:r>
              <w:t xml:space="preserve">9,4%</w:t>
            </w:r>
          </w:p>
        </w:tc>
        <w:tc>
          <w:tcPr/>
          <w:p>
            <w:pPr>
              <w:pStyle w:val="CompactSmall"/>
              <w:jc w:val="left"/>
            </w:pPr>
            <w:r>
              <w:t xml:space="preserve">8,2%</w:t>
            </w:r>
          </w:p>
        </w:tc>
        <w:tc>
          <w:tcPr/>
          <w:p>
            <w:pPr>
              <w:pStyle w:val="CompactSmall"/>
              <w:jc w:val="left"/>
            </w:pPr>
            <w:r>
              <w:t xml:space="preserve">0,43</w:t>
            </w:r>
          </w:p>
        </w:tc>
        <w:tc>
          <w:tcPr/>
          <w:p>
            <w:pPr>
              <w:pStyle w:val="CompactSmall"/>
              <w:jc w:val="left"/>
            </w:pPr>
            <w:r>
              <w:t xml:space="preserve">−16,9%</w:t>
            </w:r>
          </w:p>
        </w:tc>
        <w:tc>
          <w:tcPr/>
          <w:p>
            <w:pPr>
              <w:pStyle w:val="CompactSmall"/>
              <w:jc w:val="left"/>
            </w:pPr>
            <w:r>
              <w:t xml:space="preserve">0,8%</w:t>
            </w:r>
          </w:p>
        </w:tc>
        <w:tc>
          <w:tcPr/>
          <w:p>
            <w:pPr>
              <w:pStyle w:val="CompactSmall"/>
              <w:jc w:val="left"/>
            </w:pPr>
            <w:r>
              <w:t xml:space="preserve">27,4%</w:t>
            </w:r>
          </w:p>
        </w:tc>
      </w:tr>
      <w:tr>
        <w:trPr>
          <w:cantSplit/>
        </w:trPr>
        <w:tc>
          <w:tcPr/>
          <w:p>
            <w:pPr>
              <w:pStyle w:val="CompactSmall"/>
              <w:jc w:val="left"/>
            </w:pPr>
            <w:r>
              <w:t xml:space="preserve">Thận trọng</w:t>
            </w:r>
          </w:p>
        </w:tc>
        <w:tc>
          <w:tcPr/>
          <w:p>
            <w:pPr>
              <w:pStyle w:val="CompactSmall"/>
              <w:jc w:val="left"/>
            </w:pPr>
            <w:r>
              <w:t xml:space="preserve">Ngắn</w:t>
            </w:r>
          </w:p>
        </w:tc>
        <w:tc>
          <w:tcPr/>
          <w:p>
            <w:pPr>
              <w:pStyle w:val="CompactSmall"/>
              <w:jc w:val="left"/>
            </w:pPr>
            <w:r>
              <w:t xml:space="preserve">RiskParity</w:t>
            </w:r>
          </w:p>
        </w:tc>
        <w:tc>
          <w:tcPr/>
          <w:p>
            <w:pPr>
              <w:pStyle w:val="CompactSmall"/>
              <w:jc w:val="left"/>
            </w:pPr>
            <w:r>
              <w:t xml:space="preserve">7,1%</w:t>
            </w:r>
          </w:p>
        </w:tc>
        <w:tc>
          <w:tcPr/>
          <w:p>
            <w:pPr>
              <w:pStyle w:val="CompactSmall"/>
              <w:jc w:val="left"/>
            </w:pPr>
            <w:r>
              <w:t xml:space="preserve">3,9%</w:t>
            </w:r>
          </w:p>
        </w:tc>
        <w:tc>
          <w:tcPr/>
          <w:p>
            <w:pPr>
              <w:pStyle w:val="CompactSmall"/>
              <w:jc w:val="left"/>
            </w:pPr>
            <w:r>
              <w:t xml:space="preserve">0,29</w:t>
            </w:r>
          </w:p>
        </w:tc>
        <w:tc>
          <w:tcPr/>
          <w:p>
            <w:pPr>
              <w:pStyle w:val="CompactSmall"/>
              <w:jc w:val="left"/>
            </w:pPr>
            <w:r>
              <w:t xml:space="preserve">−4,7%</w:t>
            </w:r>
          </w:p>
        </w:tc>
        <w:tc>
          <w:tcPr/>
          <w:p>
            <w:pPr>
              <w:pStyle w:val="CompactSmall"/>
              <w:jc w:val="left"/>
            </w:pPr>
            <w:r>
              <w:t xml:space="preserve">2,3%</w:t>
            </w:r>
          </w:p>
        </w:tc>
        <w:tc>
          <w:tcPr/>
          <w:p>
            <w:pPr>
              <w:pStyle w:val="CompactSmall"/>
              <w:jc w:val="left"/>
            </w:pPr>
            <w:r>
              <w:t xml:space="preserve">13,8%</w:t>
            </w:r>
          </w:p>
        </w:tc>
      </w:tr>
      <w:tr>
        <w:trPr>
          <w:cantSplit/>
        </w:trPr>
        <w:tc>
          <w:tcPr/>
          <w:p>
            <w:pPr>
              <w:pStyle w:val="CompactSmall"/>
              <w:jc w:val="left"/>
            </w:pPr>
            <w:r>
              <w:t xml:space="preserve">Thận trọng</w:t>
            </w:r>
          </w:p>
        </w:tc>
        <w:tc>
          <w:tcPr/>
          <w:p>
            <w:pPr>
              <w:pStyle w:val="CompactSmall"/>
              <w:jc w:val="left"/>
            </w:pPr>
            <w:r>
              <w:t xml:space="preserve">Ngắn</w:t>
            </w:r>
          </w:p>
        </w:tc>
        <w:tc>
          <w:tcPr/>
          <w:p>
            <w:pPr>
              <w:pStyle w:val="CompactSmall"/>
              <w:jc w:val="left"/>
            </w:pPr>
            <w:r>
              <w:t xml:space="preserve">HRP</w:t>
            </w:r>
          </w:p>
        </w:tc>
        <w:tc>
          <w:tcPr/>
          <w:p>
            <w:pPr>
              <w:pStyle w:val="CompactSmall"/>
              <w:jc w:val="left"/>
            </w:pPr>
            <w:r>
              <w:t xml:space="preserve">6,2%</w:t>
            </w:r>
          </w:p>
        </w:tc>
        <w:tc>
          <w:tcPr/>
          <w:p>
            <w:pPr>
              <w:pStyle w:val="CompactSmall"/>
              <w:jc w:val="left"/>
            </w:pPr>
            <w:r>
              <w:t xml:space="preserve">2,5%</w:t>
            </w:r>
          </w:p>
        </w:tc>
        <w:tc>
          <w:tcPr/>
          <w:p>
            <w:pPr>
              <w:pStyle w:val="CompactSmall"/>
              <w:jc w:val="left"/>
            </w:pPr>
            <w:r>
              <w:t xml:space="preserve">0,08</w:t>
            </w:r>
          </w:p>
        </w:tc>
        <w:tc>
          <w:tcPr/>
          <w:p>
            <w:pPr>
              <w:pStyle w:val="CompactSmall"/>
              <w:jc w:val="left"/>
            </w:pPr>
            <w:r>
              <w:t xml:space="preserve">−3,8%</w:t>
            </w:r>
          </w:p>
        </w:tc>
        <w:tc>
          <w:tcPr/>
          <w:p>
            <w:pPr>
              <w:pStyle w:val="CompactSmall"/>
              <w:jc w:val="left"/>
            </w:pPr>
            <w:r>
              <w:t xml:space="preserve">1,5%</w:t>
            </w:r>
          </w:p>
        </w:tc>
        <w:tc>
          <w:tcPr/>
          <w:p>
            <w:pPr>
              <w:pStyle w:val="CompactSmall"/>
              <w:jc w:val="left"/>
            </w:pPr>
            <w:r>
              <w:t xml:space="preserve">10,1%</w:t>
            </w:r>
          </w:p>
        </w:tc>
      </w:tr>
      <w:tr>
        <w:trPr>
          <w:cantSplit/>
        </w:trPr>
        <w:tc>
          <w:tcPr/>
          <w:p>
            <w:pPr>
              <w:pStyle w:val="CompactSmall"/>
              <w:jc w:val="left"/>
            </w:pPr>
            <w:r>
              <w:t xml:space="preserve">Thận trọng</w:t>
            </w:r>
          </w:p>
        </w:tc>
        <w:tc>
          <w:tcPr/>
          <w:p>
            <w:pPr>
              <w:pStyle w:val="CompactSmall"/>
              <w:jc w:val="left"/>
            </w:pPr>
            <w:r>
              <w:t xml:space="preserve">Ngắn</w:t>
            </w:r>
          </w:p>
        </w:tc>
        <w:tc>
          <w:tcPr/>
          <w:p>
            <w:pPr>
              <w:pStyle w:val="CompactSmall"/>
              <w:jc w:val="left"/>
            </w:pPr>
            <w:r>
              <w:t xml:space="preserve">BlackLitterman</w:t>
            </w:r>
          </w:p>
        </w:tc>
        <w:tc>
          <w:tcPr/>
          <w:p>
            <w:pPr>
              <w:pStyle w:val="CompactSmall"/>
              <w:jc w:val="left"/>
            </w:pPr>
            <w:r>
              <w:t xml:space="preserve">11,3%</w:t>
            </w:r>
          </w:p>
        </w:tc>
        <w:tc>
          <w:tcPr/>
          <w:p>
            <w:pPr>
              <w:pStyle w:val="CompactSmall"/>
              <w:jc w:val="left"/>
            </w:pPr>
            <w:r>
              <w:t xml:space="preserve">9,2%</w:t>
            </w:r>
          </w:p>
        </w:tc>
        <w:tc>
          <w:tcPr/>
          <w:p>
            <w:pPr>
              <w:pStyle w:val="CompactSmall"/>
              <w:jc w:val="left"/>
            </w:pPr>
            <w:r>
              <w:t xml:space="preserve">0,57</w:t>
            </w:r>
          </w:p>
        </w:tc>
        <w:tc>
          <w:tcPr/>
          <w:p>
            <w:pPr>
              <w:pStyle w:val="CompactSmall"/>
              <w:jc w:val="left"/>
            </w:pPr>
            <w:r>
              <w:t xml:space="preserve">−11,9%</w:t>
            </w:r>
          </w:p>
        </w:tc>
        <w:tc>
          <w:tcPr/>
          <w:p>
            <w:pPr>
              <w:pStyle w:val="CompactSmall"/>
              <w:jc w:val="left"/>
            </w:pPr>
            <w:r>
              <w:t xml:space="preserve">7,5%</w:t>
            </w:r>
          </w:p>
        </w:tc>
        <w:tc>
          <w:tcPr/>
          <w:p>
            <w:pPr>
              <w:pStyle w:val="CompactSmall"/>
              <w:jc w:val="left"/>
            </w:pPr>
            <w:r>
              <w:t xml:space="preserve">22,4%</w:t>
            </w:r>
          </w:p>
        </w:tc>
      </w:tr>
      <w:tr>
        <w:trPr>
          <w:cantSplit/>
        </w:trPr>
        <w:tc>
          <w:tcPr/>
          <w:p>
            <w:pPr>
              <w:pStyle w:val="CompactSmall"/>
              <w:jc w:val="left"/>
            </w:pPr>
            <w:r>
              <w:t xml:space="preserve">Thận trọng</w:t>
            </w:r>
          </w:p>
        </w:tc>
        <w:tc>
          <w:tcPr/>
          <w:p>
            <w:pPr>
              <w:pStyle w:val="CompactSmall"/>
              <w:jc w:val="left"/>
            </w:pPr>
            <w:r>
              <w:t xml:space="preserve">Ngắn</w:t>
            </w:r>
          </w:p>
        </w:tc>
        <w:tc>
          <w:tcPr/>
          <w:p>
            <w:pPr>
              <w:pStyle w:val="CompactSmall"/>
              <w:jc w:val="left"/>
            </w:pPr>
            <w:r>
              <w:t xml:space="preserve">MLP_MVO</w:t>
            </w:r>
          </w:p>
        </w:tc>
        <w:tc>
          <w:tcPr/>
          <w:p>
            <w:pPr>
              <w:pStyle w:val="CompactSmall"/>
              <w:jc w:val="left"/>
            </w:pPr>
            <w:r>
              <w:t xml:space="preserve">7,8%</w:t>
            </w:r>
          </w:p>
        </w:tc>
        <w:tc>
          <w:tcPr/>
          <w:p>
            <w:pPr>
              <w:pStyle w:val="CompactSmall"/>
              <w:jc w:val="left"/>
            </w:pPr>
            <w:r>
              <w:t xml:space="preserve">8,7%</w:t>
            </w:r>
          </w:p>
        </w:tc>
        <w:tc>
          <w:tcPr/>
          <w:p>
            <w:pPr>
              <w:pStyle w:val="CompactSmall"/>
              <w:jc w:val="left"/>
            </w:pPr>
            <w:r>
              <w:t xml:space="preserve">0,24</w:t>
            </w:r>
          </w:p>
        </w:tc>
        <w:tc>
          <w:tcPr/>
          <w:p>
            <w:pPr>
              <w:pStyle w:val="CompactSmall"/>
              <w:jc w:val="left"/>
            </w:pPr>
            <w:r>
              <w:t xml:space="preserve">−17,0%</w:t>
            </w:r>
          </w:p>
        </w:tc>
        <w:tc>
          <w:tcPr/>
          <w:p>
            <w:pPr>
              <w:pStyle w:val="CompactSmall"/>
              <w:jc w:val="left"/>
            </w:pPr>
            <w:r>
              <w:t xml:space="preserve">19,7%</w:t>
            </w:r>
          </w:p>
        </w:tc>
        <w:tc>
          <w:tcPr/>
          <w:p>
            <w:pPr>
              <w:pStyle w:val="CompactSmall"/>
              <w:jc w:val="left"/>
            </w:pPr>
            <w:r>
              <w:t xml:space="preserve">24,3%</w:t>
            </w:r>
          </w:p>
        </w:tc>
      </w:tr>
      <w:tr>
        <w:trPr>
          <w:cantSplit/>
        </w:trPr>
        <w:tc>
          <w:tcPr/>
          <w:p>
            <w:pPr>
              <w:pStyle w:val="CompactSmall"/>
              <w:jc w:val="left"/>
            </w:pPr>
            <w:r>
              <w:t xml:space="preserve">Thận trọng</w:t>
            </w:r>
          </w:p>
        </w:tc>
        <w:tc>
          <w:tcPr/>
          <w:p>
            <w:pPr>
              <w:pStyle w:val="CompactSmall"/>
              <w:jc w:val="left"/>
            </w:pPr>
            <w:r>
              <w:t xml:space="preserve">Ngắn</w:t>
            </w:r>
          </w:p>
        </w:tc>
        <w:tc>
          <w:tcPr/>
          <w:p>
            <w:pPr>
              <w:pStyle w:val="CompactSmall"/>
              <w:jc w:val="left"/>
            </w:pPr>
            <w:r>
              <w:t xml:space="preserve">RL</w:t>
            </w:r>
          </w:p>
        </w:tc>
        <w:tc>
          <w:tcPr/>
          <w:p>
            <w:pPr>
              <w:pStyle w:val="CompactSmall"/>
              <w:jc w:val="left"/>
            </w:pPr>
            <w:r>
              <w:t xml:space="preserve">8,1%</w:t>
            </w:r>
          </w:p>
        </w:tc>
        <w:tc>
          <w:tcPr/>
          <w:p>
            <w:pPr>
              <w:pStyle w:val="CompactSmall"/>
              <w:jc w:val="left"/>
            </w:pPr>
            <w:r>
              <w:t xml:space="preserve">6,8%</w:t>
            </w:r>
          </w:p>
        </w:tc>
        <w:tc>
          <w:tcPr/>
          <w:p>
            <w:pPr>
              <w:pStyle w:val="CompactSmall"/>
              <w:jc w:val="left"/>
            </w:pPr>
            <w:r>
              <w:t xml:space="preserve">0,32</w:t>
            </w:r>
          </w:p>
        </w:tc>
        <w:tc>
          <w:tcPr/>
          <w:p>
            <w:pPr>
              <w:pStyle w:val="CompactSmall"/>
              <w:jc w:val="left"/>
            </w:pPr>
            <w:r>
              <w:t xml:space="preserve">−12,2%</w:t>
            </w:r>
          </w:p>
        </w:tc>
        <w:tc>
          <w:tcPr/>
          <w:p>
            <w:pPr>
              <w:pStyle w:val="CompactSmall"/>
              <w:jc w:val="left"/>
            </w:pPr>
            <w:r>
              <w:t xml:space="preserve">12,8%</w:t>
            </w:r>
          </w:p>
        </w:tc>
        <w:tc>
          <w:tcPr/>
          <w:p>
            <w:pPr>
              <w:pStyle w:val="CompactSmall"/>
              <w:jc w:val="left"/>
            </w:pPr>
            <w:r>
              <w:t xml:space="preserve">23,5%</w:t>
            </w:r>
          </w:p>
        </w:tc>
      </w:tr>
      <w:tr>
        <w:trPr>
          <w:cantSplit/>
        </w:trPr>
        <w:tc>
          <w:tcPr/>
          <w:p>
            <w:pPr>
              <w:pStyle w:val="CompactSmall"/>
              <w:jc w:val="left"/>
            </w:pPr>
            <w:r>
              <w:t xml:space="preserve">Thận trọng</w:t>
            </w:r>
          </w:p>
        </w:tc>
        <w:tc>
          <w:tcPr/>
          <w:p>
            <w:pPr>
              <w:pStyle w:val="CompactSmall"/>
              <w:jc w:val="left"/>
            </w:pPr>
            <w:r>
              <w:t xml:space="preserve">Trung</w:t>
            </w:r>
          </w:p>
        </w:tc>
        <w:tc>
          <w:tcPr/>
          <w:p>
            <w:pPr>
              <w:pStyle w:val="CompactSmall"/>
              <w:jc w:val="left"/>
            </w:pPr>
            <w:r>
              <w:t xml:space="preserve">EqualWeight</w:t>
            </w:r>
          </w:p>
        </w:tc>
        <w:tc>
          <w:tcPr/>
          <w:p>
            <w:pPr>
              <w:pStyle w:val="CompactSmall"/>
              <w:jc w:val="left"/>
            </w:pPr>
            <w:r>
              <w:t xml:space="preserve">8,8%</w:t>
            </w:r>
          </w:p>
        </w:tc>
        <w:tc>
          <w:tcPr/>
          <w:p>
            <w:pPr>
              <w:pStyle w:val="CompactSmall"/>
              <w:jc w:val="left"/>
            </w:pPr>
            <w:r>
              <w:t xml:space="preserve">8,0%</w:t>
            </w:r>
          </w:p>
        </w:tc>
        <w:tc>
          <w:tcPr/>
          <w:p>
            <w:pPr>
              <w:pStyle w:val="CompactSmall"/>
              <w:jc w:val="left"/>
            </w:pPr>
            <w:r>
              <w:t xml:space="preserve">0,37</w:t>
            </w:r>
          </w:p>
        </w:tc>
        <w:tc>
          <w:tcPr/>
          <w:p>
            <w:pPr>
              <w:pStyle w:val="CompactSmall"/>
              <w:jc w:val="left"/>
            </w:pPr>
            <w:r>
              <w:t xml:space="preserve">−18,6%</w:t>
            </w:r>
          </w:p>
        </w:tc>
        <w:tc>
          <w:tcPr/>
          <w:p>
            <w:pPr>
              <w:pStyle w:val="CompactSmall"/>
              <w:jc w:val="left"/>
            </w:pPr>
            <w:r>
              <w:t xml:space="preserve">1,8%</w:t>
            </w:r>
          </w:p>
        </w:tc>
        <w:tc>
          <w:tcPr/>
          <w:p>
            <w:pPr>
              <w:pStyle w:val="CompactSmall"/>
              <w:jc w:val="left"/>
            </w:pPr>
            <w:r>
              <w:t xml:space="preserve">30,1%</w:t>
            </w:r>
          </w:p>
        </w:tc>
      </w:tr>
      <w:tr>
        <w:trPr>
          <w:cantSplit/>
        </w:trPr>
        <w:tc>
          <w:tcPr/>
          <w:p>
            <w:pPr>
              <w:pStyle w:val="CompactSmall"/>
              <w:jc w:val="left"/>
            </w:pPr>
            <w:r>
              <w:t xml:space="preserve">Thận trọng</w:t>
            </w:r>
          </w:p>
        </w:tc>
        <w:tc>
          <w:tcPr/>
          <w:p>
            <w:pPr>
              <w:pStyle w:val="CompactSmall"/>
              <w:jc w:val="left"/>
            </w:pPr>
            <w:r>
              <w:t xml:space="preserve">Trung</w:t>
            </w:r>
          </w:p>
        </w:tc>
        <w:tc>
          <w:tcPr/>
          <w:p>
            <w:pPr>
              <w:pStyle w:val="CompactSmall"/>
              <w:jc w:val="left"/>
            </w:pPr>
            <w:r>
              <w:t xml:space="preserve">Markowitz</w:t>
            </w:r>
          </w:p>
        </w:tc>
        <w:tc>
          <w:tcPr/>
          <w:p>
            <w:pPr>
              <w:pStyle w:val="CompactSmall"/>
              <w:jc w:val="left"/>
            </w:pPr>
            <w:r>
              <w:t xml:space="preserve">9,5%</w:t>
            </w:r>
          </w:p>
        </w:tc>
        <w:tc>
          <w:tcPr/>
          <w:p>
            <w:pPr>
              <w:pStyle w:val="CompactSmall"/>
              <w:jc w:val="left"/>
            </w:pPr>
            <w:r>
              <w:t xml:space="preserve">7,7%</w:t>
            </w:r>
          </w:p>
        </w:tc>
        <w:tc>
          <w:tcPr/>
          <w:p>
            <w:pPr>
              <w:pStyle w:val="CompactSmall"/>
              <w:jc w:val="left"/>
            </w:pPr>
            <w:r>
              <w:t xml:space="preserve">0,45</w:t>
            </w:r>
          </w:p>
        </w:tc>
        <w:tc>
          <w:tcPr/>
          <w:p>
            <w:pPr>
              <w:pStyle w:val="CompactSmall"/>
              <w:jc w:val="left"/>
            </w:pPr>
            <w:r>
              <w:t xml:space="preserve">−14,1%</w:t>
            </w:r>
          </w:p>
        </w:tc>
        <w:tc>
          <w:tcPr/>
          <w:p>
            <w:pPr>
              <w:pStyle w:val="CompactSmall"/>
              <w:jc w:val="left"/>
            </w:pPr>
            <w:r>
              <w:t xml:space="preserve">0,7%</w:t>
            </w:r>
          </w:p>
        </w:tc>
        <w:tc>
          <w:tcPr/>
          <w:p>
            <w:pPr>
              <w:pStyle w:val="CompactSmall"/>
              <w:jc w:val="left"/>
            </w:pPr>
            <w:r>
              <w:t xml:space="preserve">25,5%</w:t>
            </w:r>
          </w:p>
        </w:tc>
      </w:tr>
      <w:tr>
        <w:trPr>
          <w:cantSplit/>
        </w:trPr>
        <w:tc>
          <w:tcPr/>
          <w:p>
            <w:pPr>
              <w:pStyle w:val="CompactSmall"/>
              <w:jc w:val="left"/>
            </w:pPr>
            <w:r>
              <w:t xml:space="preserve">Thận trọng</w:t>
            </w:r>
          </w:p>
        </w:tc>
        <w:tc>
          <w:tcPr/>
          <w:p>
            <w:pPr>
              <w:pStyle w:val="CompactSmall"/>
              <w:jc w:val="left"/>
            </w:pPr>
            <w:r>
              <w:t xml:space="preserve">Trung</w:t>
            </w:r>
          </w:p>
        </w:tc>
        <w:tc>
          <w:tcPr/>
          <w:p>
            <w:pPr>
              <w:pStyle w:val="CompactSmall"/>
              <w:jc w:val="left"/>
            </w:pPr>
            <w:r>
              <w:t xml:space="preserve">RiskParity</w:t>
            </w:r>
          </w:p>
        </w:tc>
        <w:tc>
          <w:tcPr/>
          <w:p>
            <w:pPr>
              <w:pStyle w:val="CompactSmall"/>
              <w:jc w:val="left"/>
            </w:pPr>
            <w:r>
              <w:t xml:space="preserve">7,4%</w:t>
            </w:r>
          </w:p>
        </w:tc>
        <w:tc>
          <w:tcPr/>
          <w:p>
            <w:pPr>
              <w:pStyle w:val="CompactSmall"/>
              <w:jc w:val="left"/>
            </w:pPr>
            <w:r>
              <w:t xml:space="preserve">3,9%</w:t>
            </w:r>
          </w:p>
        </w:tc>
        <w:tc>
          <w:tcPr/>
          <w:p>
            <w:pPr>
              <w:pStyle w:val="CompactSmall"/>
              <w:jc w:val="left"/>
            </w:pPr>
            <w:r>
              <w:t xml:space="preserve">0,36</w:t>
            </w:r>
          </w:p>
        </w:tc>
        <w:tc>
          <w:tcPr/>
          <w:p>
            <w:pPr>
              <w:pStyle w:val="CompactSmall"/>
              <w:jc w:val="left"/>
            </w:pPr>
            <w:r>
              <w:t xml:space="preserve">−4,4%</w:t>
            </w:r>
          </w:p>
        </w:tc>
        <w:tc>
          <w:tcPr/>
          <w:p>
            <w:pPr>
              <w:pStyle w:val="CompactSmall"/>
              <w:jc w:val="left"/>
            </w:pPr>
            <w:r>
              <w:t xml:space="preserve">1,8%</w:t>
            </w:r>
          </w:p>
        </w:tc>
        <w:tc>
          <w:tcPr/>
          <w:p>
            <w:pPr>
              <w:pStyle w:val="CompactSmall"/>
              <w:jc w:val="left"/>
            </w:pPr>
            <w:r>
              <w:t xml:space="preserve">14,1%</w:t>
            </w:r>
          </w:p>
        </w:tc>
      </w:tr>
      <w:tr>
        <w:trPr>
          <w:cantSplit/>
        </w:trPr>
        <w:tc>
          <w:tcPr/>
          <w:p>
            <w:pPr>
              <w:pStyle w:val="CompactSmall"/>
              <w:jc w:val="left"/>
            </w:pPr>
            <w:r>
              <w:t xml:space="preserve">Thận trọng</w:t>
            </w:r>
          </w:p>
        </w:tc>
        <w:tc>
          <w:tcPr/>
          <w:p>
            <w:pPr>
              <w:pStyle w:val="CompactSmall"/>
              <w:jc w:val="left"/>
            </w:pPr>
            <w:r>
              <w:t xml:space="preserve">Trung</w:t>
            </w:r>
          </w:p>
        </w:tc>
        <w:tc>
          <w:tcPr/>
          <w:p>
            <w:pPr>
              <w:pStyle w:val="CompactSmall"/>
              <w:jc w:val="left"/>
            </w:pPr>
            <w:r>
              <w:t xml:space="preserve">HRP</w:t>
            </w:r>
          </w:p>
        </w:tc>
        <w:tc>
          <w:tcPr/>
          <w:p>
            <w:pPr>
              <w:pStyle w:val="CompactSmall"/>
              <w:jc w:val="left"/>
            </w:pPr>
            <w:r>
              <w:t xml:space="preserve">6,4%</w:t>
            </w:r>
          </w:p>
        </w:tc>
        <w:tc>
          <w:tcPr/>
          <w:p>
            <w:pPr>
              <w:pStyle w:val="CompactSmall"/>
              <w:jc w:val="left"/>
            </w:pPr>
            <w:r>
              <w:t xml:space="preserve">2,5%</w:t>
            </w:r>
          </w:p>
        </w:tc>
        <w:tc>
          <w:tcPr/>
          <w:p>
            <w:pPr>
              <w:pStyle w:val="CompactSmall"/>
              <w:jc w:val="left"/>
            </w:pPr>
            <w:r>
              <w:t xml:space="preserve">0,16</w:t>
            </w:r>
          </w:p>
        </w:tc>
        <w:tc>
          <w:tcPr/>
          <w:p>
            <w:pPr>
              <w:pStyle w:val="CompactSmall"/>
              <w:jc w:val="left"/>
            </w:pPr>
            <w:r>
              <w:t xml:space="preserve">−3,6%</w:t>
            </w:r>
          </w:p>
        </w:tc>
        <w:tc>
          <w:tcPr/>
          <w:p>
            <w:pPr>
              <w:pStyle w:val="CompactSmall"/>
              <w:jc w:val="left"/>
            </w:pPr>
            <w:r>
              <w:t xml:space="preserve">1,2%</w:t>
            </w:r>
          </w:p>
        </w:tc>
        <w:tc>
          <w:tcPr/>
          <w:p>
            <w:pPr>
              <w:pStyle w:val="CompactSmall"/>
              <w:jc w:val="left"/>
            </w:pPr>
            <w:r>
              <w:t xml:space="preserve">10,2%</w:t>
            </w:r>
          </w:p>
        </w:tc>
      </w:tr>
      <w:tr>
        <w:trPr>
          <w:cantSplit/>
        </w:trPr>
        <w:tc>
          <w:tcPr/>
          <w:p>
            <w:pPr>
              <w:pStyle w:val="CompactSmall"/>
              <w:jc w:val="left"/>
            </w:pPr>
            <w:r>
              <w:t xml:space="preserve">Thận trọng</w:t>
            </w:r>
          </w:p>
        </w:tc>
        <w:tc>
          <w:tcPr/>
          <w:p>
            <w:pPr>
              <w:pStyle w:val="CompactSmall"/>
              <w:jc w:val="left"/>
            </w:pPr>
            <w:r>
              <w:t xml:space="preserve">Trung</w:t>
            </w:r>
          </w:p>
        </w:tc>
        <w:tc>
          <w:tcPr/>
          <w:p>
            <w:pPr>
              <w:pStyle w:val="CompactSmall"/>
              <w:jc w:val="left"/>
            </w:pPr>
            <w:r>
              <w:t xml:space="preserve">BlackLitterman</w:t>
            </w:r>
          </w:p>
        </w:tc>
        <w:tc>
          <w:tcPr/>
          <w:p>
            <w:pPr>
              <w:pStyle w:val="CompactSmall"/>
              <w:jc w:val="left"/>
            </w:pPr>
            <w:r>
              <w:t xml:space="preserve">10,7%</w:t>
            </w:r>
          </w:p>
        </w:tc>
        <w:tc>
          <w:tcPr/>
          <w:p>
            <w:pPr>
              <w:pStyle w:val="CompactSmall"/>
              <w:jc w:val="left"/>
            </w:pPr>
            <w:r>
              <w:t xml:space="preserve">8,4%</w:t>
            </w:r>
          </w:p>
        </w:tc>
        <w:tc>
          <w:tcPr/>
          <w:p>
            <w:pPr>
              <w:pStyle w:val="CompactSmall"/>
              <w:jc w:val="left"/>
            </w:pPr>
            <w:r>
              <w:t xml:space="preserve">0,55</w:t>
            </w:r>
          </w:p>
        </w:tc>
        <w:tc>
          <w:tcPr/>
          <w:p>
            <w:pPr>
              <w:pStyle w:val="CompactSmall"/>
              <w:jc w:val="left"/>
            </w:pPr>
            <w:r>
              <w:t xml:space="preserve">−12,1%</w:t>
            </w:r>
          </w:p>
        </w:tc>
        <w:tc>
          <w:tcPr/>
          <w:p>
            <w:pPr>
              <w:pStyle w:val="CompactSmall"/>
              <w:jc w:val="left"/>
            </w:pPr>
            <w:r>
              <w:t xml:space="preserve">6,4%</w:t>
            </w:r>
          </w:p>
        </w:tc>
        <w:tc>
          <w:tcPr/>
          <w:p>
            <w:pPr>
              <w:pStyle w:val="CompactSmall"/>
              <w:jc w:val="left"/>
            </w:pPr>
            <w:r>
              <w:t xml:space="preserve">22,0%</w:t>
            </w:r>
          </w:p>
        </w:tc>
      </w:tr>
      <w:tr>
        <w:trPr>
          <w:cantSplit/>
        </w:trPr>
        <w:tc>
          <w:tcPr/>
          <w:p>
            <w:pPr>
              <w:pStyle w:val="CompactSmall"/>
              <w:jc w:val="left"/>
            </w:pPr>
            <w:r>
              <w:t xml:space="preserve">Thận trọng</w:t>
            </w:r>
          </w:p>
        </w:tc>
        <w:tc>
          <w:tcPr/>
          <w:p>
            <w:pPr>
              <w:pStyle w:val="CompactSmall"/>
              <w:jc w:val="left"/>
            </w:pPr>
            <w:r>
              <w:t xml:space="preserve">Trung</w:t>
            </w:r>
          </w:p>
        </w:tc>
        <w:tc>
          <w:tcPr/>
          <w:p>
            <w:pPr>
              <w:pStyle w:val="CompactSmall"/>
              <w:jc w:val="left"/>
            </w:pPr>
            <w:r>
              <w:t xml:space="preserve">MLP_MVO</w:t>
            </w:r>
          </w:p>
        </w:tc>
        <w:tc>
          <w:tcPr/>
          <w:p>
            <w:pPr>
              <w:pStyle w:val="CompactSmall"/>
              <w:jc w:val="left"/>
            </w:pPr>
            <w:r>
              <w:t xml:space="preserve">9,7%</w:t>
            </w:r>
          </w:p>
        </w:tc>
        <w:tc>
          <w:tcPr/>
          <w:p>
            <w:pPr>
              <w:pStyle w:val="CompactSmall"/>
              <w:jc w:val="left"/>
            </w:pPr>
            <w:r>
              <w:t xml:space="preserve">9,8%</w:t>
            </w:r>
          </w:p>
        </w:tc>
        <w:tc>
          <w:tcPr/>
          <w:p>
            <w:pPr>
              <w:pStyle w:val="CompactSmall"/>
              <w:jc w:val="left"/>
            </w:pPr>
            <w:r>
              <w:t xml:space="preserve">0,40</w:t>
            </w:r>
          </w:p>
        </w:tc>
        <w:tc>
          <w:tcPr/>
          <w:p>
            <w:pPr>
              <w:pStyle w:val="CompactSmall"/>
              <w:jc w:val="left"/>
            </w:pPr>
            <w:r>
              <w:t xml:space="preserve">−16,5%</w:t>
            </w:r>
          </w:p>
        </w:tc>
        <w:tc>
          <w:tcPr/>
          <w:p>
            <w:pPr>
              <w:pStyle w:val="CompactSmall"/>
              <w:jc w:val="left"/>
            </w:pPr>
            <w:r>
              <w:t xml:space="preserve">13,8%</w:t>
            </w:r>
          </w:p>
        </w:tc>
        <w:tc>
          <w:tcPr/>
          <w:p>
            <w:pPr>
              <w:pStyle w:val="CompactSmall"/>
              <w:jc w:val="left"/>
            </w:pPr>
            <w:r>
              <w:t xml:space="preserve">22,6%</w:t>
            </w:r>
          </w:p>
        </w:tc>
      </w:tr>
      <w:tr>
        <w:trPr>
          <w:cantSplit/>
        </w:trPr>
        <w:tc>
          <w:tcPr/>
          <w:p>
            <w:pPr>
              <w:pStyle w:val="CompactSmall"/>
              <w:jc w:val="left"/>
            </w:pPr>
            <w:r>
              <w:t xml:space="preserve">Thận trọng</w:t>
            </w:r>
          </w:p>
        </w:tc>
        <w:tc>
          <w:tcPr/>
          <w:p>
            <w:pPr>
              <w:pStyle w:val="CompactSmall"/>
              <w:jc w:val="left"/>
            </w:pPr>
            <w:r>
              <w:t xml:space="preserve">Trung</w:t>
            </w:r>
          </w:p>
        </w:tc>
        <w:tc>
          <w:tcPr/>
          <w:p>
            <w:pPr>
              <w:pStyle w:val="CompactSmall"/>
              <w:jc w:val="left"/>
            </w:pPr>
            <w:r>
              <w:t xml:space="preserve">RL</w:t>
            </w:r>
          </w:p>
        </w:tc>
        <w:tc>
          <w:tcPr/>
          <w:p>
            <w:pPr>
              <w:pStyle w:val="CompactSmall"/>
              <w:jc w:val="left"/>
            </w:pPr>
            <w:r>
              <w:t xml:space="preserve">8,7%</w:t>
            </w:r>
          </w:p>
        </w:tc>
        <w:tc>
          <w:tcPr/>
          <w:p>
            <w:pPr>
              <w:pStyle w:val="CompactSmall"/>
              <w:jc w:val="left"/>
            </w:pPr>
            <w:r>
              <w:t xml:space="preserve">7,2%</w:t>
            </w:r>
          </w:p>
        </w:tc>
        <w:tc>
          <w:tcPr/>
          <w:p>
            <w:pPr>
              <w:pStyle w:val="CompactSmall"/>
              <w:jc w:val="left"/>
            </w:pPr>
            <w:r>
              <w:t xml:space="preserve">0,39</w:t>
            </w:r>
          </w:p>
        </w:tc>
        <w:tc>
          <w:tcPr/>
          <w:p>
            <w:pPr>
              <w:pStyle w:val="CompactSmall"/>
              <w:jc w:val="left"/>
            </w:pPr>
            <w:r>
              <w:t xml:space="preserve">−10,5%</w:t>
            </w:r>
          </w:p>
        </w:tc>
        <w:tc>
          <w:tcPr/>
          <w:p>
            <w:pPr>
              <w:pStyle w:val="CompactSmall"/>
              <w:jc w:val="left"/>
            </w:pPr>
            <w:r>
              <w:t xml:space="preserve">6,1%</w:t>
            </w:r>
          </w:p>
        </w:tc>
        <w:tc>
          <w:tcPr/>
          <w:p>
            <w:pPr>
              <w:pStyle w:val="CompactSmall"/>
              <w:jc w:val="left"/>
            </w:pPr>
            <w:r>
              <w:t xml:space="preserve">22,8%</w:t>
            </w:r>
          </w:p>
        </w:tc>
      </w:tr>
      <w:tr>
        <w:trPr>
          <w:cantSplit/>
        </w:trPr>
        <w:tc>
          <w:tcPr/>
          <w:p>
            <w:pPr>
              <w:pStyle w:val="CompactSmall"/>
              <w:jc w:val="left"/>
            </w:pPr>
            <w:r>
              <w:t xml:space="preserve">Thận trọng</w:t>
            </w:r>
          </w:p>
        </w:tc>
        <w:tc>
          <w:tcPr/>
          <w:p>
            <w:pPr>
              <w:pStyle w:val="CompactSmall"/>
              <w:jc w:val="left"/>
            </w:pPr>
            <w:r>
              <w:t xml:space="preserve">Dài</w:t>
            </w:r>
          </w:p>
        </w:tc>
        <w:tc>
          <w:tcPr/>
          <w:p>
            <w:pPr>
              <w:pStyle w:val="CompactSmall"/>
              <w:jc w:val="left"/>
            </w:pPr>
            <w:r>
              <w:t xml:space="preserve">EqualWeight</w:t>
            </w:r>
          </w:p>
        </w:tc>
        <w:tc>
          <w:tcPr/>
          <w:p>
            <w:pPr>
              <w:pStyle w:val="CompactSmall"/>
              <w:jc w:val="left"/>
            </w:pPr>
            <w:r>
              <w:t xml:space="preserve">9,9%</w:t>
            </w:r>
          </w:p>
        </w:tc>
        <w:tc>
          <w:tcPr/>
          <w:p>
            <w:pPr>
              <w:pStyle w:val="CompactSmall"/>
              <w:jc w:val="left"/>
            </w:pPr>
            <w:r>
              <w:t xml:space="preserve">8,0%</w:t>
            </w:r>
          </w:p>
        </w:tc>
        <w:tc>
          <w:tcPr/>
          <w:p>
            <w:pPr>
              <w:pStyle w:val="CompactSmall"/>
              <w:jc w:val="left"/>
            </w:pPr>
            <w:r>
              <w:t xml:space="preserve">0,49</w:t>
            </w:r>
          </w:p>
        </w:tc>
        <w:tc>
          <w:tcPr/>
          <w:p>
            <w:pPr>
              <w:pStyle w:val="CompactSmall"/>
              <w:jc w:val="left"/>
            </w:pPr>
            <w:r>
              <w:t xml:space="preserve">−15,6%</w:t>
            </w:r>
          </w:p>
        </w:tc>
        <w:tc>
          <w:tcPr/>
          <w:p>
            <w:pPr>
              <w:pStyle w:val="CompactSmall"/>
              <w:jc w:val="left"/>
            </w:pPr>
            <w:r>
              <w:t xml:space="preserve">0,9%</w:t>
            </w:r>
          </w:p>
        </w:tc>
        <w:tc>
          <w:tcPr/>
          <w:p>
            <w:pPr>
              <w:pStyle w:val="CompactSmall"/>
              <w:jc w:val="left"/>
            </w:pPr>
            <w:r>
              <w:t xml:space="preserve">30,2%</w:t>
            </w:r>
          </w:p>
        </w:tc>
      </w:tr>
      <w:tr>
        <w:trPr>
          <w:cantSplit/>
        </w:trPr>
        <w:tc>
          <w:tcPr/>
          <w:p>
            <w:pPr>
              <w:pStyle w:val="CompactSmall"/>
              <w:jc w:val="left"/>
            </w:pPr>
            <w:r>
              <w:t xml:space="preserve">Thận trọng</w:t>
            </w:r>
          </w:p>
        </w:tc>
        <w:tc>
          <w:tcPr/>
          <w:p>
            <w:pPr>
              <w:pStyle w:val="CompactSmall"/>
              <w:jc w:val="left"/>
            </w:pPr>
            <w:r>
              <w:t xml:space="preserve">Dài</w:t>
            </w:r>
          </w:p>
        </w:tc>
        <w:tc>
          <w:tcPr/>
          <w:p>
            <w:pPr>
              <w:pStyle w:val="CompactSmall"/>
              <w:jc w:val="left"/>
            </w:pPr>
            <w:r>
              <w:t xml:space="preserve">Markowitz</w:t>
            </w:r>
          </w:p>
        </w:tc>
        <w:tc>
          <w:tcPr/>
          <w:p>
            <w:pPr>
              <w:pStyle w:val="CompactSmall"/>
              <w:jc w:val="left"/>
            </w:pPr>
            <w:r>
              <w:t xml:space="preserve">9,4%</w:t>
            </w:r>
          </w:p>
        </w:tc>
        <w:tc>
          <w:tcPr/>
          <w:p>
            <w:pPr>
              <w:pStyle w:val="CompactSmall"/>
              <w:jc w:val="left"/>
            </w:pPr>
            <w:r>
              <w:t xml:space="preserve">8,7%</w:t>
            </w:r>
          </w:p>
        </w:tc>
        <w:tc>
          <w:tcPr/>
          <w:p>
            <w:pPr>
              <w:pStyle w:val="CompactSmall"/>
              <w:jc w:val="left"/>
            </w:pPr>
            <w:r>
              <w:t xml:space="preserve">0,41</w:t>
            </w:r>
          </w:p>
        </w:tc>
        <w:tc>
          <w:tcPr/>
          <w:p>
            <w:pPr>
              <w:pStyle w:val="CompactSmall"/>
              <w:jc w:val="left"/>
            </w:pPr>
            <w:r>
              <w:t xml:space="preserve">−16,2%</w:t>
            </w:r>
          </w:p>
        </w:tc>
        <w:tc>
          <w:tcPr/>
          <w:p>
            <w:pPr>
              <w:pStyle w:val="CompactSmall"/>
              <w:jc w:val="left"/>
            </w:pPr>
            <w:r>
              <w:t xml:space="preserve">1,2%</w:t>
            </w:r>
          </w:p>
        </w:tc>
        <w:tc>
          <w:tcPr/>
          <w:p>
            <w:pPr>
              <w:pStyle w:val="CompactSmall"/>
              <w:jc w:val="left"/>
            </w:pPr>
            <w:r>
              <w:t xml:space="preserve">22,5%</w:t>
            </w:r>
          </w:p>
        </w:tc>
      </w:tr>
      <w:tr>
        <w:trPr>
          <w:cantSplit/>
        </w:trPr>
        <w:tc>
          <w:tcPr/>
          <w:p>
            <w:pPr>
              <w:pStyle w:val="CompactSmall"/>
              <w:jc w:val="left"/>
            </w:pPr>
            <w:r>
              <w:t xml:space="preserve">Thận trọng</w:t>
            </w:r>
          </w:p>
        </w:tc>
        <w:tc>
          <w:tcPr/>
          <w:p>
            <w:pPr>
              <w:pStyle w:val="CompactSmall"/>
              <w:jc w:val="left"/>
            </w:pPr>
            <w:r>
              <w:t xml:space="preserve">Dài</w:t>
            </w:r>
          </w:p>
        </w:tc>
        <w:tc>
          <w:tcPr/>
          <w:p>
            <w:pPr>
              <w:pStyle w:val="CompactSmall"/>
              <w:jc w:val="left"/>
            </w:pPr>
            <w:r>
              <w:t xml:space="preserve">RiskParity</w:t>
            </w:r>
          </w:p>
        </w:tc>
        <w:tc>
          <w:tcPr/>
          <w:p>
            <w:pPr>
              <w:pStyle w:val="CompactSmall"/>
              <w:jc w:val="left"/>
            </w:pPr>
            <w:r>
              <w:t xml:space="preserve">8,8%</w:t>
            </w:r>
          </w:p>
        </w:tc>
        <w:tc>
          <w:tcPr/>
          <w:p>
            <w:pPr>
              <w:pStyle w:val="CompactSmall"/>
              <w:jc w:val="left"/>
            </w:pPr>
            <w:r>
              <w:t xml:space="preserve">4,3%</w:t>
            </w:r>
          </w:p>
        </w:tc>
        <w:tc>
          <w:tcPr/>
          <w:p>
            <w:pPr>
              <w:pStyle w:val="CompactSmall"/>
              <w:jc w:val="left"/>
            </w:pPr>
            <w:r>
              <w:t xml:space="preserve">0,62</w:t>
            </w:r>
          </w:p>
        </w:tc>
        <w:tc>
          <w:tcPr/>
          <w:p>
            <w:pPr>
              <w:pStyle w:val="CompactSmall"/>
              <w:jc w:val="left"/>
            </w:pPr>
            <w:r>
              <w:t xml:space="preserve">−4,0%</w:t>
            </w:r>
          </w:p>
        </w:tc>
        <w:tc>
          <w:tcPr/>
          <w:p>
            <w:pPr>
              <w:pStyle w:val="CompactSmall"/>
              <w:jc w:val="left"/>
            </w:pPr>
            <w:r>
              <w:t xml:space="preserve">1,3%</w:t>
            </w:r>
          </w:p>
        </w:tc>
        <w:tc>
          <w:tcPr/>
          <w:p>
            <w:pPr>
              <w:pStyle w:val="CompactSmall"/>
              <w:jc w:val="left"/>
            </w:pPr>
            <w:r>
              <w:t xml:space="preserve">15,5%</w:t>
            </w:r>
          </w:p>
        </w:tc>
      </w:tr>
      <w:tr>
        <w:trPr>
          <w:cantSplit/>
        </w:trPr>
        <w:tc>
          <w:tcPr/>
          <w:p>
            <w:pPr>
              <w:pStyle w:val="CompactSmall"/>
              <w:jc w:val="left"/>
            </w:pPr>
            <w:r>
              <w:t xml:space="preserve">Thận trọng</w:t>
            </w:r>
          </w:p>
        </w:tc>
        <w:tc>
          <w:tcPr/>
          <w:p>
            <w:pPr>
              <w:pStyle w:val="CompactSmall"/>
              <w:jc w:val="left"/>
            </w:pPr>
            <w:r>
              <w:t xml:space="preserve">Dài</w:t>
            </w:r>
          </w:p>
        </w:tc>
        <w:tc>
          <w:tcPr/>
          <w:p>
            <w:pPr>
              <w:pStyle w:val="CompactSmall"/>
              <w:jc w:val="left"/>
            </w:pPr>
            <w:r>
              <w:t xml:space="preserve">HRP</w:t>
            </w:r>
          </w:p>
        </w:tc>
        <w:tc>
          <w:tcPr/>
          <w:p>
            <w:pPr>
              <w:pStyle w:val="CompactSmall"/>
              <w:jc w:val="left"/>
            </w:pPr>
            <w:r>
              <w:t xml:space="preserve">7,4%</w:t>
            </w:r>
          </w:p>
        </w:tc>
        <w:tc>
          <w:tcPr/>
          <w:p>
            <w:pPr>
              <w:pStyle w:val="CompactSmall"/>
              <w:jc w:val="left"/>
            </w:pPr>
            <w:r>
              <w:t xml:space="preserve">2,6%</w:t>
            </w:r>
          </w:p>
        </w:tc>
        <w:tc>
          <w:tcPr/>
          <w:p>
            <w:pPr>
              <w:pStyle w:val="CompactSmall"/>
              <w:jc w:val="left"/>
            </w:pPr>
            <w:r>
              <w:t xml:space="preserve">0,50</w:t>
            </w:r>
          </w:p>
        </w:tc>
        <w:tc>
          <w:tcPr/>
          <w:p>
            <w:pPr>
              <w:pStyle w:val="CompactSmall"/>
              <w:jc w:val="left"/>
            </w:pPr>
            <w:r>
              <w:t xml:space="preserve">−2,5%</w:t>
            </w:r>
          </w:p>
        </w:tc>
        <w:tc>
          <w:tcPr/>
          <w:p>
            <w:pPr>
              <w:pStyle w:val="CompactSmall"/>
              <w:jc w:val="left"/>
            </w:pPr>
            <w:r>
              <w:t xml:space="preserve">0,8%</w:t>
            </w:r>
          </w:p>
        </w:tc>
        <w:tc>
          <w:tcPr/>
          <w:p>
            <w:pPr>
              <w:pStyle w:val="CompactSmall"/>
              <w:jc w:val="left"/>
            </w:pPr>
            <w:r>
              <w:t xml:space="preserve">10,8%</w:t>
            </w:r>
          </w:p>
        </w:tc>
      </w:tr>
      <w:tr>
        <w:trPr>
          <w:cantSplit/>
        </w:trPr>
        <w:tc>
          <w:tcPr/>
          <w:p>
            <w:pPr>
              <w:pStyle w:val="CompactSmall"/>
              <w:jc w:val="left"/>
            </w:pPr>
            <w:r>
              <w:t xml:space="preserve">Thận trọng</w:t>
            </w:r>
          </w:p>
        </w:tc>
        <w:tc>
          <w:tcPr/>
          <w:p>
            <w:pPr>
              <w:pStyle w:val="CompactSmall"/>
              <w:jc w:val="left"/>
            </w:pPr>
            <w:r>
              <w:t xml:space="preserve">Dài</w:t>
            </w:r>
          </w:p>
        </w:tc>
        <w:tc>
          <w:tcPr/>
          <w:p>
            <w:pPr>
              <w:pStyle w:val="CompactSmall"/>
              <w:jc w:val="left"/>
            </w:pPr>
            <w:r>
              <w:t xml:space="preserve">BlackLitterman</w:t>
            </w:r>
          </w:p>
        </w:tc>
        <w:tc>
          <w:tcPr/>
          <w:p>
            <w:pPr>
              <w:pStyle w:val="CompactSmall"/>
              <w:jc w:val="left"/>
            </w:pPr>
            <w:r>
              <w:t xml:space="preserve">9,4%</w:t>
            </w:r>
          </w:p>
        </w:tc>
        <w:tc>
          <w:tcPr/>
          <w:p>
            <w:pPr>
              <w:pStyle w:val="CompactSmall"/>
              <w:jc w:val="left"/>
            </w:pPr>
            <w:r>
              <w:t xml:space="preserve">7,6%</w:t>
            </w:r>
          </w:p>
        </w:tc>
        <w:tc>
          <w:tcPr/>
          <w:p>
            <w:pPr>
              <w:pStyle w:val="CompactSmall"/>
              <w:jc w:val="left"/>
            </w:pPr>
            <w:r>
              <w:t xml:space="preserve">0,45</w:t>
            </w:r>
          </w:p>
        </w:tc>
        <w:tc>
          <w:tcPr/>
          <w:p>
            <w:pPr>
              <w:pStyle w:val="CompactSmall"/>
              <w:jc w:val="left"/>
            </w:pPr>
            <w:r>
              <w:t xml:space="preserve">−14,7%</w:t>
            </w:r>
          </w:p>
        </w:tc>
        <w:tc>
          <w:tcPr/>
          <w:p>
            <w:pPr>
              <w:pStyle w:val="CompactSmall"/>
              <w:jc w:val="left"/>
            </w:pPr>
            <w:r>
              <w:t xml:space="preserve">1,4%</w:t>
            </w:r>
          </w:p>
        </w:tc>
        <w:tc>
          <w:tcPr/>
          <w:p>
            <w:pPr>
              <w:pStyle w:val="CompactSmall"/>
              <w:jc w:val="left"/>
            </w:pPr>
            <w:r>
              <w:t xml:space="preserve">21,7%</w:t>
            </w:r>
          </w:p>
        </w:tc>
      </w:tr>
      <w:tr>
        <w:trPr>
          <w:cantSplit/>
        </w:trPr>
        <w:tc>
          <w:tcPr/>
          <w:p>
            <w:pPr>
              <w:pStyle w:val="CompactSmall"/>
              <w:jc w:val="left"/>
            </w:pPr>
            <w:r>
              <w:t xml:space="preserve">Thận trọng</w:t>
            </w:r>
          </w:p>
        </w:tc>
        <w:tc>
          <w:tcPr/>
          <w:p>
            <w:pPr>
              <w:pStyle w:val="CompactSmall"/>
              <w:jc w:val="left"/>
            </w:pPr>
            <w:r>
              <w:t xml:space="preserve">Dài</w:t>
            </w:r>
          </w:p>
        </w:tc>
        <w:tc>
          <w:tcPr/>
          <w:p>
            <w:pPr>
              <w:pStyle w:val="CompactSmall"/>
              <w:jc w:val="left"/>
            </w:pPr>
            <w:r>
              <w:t xml:space="preserve">MLP_MVO</w:t>
            </w:r>
          </w:p>
        </w:tc>
        <w:tc>
          <w:tcPr/>
          <w:p>
            <w:pPr>
              <w:pStyle w:val="CompactSmall"/>
              <w:jc w:val="left"/>
            </w:pPr>
            <w:r>
              <w:t xml:space="preserve">13,1%</w:t>
            </w:r>
          </w:p>
        </w:tc>
        <w:tc>
          <w:tcPr/>
          <w:p>
            <w:pPr>
              <w:pStyle w:val="CompactSmall"/>
              <w:jc w:val="left"/>
            </w:pPr>
            <w:r>
              <w:t xml:space="preserve">9,4%</w:t>
            </w:r>
          </w:p>
        </w:tc>
        <w:tc>
          <w:tcPr/>
          <w:p>
            <w:pPr>
              <w:pStyle w:val="CompactSmall"/>
              <w:jc w:val="left"/>
            </w:pPr>
            <w:r>
              <w:t xml:space="preserve">0,74</w:t>
            </w:r>
          </w:p>
        </w:tc>
        <w:tc>
          <w:tcPr/>
          <w:p>
            <w:pPr>
              <w:pStyle w:val="CompactSmall"/>
              <w:jc w:val="left"/>
            </w:pPr>
            <w:r>
              <w:t xml:space="preserve">−12,4%</w:t>
            </w:r>
          </w:p>
        </w:tc>
        <w:tc>
          <w:tcPr/>
          <w:p>
            <w:pPr>
              <w:pStyle w:val="CompactSmall"/>
              <w:jc w:val="left"/>
            </w:pPr>
            <w:r>
              <w:t xml:space="preserve">3,5%</w:t>
            </w:r>
          </w:p>
        </w:tc>
        <w:tc>
          <w:tcPr/>
          <w:p>
            <w:pPr>
              <w:pStyle w:val="CompactSmall"/>
              <w:jc w:val="left"/>
            </w:pPr>
            <w:r>
              <w:t xml:space="preserve">19,7%</w:t>
            </w:r>
          </w:p>
        </w:tc>
      </w:tr>
      <w:tr>
        <w:trPr>
          <w:cantSplit/>
        </w:trPr>
        <w:tc>
          <w:tcPr/>
          <w:p>
            <w:pPr>
              <w:pStyle w:val="CompactSmall"/>
              <w:jc w:val="left"/>
            </w:pPr>
            <w:r>
              <w:t xml:space="preserve">Thận trọng</w:t>
            </w:r>
          </w:p>
        </w:tc>
        <w:tc>
          <w:tcPr/>
          <w:p>
            <w:pPr>
              <w:pStyle w:val="CompactSmall"/>
              <w:jc w:val="left"/>
            </w:pPr>
            <w:r>
              <w:t xml:space="preserve">Dài</w:t>
            </w:r>
          </w:p>
        </w:tc>
        <w:tc>
          <w:tcPr/>
          <w:p>
            <w:pPr>
              <w:pStyle w:val="CompactSmall"/>
              <w:jc w:val="left"/>
            </w:pPr>
            <w:r>
              <w:t xml:space="preserve">RL</w:t>
            </w:r>
          </w:p>
        </w:tc>
        <w:tc>
          <w:tcPr/>
          <w:p>
            <w:pPr>
              <w:pStyle w:val="CompactSmall"/>
              <w:jc w:val="left"/>
            </w:pPr>
            <w:r>
              <w:t xml:space="preserve">10,3%</w:t>
            </w:r>
          </w:p>
        </w:tc>
        <w:tc>
          <w:tcPr/>
          <w:p>
            <w:pPr>
              <w:pStyle w:val="CompactSmall"/>
              <w:jc w:val="left"/>
            </w:pPr>
            <w:r>
              <w:t xml:space="preserve">6,4%</w:t>
            </w:r>
          </w:p>
        </w:tc>
        <w:tc>
          <w:tcPr/>
          <w:p>
            <w:pPr>
              <w:pStyle w:val="CompactSmall"/>
              <w:jc w:val="left"/>
            </w:pPr>
            <w:r>
              <w:t xml:space="preserve">0,66</w:t>
            </w:r>
          </w:p>
        </w:tc>
        <w:tc>
          <w:tcPr/>
          <w:p>
            <w:pPr>
              <w:pStyle w:val="CompactSmall"/>
              <w:jc w:val="left"/>
            </w:pPr>
            <w:r>
              <w:t xml:space="preserve">−5,9%</w:t>
            </w:r>
          </w:p>
        </w:tc>
        <w:tc>
          <w:tcPr/>
          <w:p>
            <w:pPr>
              <w:pStyle w:val="CompactSmall"/>
              <w:jc w:val="left"/>
            </w:pPr>
            <w:r>
              <w:t xml:space="preserve">2,5%</w:t>
            </w:r>
          </w:p>
        </w:tc>
        <w:tc>
          <w:tcPr/>
          <w:p>
            <w:pPr>
              <w:pStyle w:val="CompactSmall"/>
              <w:jc w:val="left"/>
            </w:pPr>
            <w:r>
              <w:t xml:space="preserve">18,3%</w:t>
            </w:r>
          </w:p>
        </w:tc>
      </w:tr>
      <w:tr>
        <w:trPr>
          <w:cantSplit/>
        </w:trPr>
        <w:tc>
          <w:tcPr/>
          <w:p>
            <w:pPr>
              <w:pStyle w:val="CompactSmall"/>
              <w:jc w:val="left"/>
            </w:pPr>
            <w:r>
              <w:t xml:space="preserve">Cân bằng</w:t>
            </w:r>
          </w:p>
        </w:tc>
        <w:tc>
          <w:tcPr/>
          <w:p>
            <w:pPr>
              <w:pStyle w:val="CompactSmall"/>
              <w:jc w:val="left"/>
            </w:pPr>
            <w:r>
              <w:t xml:space="preserve">Ngắn</w:t>
            </w:r>
          </w:p>
        </w:tc>
        <w:tc>
          <w:tcPr/>
          <w:p>
            <w:pPr>
              <w:pStyle w:val="CompactSmall"/>
              <w:jc w:val="left"/>
            </w:pPr>
            <w:r>
              <w:t xml:space="preserve">EqualWeight</w:t>
            </w:r>
          </w:p>
        </w:tc>
        <w:tc>
          <w:tcPr/>
          <w:p>
            <w:pPr>
              <w:pStyle w:val="CompactSmall"/>
              <w:jc w:val="left"/>
            </w:pPr>
            <w:r>
              <w:t xml:space="preserve">8,2%</w:t>
            </w:r>
          </w:p>
        </w:tc>
        <w:tc>
          <w:tcPr/>
          <w:p>
            <w:pPr>
              <w:pStyle w:val="CompactSmall"/>
              <w:jc w:val="left"/>
            </w:pPr>
            <w:r>
              <w:t xml:space="preserve">10,1%</w:t>
            </w:r>
          </w:p>
        </w:tc>
        <w:tc>
          <w:tcPr/>
          <w:p>
            <w:pPr>
              <w:pStyle w:val="CompactSmall"/>
              <w:jc w:val="left"/>
            </w:pPr>
            <w:r>
              <w:t xml:space="preserve">0,25</w:t>
            </w:r>
          </w:p>
        </w:tc>
        <w:tc>
          <w:tcPr/>
          <w:p>
            <w:pPr>
              <w:pStyle w:val="CompactSmall"/>
              <w:jc w:val="left"/>
            </w:pPr>
            <w:r>
              <w:t xml:space="preserve">−25,3%</w:t>
            </w:r>
          </w:p>
        </w:tc>
        <w:tc>
          <w:tcPr/>
          <w:p>
            <w:pPr>
              <w:pStyle w:val="CompactSmall"/>
              <w:jc w:val="left"/>
            </w:pPr>
            <w:r>
              <w:t xml:space="preserve">3,0%</w:t>
            </w:r>
          </w:p>
        </w:tc>
        <w:tc>
          <w:tcPr/>
          <w:p>
            <w:pPr>
              <w:pStyle w:val="CompactSmall"/>
              <w:jc w:val="left"/>
            </w:pPr>
            <w:r>
              <w:t xml:space="preserve">40,0%</w:t>
            </w:r>
          </w:p>
        </w:tc>
      </w:tr>
      <w:tr>
        <w:trPr>
          <w:cantSplit/>
        </w:trPr>
        <w:tc>
          <w:tcPr/>
          <w:p>
            <w:pPr>
              <w:pStyle w:val="CompactSmall"/>
              <w:jc w:val="left"/>
            </w:pPr>
            <w:r>
              <w:t xml:space="preserve">Cân bằng</w:t>
            </w:r>
          </w:p>
        </w:tc>
        <w:tc>
          <w:tcPr/>
          <w:p>
            <w:pPr>
              <w:pStyle w:val="CompactSmall"/>
              <w:jc w:val="left"/>
            </w:pPr>
            <w:r>
              <w:t xml:space="preserve">Ngắn</w:t>
            </w:r>
          </w:p>
        </w:tc>
        <w:tc>
          <w:tcPr/>
          <w:p>
            <w:pPr>
              <w:pStyle w:val="CompactSmall"/>
              <w:jc w:val="left"/>
            </w:pPr>
            <w:r>
              <w:t xml:space="preserve">Markowitz</w:t>
            </w:r>
          </w:p>
        </w:tc>
        <w:tc>
          <w:tcPr/>
          <w:p>
            <w:pPr>
              <w:pStyle w:val="CompactSmall"/>
              <w:jc w:val="left"/>
            </w:pPr>
            <w:r>
              <w:t xml:space="preserve">7,3%</w:t>
            </w:r>
          </w:p>
        </w:tc>
        <w:tc>
          <w:tcPr/>
          <w:p>
            <w:pPr>
              <w:pStyle w:val="CompactSmall"/>
              <w:jc w:val="left"/>
            </w:pPr>
            <w:r>
              <w:t xml:space="preserve">11,9%</w:t>
            </w:r>
          </w:p>
        </w:tc>
        <w:tc>
          <w:tcPr/>
          <w:p>
            <w:pPr>
              <w:pStyle w:val="CompactSmall"/>
              <w:jc w:val="left"/>
            </w:pPr>
            <w:r>
              <w:t xml:space="preserve">0,16</w:t>
            </w:r>
          </w:p>
        </w:tc>
        <w:tc>
          <w:tcPr/>
          <w:p>
            <w:pPr>
              <w:pStyle w:val="CompactSmall"/>
              <w:jc w:val="left"/>
            </w:pPr>
            <w:r>
              <w:t xml:space="preserve">−28,8%</w:t>
            </w:r>
          </w:p>
        </w:tc>
        <w:tc>
          <w:tcPr/>
          <w:p>
            <w:pPr>
              <w:pStyle w:val="CompactSmall"/>
              <w:jc w:val="left"/>
            </w:pPr>
            <w:r>
              <w:t xml:space="preserve">1,2%</w:t>
            </w:r>
          </w:p>
        </w:tc>
        <w:tc>
          <w:tcPr/>
          <w:p>
            <w:pPr>
              <w:pStyle w:val="CompactSmall"/>
              <w:jc w:val="left"/>
            </w:pPr>
            <w:r>
              <w:t xml:space="preserve">52,1%</w:t>
            </w:r>
          </w:p>
        </w:tc>
      </w:tr>
      <w:tr>
        <w:trPr>
          <w:cantSplit/>
        </w:trPr>
        <w:tc>
          <w:tcPr/>
          <w:p>
            <w:pPr>
              <w:pStyle w:val="CompactSmall"/>
              <w:jc w:val="left"/>
            </w:pPr>
            <w:r>
              <w:t xml:space="preserve">Cân bằng</w:t>
            </w:r>
          </w:p>
        </w:tc>
        <w:tc>
          <w:tcPr/>
          <w:p>
            <w:pPr>
              <w:pStyle w:val="CompactSmall"/>
              <w:jc w:val="left"/>
            </w:pPr>
            <w:r>
              <w:t xml:space="preserve">Ngắn</w:t>
            </w:r>
          </w:p>
        </w:tc>
        <w:tc>
          <w:tcPr/>
          <w:p>
            <w:pPr>
              <w:pStyle w:val="CompactSmall"/>
              <w:jc w:val="left"/>
            </w:pPr>
            <w:r>
              <w:t xml:space="preserve">RiskParity</w:t>
            </w:r>
          </w:p>
        </w:tc>
        <w:tc>
          <w:tcPr/>
          <w:p>
            <w:pPr>
              <w:pStyle w:val="CompactSmall"/>
              <w:jc w:val="left"/>
            </w:pPr>
            <w:r>
              <w:t xml:space="preserve">8,3%</w:t>
            </w:r>
          </w:p>
        </w:tc>
        <w:tc>
          <w:tcPr/>
          <w:p>
            <w:pPr>
              <w:pStyle w:val="CompactSmall"/>
              <w:jc w:val="left"/>
            </w:pPr>
            <w:r>
              <w:t xml:space="preserve">9,4%</w:t>
            </w:r>
          </w:p>
        </w:tc>
        <w:tc>
          <w:tcPr/>
          <w:p>
            <w:pPr>
              <w:pStyle w:val="CompactSmall"/>
              <w:jc w:val="left"/>
            </w:pPr>
            <w:r>
              <w:t xml:space="preserve">0,27</w:t>
            </w:r>
          </w:p>
        </w:tc>
        <w:tc>
          <w:tcPr/>
          <w:p>
            <w:pPr>
              <w:pStyle w:val="CompactSmall"/>
              <w:jc w:val="left"/>
            </w:pPr>
            <w:r>
              <w:t xml:space="preserve">−22,3%</w:t>
            </w:r>
          </w:p>
        </w:tc>
        <w:tc>
          <w:tcPr/>
          <w:p>
            <w:pPr>
              <w:pStyle w:val="CompactSmall"/>
              <w:jc w:val="left"/>
            </w:pPr>
            <w:r>
              <w:t xml:space="preserve">3,1%</w:t>
            </w:r>
          </w:p>
        </w:tc>
        <w:tc>
          <w:tcPr/>
          <w:p>
            <w:pPr>
              <w:pStyle w:val="CompactSmall"/>
              <w:jc w:val="left"/>
            </w:pPr>
            <w:r>
              <w:t xml:space="preserve">40,0%</w:t>
            </w:r>
          </w:p>
        </w:tc>
      </w:tr>
      <w:tr>
        <w:trPr>
          <w:cantSplit/>
        </w:trPr>
        <w:tc>
          <w:tcPr/>
          <w:p>
            <w:pPr>
              <w:pStyle w:val="CompactSmall"/>
              <w:jc w:val="left"/>
            </w:pPr>
            <w:r>
              <w:t xml:space="preserve">Cân bằng</w:t>
            </w:r>
          </w:p>
        </w:tc>
        <w:tc>
          <w:tcPr/>
          <w:p>
            <w:pPr>
              <w:pStyle w:val="CompactSmall"/>
              <w:jc w:val="left"/>
            </w:pPr>
            <w:r>
              <w:t xml:space="preserve">Ngắn</w:t>
            </w:r>
          </w:p>
        </w:tc>
        <w:tc>
          <w:tcPr/>
          <w:p>
            <w:pPr>
              <w:pStyle w:val="CompactSmall"/>
              <w:jc w:val="left"/>
            </w:pPr>
            <w:r>
              <w:t xml:space="preserve">HRP</w:t>
            </w:r>
          </w:p>
        </w:tc>
        <w:tc>
          <w:tcPr/>
          <w:p>
            <w:pPr>
              <w:pStyle w:val="CompactSmall"/>
              <w:jc w:val="left"/>
            </w:pPr>
            <w:r>
              <w:t xml:space="preserve">7,7%</w:t>
            </w:r>
          </w:p>
        </w:tc>
        <w:tc>
          <w:tcPr/>
          <w:p>
            <w:pPr>
              <w:pStyle w:val="CompactSmall"/>
              <w:jc w:val="left"/>
            </w:pPr>
            <w:r>
              <w:t xml:space="preserve">9,1%</w:t>
            </w:r>
          </w:p>
        </w:tc>
        <w:tc>
          <w:tcPr/>
          <w:p>
            <w:pPr>
              <w:pStyle w:val="CompactSmall"/>
              <w:jc w:val="left"/>
            </w:pPr>
            <w:r>
              <w:t xml:space="preserve">0,22</w:t>
            </w:r>
          </w:p>
        </w:tc>
        <w:tc>
          <w:tcPr/>
          <w:p>
            <w:pPr>
              <w:pStyle w:val="CompactSmall"/>
              <w:jc w:val="left"/>
            </w:pPr>
            <w:r>
              <w:t xml:space="preserve">−20,2%</w:t>
            </w:r>
          </w:p>
        </w:tc>
        <w:tc>
          <w:tcPr/>
          <w:p>
            <w:pPr>
              <w:pStyle w:val="CompactSmall"/>
              <w:jc w:val="left"/>
            </w:pPr>
            <w:r>
              <w:t xml:space="preserve">3,0%</w:t>
            </w:r>
          </w:p>
        </w:tc>
        <w:tc>
          <w:tcPr/>
          <w:p>
            <w:pPr>
              <w:pStyle w:val="CompactSmall"/>
              <w:jc w:val="left"/>
            </w:pPr>
            <w:r>
              <w:t xml:space="preserve">40,0%</w:t>
            </w:r>
          </w:p>
        </w:tc>
      </w:tr>
      <w:tr>
        <w:trPr>
          <w:cantSplit/>
        </w:trPr>
        <w:tc>
          <w:tcPr/>
          <w:p>
            <w:pPr>
              <w:pStyle w:val="CompactSmall"/>
              <w:jc w:val="left"/>
            </w:pPr>
            <w:r>
              <w:t xml:space="preserve">Cân bằng</w:t>
            </w:r>
          </w:p>
        </w:tc>
        <w:tc>
          <w:tcPr/>
          <w:p>
            <w:pPr>
              <w:pStyle w:val="CompactSmall"/>
              <w:jc w:val="left"/>
            </w:pPr>
            <w:r>
              <w:t xml:space="preserve">Ngắn</w:t>
            </w:r>
          </w:p>
        </w:tc>
        <w:tc>
          <w:tcPr/>
          <w:p>
            <w:pPr>
              <w:pStyle w:val="CompactSmall"/>
              <w:jc w:val="left"/>
            </w:pPr>
            <w:r>
              <w:t xml:space="preserve">BlackLitterman</w:t>
            </w:r>
          </w:p>
        </w:tc>
        <w:tc>
          <w:tcPr/>
          <w:p>
            <w:pPr>
              <w:pStyle w:val="CompactSmall"/>
              <w:jc w:val="left"/>
            </w:pPr>
            <w:r>
              <w:t xml:space="preserve">12,2%</w:t>
            </w:r>
          </w:p>
        </w:tc>
        <w:tc>
          <w:tcPr/>
          <w:p>
            <w:pPr>
              <w:pStyle w:val="CompactSmall"/>
              <w:jc w:val="left"/>
            </w:pPr>
            <w:r>
              <w:t xml:space="preserve">13,8%</w:t>
            </w:r>
          </w:p>
        </w:tc>
        <w:tc>
          <w:tcPr/>
          <w:p>
            <w:pPr>
              <w:pStyle w:val="CompactSmall"/>
              <w:jc w:val="left"/>
            </w:pPr>
            <w:r>
              <w:t xml:space="preserve">0,48</w:t>
            </w:r>
          </w:p>
        </w:tc>
        <w:tc>
          <w:tcPr/>
          <w:p>
            <w:pPr>
              <w:pStyle w:val="CompactSmall"/>
              <w:jc w:val="left"/>
            </w:pPr>
            <w:r>
              <w:t xml:space="preserve">−21,4%</w:t>
            </w:r>
          </w:p>
        </w:tc>
        <w:tc>
          <w:tcPr/>
          <w:p>
            <w:pPr>
              <w:pStyle w:val="CompactSmall"/>
              <w:jc w:val="left"/>
            </w:pPr>
            <w:r>
              <w:t xml:space="preserve">10,2%</w:t>
            </w:r>
          </w:p>
        </w:tc>
        <w:tc>
          <w:tcPr/>
          <w:p>
            <w:pPr>
              <w:pStyle w:val="CompactSmall"/>
              <w:jc w:val="left"/>
            </w:pPr>
            <w:r>
              <w:t xml:space="preserve">47,6%</w:t>
            </w:r>
          </w:p>
        </w:tc>
      </w:tr>
      <w:tr>
        <w:trPr>
          <w:cantSplit/>
        </w:trPr>
        <w:tc>
          <w:tcPr/>
          <w:p>
            <w:pPr>
              <w:pStyle w:val="CompactSmall"/>
              <w:jc w:val="left"/>
            </w:pPr>
            <w:r>
              <w:t xml:space="preserve">Cân bằng</w:t>
            </w:r>
          </w:p>
        </w:tc>
        <w:tc>
          <w:tcPr/>
          <w:p>
            <w:pPr>
              <w:pStyle w:val="CompactSmall"/>
              <w:jc w:val="left"/>
            </w:pPr>
            <w:r>
              <w:t xml:space="preserve">Ngắn</w:t>
            </w:r>
          </w:p>
        </w:tc>
        <w:tc>
          <w:tcPr/>
          <w:p>
            <w:pPr>
              <w:pStyle w:val="CompactSmall"/>
              <w:jc w:val="left"/>
            </w:pPr>
            <w:r>
              <w:t xml:space="preserve">MLP_MVO</w:t>
            </w:r>
          </w:p>
        </w:tc>
        <w:tc>
          <w:tcPr/>
          <w:p>
            <w:pPr>
              <w:pStyle w:val="CompactSmall"/>
              <w:jc w:val="left"/>
            </w:pPr>
            <w:r>
              <w:t xml:space="preserve">4,8%</w:t>
            </w:r>
          </w:p>
        </w:tc>
        <w:tc>
          <w:tcPr/>
          <w:p>
            <w:pPr>
              <w:pStyle w:val="CompactSmall"/>
              <w:jc w:val="left"/>
            </w:pPr>
            <w:r>
              <w:t xml:space="preserve">13,0%</w:t>
            </w:r>
          </w:p>
        </w:tc>
        <w:tc>
          <w:tcPr/>
          <w:p>
            <w:pPr>
              <w:pStyle w:val="CompactSmall"/>
              <w:jc w:val="left"/>
            </w:pPr>
            <w:r>
              <w:t xml:space="preserve">−0,02</w:t>
            </w:r>
          </w:p>
        </w:tc>
        <w:tc>
          <w:tcPr/>
          <w:p>
            <w:pPr>
              <w:pStyle w:val="CompactSmall"/>
              <w:jc w:val="left"/>
            </w:pPr>
            <w:r>
              <w:t xml:space="preserve">−26,7%</w:t>
            </w:r>
          </w:p>
        </w:tc>
        <w:tc>
          <w:tcPr/>
          <w:p>
            <w:pPr>
              <w:pStyle w:val="CompactSmall"/>
              <w:jc w:val="left"/>
            </w:pPr>
            <w:r>
              <w:t xml:space="preserve">28,7%</w:t>
            </w:r>
          </w:p>
        </w:tc>
        <w:tc>
          <w:tcPr/>
          <w:p>
            <w:pPr>
              <w:pStyle w:val="CompactSmall"/>
              <w:jc w:val="left"/>
            </w:pPr>
            <w:r>
              <w:t xml:space="preserve">50,2%</w:t>
            </w:r>
          </w:p>
        </w:tc>
      </w:tr>
      <w:tr>
        <w:trPr>
          <w:cantSplit/>
        </w:trPr>
        <w:tc>
          <w:tcPr/>
          <w:p>
            <w:pPr>
              <w:pStyle w:val="CompactSmall"/>
              <w:jc w:val="left"/>
            </w:pPr>
            <w:r>
              <w:t xml:space="preserve">Cân bằng</w:t>
            </w:r>
          </w:p>
        </w:tc>
        <w:tc>
          <w:tcPr/>
          <w:p>
            <w:pPr>
              <w:pStyle w:val="CompactSmall"/>
              <w:jc w:val="left"/>
            </w:pPr>
            <w:r>
              <w:t xml:space="preserve">Ngắn</w:t>
            </w:r>
          </w:p>
        </w:tc>
        <w:tc>
          <w:tcPr/>
          <w:p>
            <w:pPr>
              <w:pStyle w:val="CompactSmall"/>
              <w:jc w:val="left"/>
            </w:pPr>
            <w:r>
              <w:t xml:space="preserve">RL</w:t>
            </w:r>
          </w:p>
        </w:tc>
        <w:tc>
          <w:tcPr/>
          <w:p>
            <w:pPr>
              <w:pStyle w:val="CompactSmall"/>
              <w:jc w:val="left"/>
            </w:pPr>
            <w:r>
              <w:t xml:space="preserve">7,2%</w:t>
            </w:r>
          </w:p>
        </w:tc>
        <w:tc>
          <w:tcPr/>
          <w:p>
            <w:pPr>
              <w:pStyle w:val="CompactSmall"/>
              <w:jc w:val="left"/>
            </w:pPr>
            <w:r>
              <w:t xml:space="preserve">12,6%</w:t>
            </w:r>
          </w:p>
        </w:tc>
        <w:tc>
          <w:tcPr/>
          <w:p>
            <w:pPr>
              <w:pStyle w:val="CompactSmall"/>
              <w:jc w:val="left"/>
            </w:pPr>
            <w:r>
              <w:t xml:space="preserve">0,15</w:t>
            </w:r>
          </w:p>
        </w:tc>
        <w:tc>
          <w:tcPr/>
          <w:p>
            <w:pPr>
              <w:pStyle w:val="CompactSmall"/>
              <w:jc w:val="left"/>
            </w:pPr>
            <w:r>
              <w:t xml:space="preserve">−30,4%</w:t>
            </w:r>
          </w:p>
        </w:tc>
        <w:tc>
          <w:tcPr/>
          <w:p>
            <w:pPr>
              <w:pStyle w:val="CompactSmall"/>
              <w:jc w:val="left"/>
            </w:pPr>
            <w:r>
              <w:t xml:space="preserve">13,2%</w:t>
            </w:r>
          </w:p>
        </w:tc>
        <w:tc>
          <w:tcPr/>
          <w:p>
            <w:pPr>
              <w:pStyle w:val="CompactSmall"/>
              <w:jc w:val="left"/>
            </w:pPr>
            <w:r>
              <w:t xml:space="preserve">52,7%</w:t>
            </w:r>
          </w:p>
        </w:tc>
      </w:tr>
      <w:tr>
        <w:trPr>
          <w:cantSplit/>
        </w:trPr>
        <w:tc>
          <w:tcPr/>
          <w:p>
            <w:pPr>
              <w:pStyle w:val="CompactSmall"/>
              <w:jc w:val="left"/>
            </w:pPr>
            <w:r>
              <w:t xml:space="preserve">Cân bằng</w:t>
            </w:r>
          </w:p>
        </w:tc>
        <w:tc>
          <w:tcPr/>
          <w:p>
            <w:pPr>
              <w:pStyle w:val="CompactSmall"/>
              <w:jc w:val="left"/>
            </w:pPr>
            <w:r>
              <w:t xml:space="preserve">Trung</w:t>
            </w:r>
          </w:p>
        </w:tc>
        <w:tc>
          <w:tcPr/>
          <w:p>
            <w:pPr>
              <w:pStyle w:val="CompactSmall"/>
              <w:jc w:val="left"/>
            </w:pPr>
            <w:r>
              <w:t xml:space="preserve">EqualWeight</w:t>
            </w:r>
          </w:p>
        </w:tc>
        <w:tc>
          <w:tcPr/>
          <w:p>
            <w:pPr>
              <w:pStyle w:val="CompactSmall"/>
              <w:jc w:val="left"/>
            </w:pPr>
            <w:r>
              <w:t xml:space="preserve">8,5%</w:t>
            </w:r>
          </w:p>
        </w:tc>
        <w:tc>
          <w:tcPr/>
          <w:p>
            <w:pPr>
              <w:pStyle w:val="CompactSmall"/>
              <w:jc w:val="left"/>
            </w:pPr>
            <w:r>
              <w:t xml:space="preserve">10,0%</w:t>
            </w:r>
          </w:p>
        </w:tc>
        <w:tc>
          <w:tcPr/>
          <w:p>
            <w:pPr>
              <w:pStyle w:val="CompactSmall"/>
              <w:jc w:val="left"/>
            </w:pPr>
            <w:r>
              <w:t xml:space="preserve">0,29</w:t>
            </w:r>
          </w:p>
        </w:tc>
        <w:tc>
          <w:tcPr/>
          <w:p>
            <w:pPr>
              <w:pStyle w:val="CompactSmall"/>
              <w:jc w:val="left"/>
            </w:pPr>
            <w:r>
              <w:t xml:space="preserve">−24,5%</w:t>
            </w:r>
          </w:p>
        </w:tc>
        <w:tc>
          <w:tcPr/>
          <w:p>
            <w:pPr>
              <w:pStyle w:val="CompactSmall"/>
              <w:jc w:val="left"/>
            </w:pPr>
            <w:r>
              <w:t xml:space="preserve">2,0%</w:t>
            </w:r>
          </w:p>
        </w:tc>
        <w:tc>
          <w:tcPr/>
          <w:p>
            <w:pPr>
              <w:pStyle w:val="CompactSmall"/>
              <w:jc w:val="left"/>
            </w:pPr>
            <w:r>
              <w:t xml:space="preserve">40,1%</w:t>
            </w:r>
          </w:p>
        </w:tc>
      </w:tr>
      <w:tr>
        <w:trPr>
          <w:cantSplit/>
        </w:trPr>
        <w:tc>
          <w:tcPr/>
          <w:p>
            <w:pPr>
              <w:pStyle w:val="CompactSmall"/>
              <w:jc w:val="left"/>
            </w:pPr>
            <w:r>
              <w:t xml:space="preserve">Cân bằng</w:t>
            </w:r>
          </w:p>
        </w:tc>
        <w:tc>
          <w:tcPr/>
          <w:p>
            <w:pPr>
              <w:pStyle w:val="CompactSmall"/>
              <w:jc w:val="left"/>
            </w:pPr>
            <w:r>
              <w:t xml:space="preserve">Trung</w:t>
            </w:r>
          </w:p>
        </w:tc>
        <w:tc>
          <w:tcPr/>
          <w:p>
            <w:pPr>
              <w:pStyle w:val="CompactSmall"/>
              <w:jc w:val="left"/>
            </w:pPr>
            <w:r>
              <w:t xml:space="preserve">Markowitz</w:t>
            </w:r>
          </w:p>
        </w:tc>
        <w:tc>
          <w:tcPr/>
          <w:p>
            <w:pPr>
              <w:pStyle w:val="CompactSmall"/>
              <w:jc w:val="left"/>
            </w:pPr>
            <w:r>
              <w:t xml:space="preserve">7,7%</w:t>
            </w:r>
          </w:p>
        </w:tc>
        <w:tc>
          <w:tcPr/>
          <w:p>
            <w:pPr>
              <w:pStyle w:val="CompactSmall"/>
              <w:jc w:val="left"/>
            </w:pPr>
            <w:r>
              <w:t xml:space="preserve">10,7%</w:t>
            </w:r>
          </w:p>
        </w:tc>
        <w:tc>
          <w:tcPr/>
          <w:p>
            <w:pPr>
              <w:pStyle w:val="CompactSmall"/>
              <w:jc w:val="left"/>
            </w:pPr>
            <w:r>
              <w:t xml:space="preserve">0,20</w:t>
            </w:r>
          </w:p>
        </w:tc>
        <w:tc>
          <w:tcPr/>
          <w:p>
            <w:pPr>
              <w:pStyle w:val="CompactSmall"/>
              <w:jc w:val="left"/>
            </w:pPr>
            <w:r>
              <w:t xml:space="preserve">−24,2%</w:t>
            </w:r>
          </w:p>
        </w:tc>
        <w:tc>
          <w:tcPr/>
          <w:p>
            <w:pPr>
              <w:pStyle w:val="CompactSmall"/>
              <w:jc w:val="left"/>
            </w:pPr>
            <w:r>
              <w:t xml:space="preserve">1,5%</w:t>
            </w:r>
          </w:p>
        </w:tc>
        <w:tc>
          <w:tcPr/>
          <w:p>
            <w:pPr>
              <w:pStyle w:val="CompactSmall"/>
              <w:jc w:val="left"/>
            </w:pPr>
            <w:r>
              <w:t xml:space="preserve">46,3%</w:t>
            </w:r>
          </w:p>
        </w:tc>
      </w:tr>
      <w:tr>
        <w:trPr>
          <w:cantSplit/>
        </w:trPr>
        <w:tc>
          <w:tcPr/>
          <w:p>
            <w:pPr>
              <w:pStyle w:val="CompactSmall"/>
              <w:jc w:val="left"/>
            </w:pPr>
            <w:r>
              <w:t xml:space="preserve">Cân bằng</w:t>
            </w:r>
          </w:p>
        </w:tc>
        <w:tc>
          <w:tcPr/>
          <w:p>
            <w:pPr>
              <w:pStyle w:val="CompactSmall"/>
              <w:jc w:val="left"/>
            </w:pPr>
            <w:r>
              <w:t xml:space="preserve">Trung</w:t>
            </w:r>
          </w:p>
        </w:tc>
        <w:tc>
          <w:tcPr/>
          <w:p>
            <w:pPr>
              <w:pStyle w:val="CompactSmall"/>
              <w:jc w:val="left"/>
            </w:pPr>
            <w:r>
              <w:t xml:space="preserve">RiskParity</w:t>
            </w:r>
          </w:p>
        </w:tc>
        <w:tc>
          <w:tcPr/>
          <w:p>
            <w:pPr>
              <w:pStyle w:val="CompactSmall"/>
              <w:jc w:val="left"/>
            </w:pPr>
            <w:r>
              <w:t xml:space="preserve">8,5%</w:t>
            </w:r>
          </w:p>
        </w:tc>
        <w:tc>
          <w:tcPr/>
          <w:p>
            <w:pPr>
              <w:pStyle w:val="CompactSmall"/>
              <w:jc w:val="left"/>
            </w:pPr>
            <w:r>
              <w:t xml:space="preserve">9,4%</w:t>
            </w:r>
          </w:p>
        </w:tc>
        <w:tc>
          <w:tcPr/>
          <w:p>
            <w:pPr>
              <w:pStyle w:val="CompactSmall"/>
              <w:jc w:val="left"/>
            </w:pPr>
            <w:r>
              <w:t xml:space="preserve">0,29</w:t>
            </w:r>
          </w:p>
        </w:tc>
        <w:tc>
          <w:tcPr/>
          <w:p>
            <w:pPr>
              <w:pStyle w:val="CompactSmall"/>
              <w:jc w:val="left"/>
            </w:pPr>
            <w:r>
              <w:t xml:space="preserve">−22,0%</w:t>
            </w:r>
          </w:p>
        </w:tc>
        <w:tc>
          <w:tcPr/>
          <w:p>
            <w:pPr>
              <w:pStyle w:val="CompactSmall"/>
              <w:jc w:val="left"/>
            </w:pPr>
            <w:r>
              <w:t xml:space="preserve">2,1%</w:t>
            </w:r>
          </w:p>
        </w:tc>
        <w:tc>
          <w:tcPr/>
          <w:p>
            <w:pPr>
              <w:pStyle w:val="CompactSmall"/>
              <w:jc w:val="left"/>
            </w:pPr>
            <w:r>
              <w:t xml:space="preserve">40,1%</w:t>
            </w:r>
          </w:p>
        </w:tc>
      </w:tr>
      <w:tr>
        <w:trPr>
          <w:cantSplit/>
        </w:trPr>
        <w:tc>
          <w:tcPr/>
          <w:p>
            <w:pPr>
              <w:pStyle w:val="CompactSmall"/>
              <w:jc w:val="left"/>
            </w:pPr>
            <w:r>
              <w:t xml:space="preserve">Cân bằng</w:t>
            </w:r>
          </w:p>
        </w:tc>
        <w:tc>
          <w:tcPr/>
          <w:p>
            <w:pPr>
              <w:pStyle w:val="CompactSmall"/>
              <w:jc w:val="left"/>
            </w:pPr>
            <w:r>
              <w:t xml:space="preserve">Trung</w:t>
            </w:r>
          </w:p>
        </w:tc>
        <w:tc>
          <w:tcPr/>
          <w:p>
            <w:pPr>
              <w:pStyle w:val="CompactSmall"/>
              <w:jc w:val="left"/>
            </w:pPr>
            <w:r>
              <w:t xml:space="preserve">HRP</w:t>
            </w:r>
          </w:p>
        </w:tc>
        <w:tc>
          <w:tcPr/>
          <w:p>
            <w:pPr>
              <w:pStyle w:val="CompactSmall"/>
              <w:jc w:val="left"/>
            </w:pPr>
            <w:r>
              <w:t xml:space="preserve">7,9%</w:t>
            </w:r>
          </w:p>
        </w:tc>
        <w:tc>
          <w:tcPr/>
          <w:p>
            <w:pPr>
              <w:pStyle w:val="CompactSmall"/>
              <w:jc w:val="left"/>
            </w:pPr>
            <w:r>
              <w:t xml:space="preserve">9,0%</w:t>
            </w:r>
          </w:p>
        </w:tc>
        <w:tc>
          <w:tcPr/>
          <w:p>
            <w:pPr>
              <w:pStyle w:val="CompactSmall"/>
              <w:jc w:val="left"/>
            </w:pPr>
            <w:r>
              <w:t xml:space="preserve">0,24</w:t>
            </w:r>
          </w:p>
        </w:tc>
        <w:tc>
          <w:tcPr/>
          <w:p>
            <w:pPr>
              <w:pStyle w:val="CompactSmall"/>
              <w:jc w:val="left"/>
            </w:pPr>
            <w:r>
              <w:t xml:space="preserve">−20,0%</w:t>
            </w:r>
          </w:p>
        </w:tc>
        <w:tc>
          <w:tcPr/>
          <w:p>
            <w:pPr>
              <w:pStyle w:val="CompactSmall"/>
              <w:jc w:val="left"/>
            </w:pPr>
            <w:r>
              <w:t xml:space="preserve">2,0%</w:t>
            </w:r>
          </w:p>
        </w:tc>
        <w:tc>
          <w:tcPr/>
          <w:p>
            <w:pPr>
              <w:pStyle w:val="CompactSmall"/>
              <w:jc w:val="left"/>
            </w:pPr>
            <w:r>
              <w:t xml:space="preserve">40,1%</w:t>
            </w:r>
          </w:p>
        </w:tc>
      </w:tr>
      <w:tr>
        <w:trPr>
          <w:cantSplit/>
        </w:trPr>
        <w:tc>
          <w:tcPr/>
          <w:p>
            <w:pPr>
              <w:pStyle w:val="CompactSmall"/>
              <w:jc w:val="left"/>
            </w:pPr>
            <w:r>
              <w:t xml:space="preserve">Cân bằng</w:t>
            </w:r>
          </w:p>
        </w:tc>
        <w:tc>
          <w:tcPr/>
          <w:p>
            <w:pPr>
              <w:pStyle w:val="CompactSmall"/>
              <w:jc w:val="left"/>
            </w:pPr>
            <w:r>
              <w:t xml:space="preserve">Trung</w:t>
            </w:r>
          </w:p>
        </w:tc>
        <w:tc>
          <w:tcPr/>
          <w:p>
            <w:pPr>
              <w:pStyle w:val="CompactSmall"/>
              <w:jc w:val="left"/>
            </w:pPr>
            <w:r>
              <w:t xml:space="preserve">BlackLitterman</w:t>
            </w:r>
          </w:p>
        </w:tc>
        <w:tc>
          <w:tcPr/>
          <w:p>
            <w:pPr>
              <w:pStyle w:val="CompactSmall"/>
              <w:jc w:val="left"/>
            </w:pPr>
            <w:r>
              <w:t xml:space="preserve">10,1%</w:t>
            </w:r>
          </w:p>
        </w:tc>
        <w:tc>
          <w:tcPr/>
          <w:p>
            <w:pPr>
              <w:pStyle w:val="CompactSmall"/>
              <w:jc w:val="left"/>
            </w:pPr>
            <w:r>
              <w:t xml:space="preserve">12,4%</w:t>
            </w:r>
          </w:p>
        </w:tc>
        <w:tc>
          <w:tcPr/>
          <w:p>
            <w:pPr>
              <w:pStyle w:val="CompactSmall"/>
              <w:jc w:val="left"/>
            </w:pPr>
            <w:r>
              <w:t xml:space="preserve">0,37</w:t>
            </w:r>
          </w:p>
        </w:tc>
        <w:tc>
          <w:tcPr/>
          <w:p>
            <w:pPr>
              <w:pStyle w:val="CompactSmall"/>
              <w:jc w:val="left"/>
            </w:pPr>
            <w:r>
              <w:t xml:space="preserve">−21,8%</w:t>
            </w:r>
          </w:p>
        </w:tc>
        <w:tc>
          <w:tcPr/>
          <w:p>
            <w:pPr>
              <w:pStyle w:val="CompactSmall"/>
              <w:jc w:val="left"/>
            </w:pPr>
            <w:r>
              <w:t xml:space="preserve">9,2%</w:t>
            </w:r>
          </w:p>
        </w:tc>
        <w:tc>
          <w:tcPr/>
          <w:p>
            <w:pPr>
              <w:pStyle w:val="CompactSmall"/>
              <w:jc w:val="left"/>
            </w:pPr>
            <w:r>
              <w:t xml:space="preserve">46,3%</w:t>
            </w:r>
          </w:p>
        </w:tc>
      </w:tr>
      <w:tr>
        <w:trPr>
          <w:cantSplit/>
        </w:trPr>
        <w:tc>
          <w:tcPr/>
          <w:p>
            <w:pPr>
              <w:pStyle w:val="CompactSmall"/>
              <w:jc w:val="left"/>
            </w:pPr>
            <w:r>
              <w:t xml:space="preserve">Cân bằng</w:t>
            </w:r>
          </w:p>
        </w:tc>
        <w:tc>
          <w:tcPr/>
          <w:p>
            <w:pPr>
              <w:pStyle w:val="CompactSmall"/>
              <w:jc w:val="left"/>
            </w:pPr>
            <w:r>
              <w:t xml:space="preserve">Trung</w:t>
            </w:r>
          </w:p>
        </w:tc>
        <w:tc>
          <w:tcPr/>
          <w:p>
            <w:pPr>
              <w:pStyle w:val="CompactSmall"/>
              <w:jc w:val="left"/>
            </w:pPr>
            <w:r>
              <w:t xml:space="preserve">MLP_MVO</w:t>
            </w:r>
          </w:p>
        </w:tc>
        <w:tc>
          <w:tcPr/>
          <w:p>
            <w:pPr>
              <w:pStyle w:val="CompactSmall"/>
              <w:jc w:val="left"/>
            </w:pPr>
            <w:r>
              <w:t xml:space="preserve">10,0%</w:t>
            </w:r>
          </w:p>
        </w:tc>
        <w:tc>
          <w:tcPr/>
          <w:p>
            <w:pPr>
              <w:pStyle w:val="CompactSmall"/>
              <w:jc w:val="left"/>
            </w:pPr>
            <w:r>
              <w:t xml:space="preserve">14,4%</w:t>
            </w:r>
          </w:p>
        </w:tc>
        <w:tc>
          <w:tcPr/>
          <w:p>
            <w:pPr>
              <w:pStyle w:val="CompactSmall"/>
              <w:jc w:val="left"/>
            </w:pPr>
            <w:r>
              <w:t xml:space="preserve">0,33</w:t>
            </w:r>
          </w:p>
        </w:tc>
        <w:tc>
          <w:tcPr/>
          <w:p>
            <w:pPr>
              <w:pStyle w:val="CompactSmall"/>
              <w:jc w:val="left"/>
            </w:pPr>
            <w:r>
              <w:t xml:space="preserve">−24,0%</w:t>
            </w:r>
          </w:p>
        </w:tc>
        <w:tc>
          <w:tcPr/>
          <w:p>
            <w:pPr>
              <w:pStyle w:val="CompactSmall"/>
              <w:jc w:val="left"/>
            </w:pPr>
            <w:r>
              <w:t xml:space="preserve">16,6%</w:t>
            </w:r>
          </w:p>
        </w:tc>
        <w:tc>
          <w:tcPr/>
          <w:p>
            <w:pPr>
              <w:pStyle w:val="CompactSmall"/>
              <w:jc w:val="left"/>
            </w:pPr>
            <w:r>
              <w:t xml:space="preserve">48,9%</w:t>
            </w:r>
          </w:p>
        </w:tc>
      </w:tr>
      <w:tr>
        <w:trPr>
          <w:cantSplit/>
        </w:trPr>
        <w:tc>
          <w:tcPr/>
          <w:p>
            <w:pPr>
              <w:pStyle w:val="CompactSmall"/>
              <w:jc w:val="left"/>
            </w:pPr>
            <w:r>
              <w:t xml:space="preserve">Cân bằng</w:t>
            </w:r>
          </w:p>
        </w:tc>
        <w:tc>
          <w:tcPr/>
          <w:p>
            <w:pPr>
              <w:pStyle w:val="CompactSmall"/>
              <w:jc w:val="left"/>
            </w:pPr>
            <w:r>
              <w:t xml:space="preserve">Trung</w:t>
            </w:r>
          </w:p>
        </w:tc>
        <w:tc>
          <w:tcPr/>
          <w:p>
            <w:pPr>
              <w:pStyle w:val="CompactSmall"/>
              <w:jc w:val="left"/>
            </w:pPr>
            <w:r>
              <w:t xml:space="preserve">RL</w:t>
            </w:r>
          </w:p>
        </w:tc>
        <w:tc>
          <w:tcPr/>
          <w:p>
            <w:pPr>
              <w:pStyle w:val="CompactSmall"/>
              <w:jc w:val="left"/>
            </w:pPr>
            <w:r>
              <w:t xml:space="preserve">8,0%</w:t>
            </w:r>
          </w:p>
        </w:tc>
        <w:tc>
          <w:tcPr/>
          <w:p>
            <w:pPr>
              <w:pStyle w:val="CompactSmall"/>
              <w:jc w:val="left"/>
            </w:pPr>
            <w:r>
              <w:t xml:space="preserve">13,0%</w:t>
            </w:r>
          </w:p>
        </w:tc>
        <w:tc>
          <w:tcPr/>
          <w:p>
            <w:pPr>
              <w:pStyle w:val="CompactSmall"/>
              <w:jc w:val="left"/>
            </w:pPr>
            <w:r>
              <w:t xml:space="preserve">0,21</w:t>
            </w:r>
          </w:p>
        </w:tc>
        <w:tc>
          <w:tcPr/>
          <w:p>
            <w:pPr>
              <w:pStyle w:val="CompactSmall"/>
              <w:jc w:val="left"/>
            </w:pPr>
            <w:r>
              <w:t xml:space="preserve">−28,4%</w:t>
            </w:r>
          </w:p>
        </w:tc>
        <w:tc>
          <w:tcPr/>
          <w:p>
            <w:pPr>
              <w:pStyle w:val="CompactSmall"/>
              <w:jc w:val="left"/>
            </w:pPr>
            <w:r>
              <w:t xml:space="preserve">6,5%</w:t>
            </w:r>
          </w:p>
        </w:tc>
        <w:tc>
          <w:tcPr/>
          <w:p>
            <w:pPr>
              <w:pStyle w:val="CompactSmall"/>
              <w:jc w:val="left"/>
            </w:pPr>
            <w:r>
              <w:t xml:space="preserve">51,9%</w:t>
            </w:r>
          </w:p>
        </w:tc>
      </w:tr>
      <w:tr>
        <w:trPr>
          <w:cantSplit/>
        </w:trPr>
        <w:tc>
          <w:tcPr/>
          <w:p>
            <w:pPr>
              <w:pStyle w:val="CompactSmall"/>
              <w:jc w:val="left"/>
            </w:pPr>
            <w:r>
              <w:t xml:space="preserve">Cân bằng</w:t>
            </w:r>
          </w:p>
        </w:tc>
        <w:tc>
          <w:tcPr/>
          <w:p>
            <w:pPr>
              <w:pStyle w:val="CompactSmall"/>
              <w:jc w:val="left"/>
            </w:pPr>
            <w:r>
              <w:t xml:space="preserve">Dài</w:t>
            </w:r>
          </w:p>
        </w:tc>
        <w:tc>
          <w:tcPr/>
          <w:p>
            <w:pPr>
              <w:pStyle w:val="CompactSmall"/>
              <w:jc w:val="left"/>
            </w:pPr>
            <w:r>
              <w:t xml:space="preserve">EqualWeight</w:t>
            </w:r>
          </w:p>
        </w:tc>
        <w:tc>
          <w:tcPr/>
          <w:p>
            <w:pPr>
              <w:pStyle w:val="CompactSmall"/>
              <w:jc w:val="left"/>
            </w:pPr>
            <w:r>
              <w:t xml:space="preserve">9,5%</w:t>
            </w:r>
          </w:p>
        </w:tc>
        <w:tc>
          <w:tcPr/>
          <w:p>
            <w:pPr>
              <w:pStyle w:val="CompactSmall"/>
              <w:jc w:val="left"/>
            </w:pPr>
            <w:r>
              <w:t xml:space="preserve">9,9%</w:t>
            </w:r>
          </w:p>
        </w:tc>
        <w:tc>
          <w:tcPr/>
          <w:p>
            <w:pPr>
              <w:pStyle w:val="CompactSmall"/>
              <w:jc w:val="left"/>
            </w:pPr>
            <w:r>
              <w:t xml:space="preserve">0,38</w:t>
            </w:r>
          </w:p>
        </w:tc>
        <w:tc>
          <w:tcPr/>
          <w:p>
            <w:pPr>
              <w:pStyle w:val="CompactSmall"/>
              <w:jc w:val="left"/>
            </w:pPr>
            <w:r>
              <w:t xml:space="preserve">−21,1%</w:t>
            </w:r>
          </w:p>
        </w:tc>
        <w:tc>
          <w:tcPr/>
          <w:p>
            <w:pPr>
              <w:pStyle w:val="CompactSmall"/>
              <w:jc w:val="left"/>
            </w:pPr>
            <w:r>
              <w:t xml:space="preserve">1,0%</w:t>
            </w:r>
          </w:p>
        </w:tc>
        <w:tc>
          <w:tcPr/>
          <w:p>
            <w:pPr>
              <w:pStyle w:val="CompactSmall"/>
              <w:jc w:val="left"/>
            </w:pPr>
            <w:r>
              <w:t xml:space="preserve">40,1%</w:t>
            </w:r>
          </w:p>
        </w:tc>
      </w:tr>
      <w:tr>
        <w:trPr>
          <w:cantSplit/>
        </w:trPr>
        <w:tc>
          <w:tcPr/>
          <w:p>
            <w:pPr>
              <w:pStyle w:val="CompactSmall"/>
              <w:jc w:val="left"/>
            </w:pPr>
            <w:r>
              <w:t xml:space="preserve">Cân bằng</w:t>
            </w:r>
          </w:p>
        </w:tc>
        <w:tc>
          <w:tcPr/>
          <w:p>
            <w:pPr>
              <w:pStyle w:val="CompactSmall"/>
              <w:jc w:val="left"/>
            </w:pPr>
            <w:r>
              <w:t xml:space="preserve">Dài</w:t>
            </w:r>
          </w:p>
        </w:tc>
        <w:tc>
          <w:tcPr/>
          <w:p>
            <w:pPr>
              <w:pStyle w:val="CompactSmall"/>
              <w:jc w:val="left"/>
            </w:pPr>
            <w:r>
              <w:t xml:space="preserve">Markowitz</w:t>
            </w:r>
          </w:p>
        </w:tc>
        <w:tc>
          <w:tcPr/>
          <w:p>
            <w:pPr>
              <w:pStyle w:val="CompactSmall"/>
              <w:jc w:val="left"/>
            </w:pPr>
            <w:r>
              <w:t xml:space="preserve">7,9%</w:t>
            </w:r>
          </w:p>
        </w:tc>
        <w:tc>
          <w:tcPr/>
          <w:p>
            <w:pPr>
              <w:pStyle w:val="CompactSmall"/>
              <w:jc w:val="left"/>
            </w:pPr>
            <w:r>
              <w:t xml:space="preserve">10,1%</w:t>
            </w:r>
          </w:p>
        </w:tc>
        <w:tc>
          <w:tcPr/>
          <w:p>
            <w:pPr>
              <w:pStyle w:val="CompactSmall"/>
              <w:jc w:val="left"/>
            </w:pPr>
            <w:r>
              <w:t xml:space="preserve">0,23</w:t>
            </w:r>
          </w:p>
        </w:tc>
        <w:tc>
          <w:tcPr/>
          <w:p>
            <w:pPr>
              <w:pStyle w:val="CompactSmall"/>
              <w:jc w:val="left"/>
            </w:pPr>
            <w:r>
              <w:t xml:space="preserve">−22,5%</w:t>
            </w:r>
          </w:p>
        </w:tc>
        <w:tc>
          <w:tcPr/>
          <w:p>
            <w:pPr>
              <w:pStyle w:val="CompactSmall"/>
              <w:jc w:val="left"/>
            </w:pPr>
            <w:r>
              <w:t xml:space="preserve">1,4%</w:t>
            </w:r>
          </w:p>
        </w:tc>
        <w:tc>
          <w:tcPr/>
          <w:p>
            <w:pPr>
              <w:pStyle w:val="CompactSmall"/>
              <w:jc w:val="left"/>
            </w:pPr>
            <w:r>
              <w:t xml:space="preserve">43,5%</w:t>
            </w:r>
          </w:p>
        </w:tc>
      </w:tr>
      <w:tr>
        <w:trPr>
          <w:cantSplit/>
        </w:trPr>
        <w:tc>
          <w:tcPr/>
          <w:p>
            <w:pPr>
              <w:pStyle w:val="CompactSmall"/>
              <w:jc w:val="left"/>
            </w:pPr>
            <w:r>
              <w:t xml:space="preserve">Cân bằng</w:t>
            </w:r>
          </w:p>
        </w:tc>
        <w:tc>
          <w:tcPr/>
          <w:p>
            <w:pPr>
              <w:pStyle w:val="CompactSmall"/>
              <w:jc w:val="left"/>
            </w:pPr>
            <w:r>
              <w:t xml:space="preserve">Dài</w:t>
            </w:r>
          </w:p>
        </w:tc>
        <w:tc>
          <w:tcPr/>
          <w:p>
            <w:pPr>
              <w:pStyle w:val="CompactSmall"/>
              <w:jc w:val="left"/>
            </w:pPr>
            <w:r>
              <w:t xml:space="preserve">RiskParity</w:t>
            </w:r>
          </w:p>
        </w:tc>
        <w:tc>
          <w:tcPr/>
          <w:p>
            <w:pPr>
              <w:pStyle w:val="CompactSmall"/>
              <w:jc w:val="left"/>
            </w:pPr>
            <w:r>
              <w:t xml:space="preserve">9,0%</w:t>
            </w:r>
          </w:p>
        </w:tc>
        <w:tc>
          <w:tcPr/>
          <w:p>
            <w:pPr>
              <w:pStyle w:val="CompactSmall"/>
              <w:jc w:val="left"/>
            </w:pPr>
            <w:r>
              <w:t xml:space="preserve">9,3%</w:t>
            </w:r>
          </w:p>
        </w:tc>
        <w:tc>
          <w:tcPr/>
          <w:p>
            <w:pPr>
              <w:pStyle w:val="CompactSmall"/>
              <w:jc w:val="left"/>
            </w:pPr>
            <w:r>
              <w:t xml:space="preserve">0,35</w:t>
            </w:r>
          </w:p>
        </w:tc>
        <w:tc>
          <w:tcPr/>
          <w:p>
            <w:pPr>
              <w:pStyle w:val="CompactSmall"/>
              <w:jc w:val="left"/>
            </w:pPr>
            <w:r>
              <w:t xml:space="preserve">−20,2%</w:t>
            </w:r>
          </w:p>
        </w:tc>
        <w:tc>
          <w:tcPr/>
          <w:p>
            <w:pPr>
              <w:pStyle w:val="CompactSmall"/>
              <w:jc w:val="left"/>
            </w:pPr>
            <w:r>
              <w:t xml:space="preserve">1,2%</w:t>
            </w:r>
          </w:p>
        </w:tc>
        <w:tc>
          <w:tcPr/>
          <w:p>
            <w:pPr>
              <w:pStyle w:val="CompactSmall"/>
              <w:jc w:val="left"/>
            </w:pPr>
            <w:r>
              <w:t xml:space="preserve">40,3%</w:t>
            </w:r>
          </w:p>
        </w:tc>
      </w:tr>
      <w:tr>
        <w:trPr>
          <w:cantSplit/>
        </w:trPr>
        <w:tc>
          <w:tcPr/>
          <w:p>
            <w:pPr>
              <w:pStyle w:val="CompactSmall"/>
              <w:jc w:val="left"/>
            </w:pPr>
            <w:r>
              <w:t xml:space="preserve">Cân bằng</w:t>
            </w:r>
          </w:p>
        </w:tc>
        <w:tc>
          <w:tcPr/>
          <w:p>
            <w:pPr>
              <w:pStyle w:val="CompactSmall"/>
              <w:jc w:val="left"/>
            </w:pPr>
            <w:r>
              <w:t xml:space="preserve">Dài</w:t>
            </w:r>
          </w:p>
        </w:tc>
        <w:tc>
          <w:tcPr/>
          <w:p>
            <w:pPr>
              <w:pStyle w:val="CompactSmall"/>
              <w:jc w:val="left"/>
            </w:pPr>
            <w:r>
              <w:t xml:space="preserve">HRP</w:t>
            </w:r>
          </w:p>
        </w:tc>
        <w:tc>
          <w:tcPr/>
          <w:p>
            <w:pPr>
              <w:pStyle w:val="CompactSmall"/>
              <w:jc w:val="left"/>
            </w:pPr>
            <w:r>
              <w:t xml:space="preserve">8,3%</w:t>
            </w:r>
          </w:p>
        </w:tc>
        <w:tc>
          <w:tcPr/>
          <w:p>
            <w:pPr>
              <w:pStyle w:val="CompactSmall"/>
              <w:jc w:val="left"/>
            </w:pPr>
            <w:r>
              <w:t xml:space="preserve">9,1%</w:t>
            </w:r>
          </w:p>
        </w:tc>
        <w:tc>
          <w:tcPr/>
          <w:p>
            <w:pPr>
              <w:pStyle w:val="CompactSmall"/>
              <w:jc w:val="left"/>
            </w:pPr>
            <w:r>
              <w:t xml:space="preserve">0,28</w:t>
            </w:r>
          </w:p>
        </w:tc>
        <w:tc>
          <w:tcPr/>
          <w:p>
            <w:pPr>
              <w:pStyle w:val="CompactSmall"/>
              <w:jc w:val="left"/>
            </w:pPr>
            <w:r>
              <w:t xml:space="preserve">−19,5%</w:t>
            </w:r>
          </w:p>
        </w:tc>
        <w:tc>
          <w:tcPr/>
          <w:p>
            <w:pPr>
              <w:pStyle w:val="CompactSmall"/>
              <w:jc w:val="left"/>
            </w:pPr>
            <w:r>
              <w:t xml:space="preserve">1,2%</w:t>
            </w:r>
          </w:p>
        </w:tc>
        <w:tc>
          <w:tcPr/>
          <w:p>
            <w:pPr>
              <w:pStyle w:val="CompactSmall"/>
              <w:jc w:val="left"/>
            </w:pPr>
            <w:r>
              <w:t xml:space="preserve">40,4%</w:t>
            </w:r>
          </w:p>
        </w:tc>
      </w:tr>
      <w:tr>
        <w:trPr>
          <w:cantSplit/>
        </w:trPr>
        <w:tc>
          <w:tcPr/>
          <w:p>
            <w:pPr>
              <w:pStyle w:val="CompactSmall"/>
              <w:jc w:val="left"/>
            </w:pPr>
            <w:r>
              <w:t xml:space="preserve">Cân bằng</w:t>
            </w:r>
          </w:p>
        </w:tc>
        <w:tc>
          <w:tcPr/>
          <w:p>
            <w:pPr>
              <w:pStyle w:val="CompactSmall"/>
              <w:jc w:val="left"/>
            </w:pPr>
            <w:r>
              <w:t xml:space="preserve">Dài</w:t>
            </w:r>
          </w:p>
        </w:tc>
        <w:tc>
          <w:tcPr/>
          <w:p>
            <w:pPr>
              <w:pStyle w:val="CompactSmall"/>
              <w:jc w:val="left"/>
            </w:pPr>
            <w:r>
              <w:t xml:space="preserve">BlackLitterman</w:t>
            </w:r>
          </w:p>
        </w:tc>
        <w:tc>
          <w:tcPr/>
          <w:p>
            <w:pPr>
              <w:pStyle w:val="CompactSmall"/>
              <w:jc w:val="left"/>
            </w:pPr>
            <w:r>
              <w:t xml:space="preserve">9,8%</w:t>
            </w:r>
          </w:p>
        </w:tc>
        <w:tc>
          <w:tcPr/>
          <w:p>
            <w:pPr>
              <w:pStyle w:val="CompactSmall"/>
              <w:jc w:val="left"/>
            </w:pPr>
            <w:r>
              <w:t xml:space="preserve">10,7%</w:t>
            </w:r>
          </w:p>
        </w:tc>
        <w:tc>
          <w:tcPr/>
          <w:p>
            <w:pPr>
              <w:pStyle w:val="CompactSmall"/>
              <w:jc w:val="left"/>
            </w:pPr>
            <w:r>
              <w:t xml:space="preserve">0,38</w:t>
            </w:r>
          </w:p>
        </w:tc>
        <w:tc>
          <w:tcPr/>
          <w:p>
            <w:pPr>
              <w:pStyle w:val="CompactSmall"/>
              <w:jc w:val="left"/>
            </w:pPr>
            <w:r>
              <w:t xml:space="preserve">−22,2%</w:t>
            </w:r>
          </w:p>
        </w:tc>
        <w:tc>
          <w:tcPr/>
          <w:p>
            <w:pPr>
              <w:pStyle w:val="CompactSmall"/>
              <w:jc w:val="left"/>
            </w:pPr>
            <w:r>
              <w:t xml:space="preserve">1,8%</w:t>
            </w:r>
          </w:p>
        </w:tc>
        <w:tc>
          <w:tcPr/>
          <w:p>
            <w:pPr>
              <w:pStyle w:val="CompactSmall"/>
              <w:jc w:val="left"/>
            </w:pPr>
            <w:r>
              <w:t xml:space="preserve">40,7%</w:t>
            </w:r>
          </w:p>
        </w:tc>
      </w:tr>
      <w:tr>
        <w:trPr>
          <w:cantSplit/>
        </w:trPr>
        <w:tc>
          <w:tcPr/>
          <w:p>
            <w:pPr>
              <w:pStyle w:val="CompactSmall"/>
              <w:jc w:val="left"/>
            </w:pPr>
            <w:r>
              <w:t xml:space="preserve">Cân bằng</w:t>
            </w:r>
          </w:p>
        </w:tc>
        <w:tc>
          <w:tcPr/>
          <w:p>
            <w:pPr>
              <w:pStyle w:val="CompactSmall"/>
              <w:jc w:val="left"/>
            </w:pPr>
            <w:r>
              <w:t xml:space="preserve">Dài</w:t>
            </w:r>
          </w:p>
        </w:tc>
        <w:tc>
          <w:tcPr/>
          <w:p>
            <w:pPr>
              <w:pStyle w:val="CompactSmall"/>
              <w:jc w:val="left"/>
            </w:pPr>
            <w:r>
              <w:t xml:space="preserve">MLP_MVO</w:t>
            </w:r>
          </w:p>
        </w:tc>
        <w:tc>
          <w:tcPr/>
          <w:p>
            <w:pPr>
              <w:pStyle w:val="CompactSmall"/>
              <w:jc w:val="left"/>
            </w:pPr>
            <w:r>
              <w:t xml:space="preserve">13,8%</w:t>
            </w:r>
          </w:p>
        </w:tc>
        <w:tc>
          <w:tcPr/>
          <w:p>
            <w:pPr>
              <w:pStyle w:val="CompactSmall"/>
              <w:jc w:val="left"/>
            </w:pPr>
            <w:r>
              <w:t xml:space="preserve">13,1%</w:t>
            </w:r>
          </w:p>
        </w:tc>
        <w:tc>
          <w:tcPr/>
          <w:p>
            <w:pPr>
              <w:pStyle w:val="CompactSmall"/>
              <w:jc w:val="left"/>
            </w:pPr>
            <w:r>
              <w:t xml:space="preserve">0,61</w:t>
            </w:r>
          </w:p>
        </w:tc>
        <w:tc>
          <w:tcPr/>
          <w:p>
            <w:pPr>
              <w:pStyle w:val="CompactSmall"/>
              <w:jc w:val="left"/>
            </w:pPr>
            <w:r>
              <w:t xml:space="preserve">−18,7%</w:t>
            </w:r>
          </w:p>
        </w:tc>
        <w:tc>
          <w:tcPr/>
          <w:p>
            <w:pPr>
              <w:pStyle w:val="CompactSmall"/>
              <w:jc w:val="left"/>
            </w:pPr>
            <w:r>
              <w:t xml:space="preserve">6,0%</w:t>
            </w:r>
          </w:p>
        </w:tc>
        <w:tc>
          <w:tcPr/>
          <w:p>
            <w:pPr>
              <w:pStyle w:val="CompactSmall"/>
              <w:jc w:val="left"/>
            </w:pPr>
            <w:r>
              <w:t xml:space="preserve">45,7%</w:t>
            </w:r>
          </w:p>
        </w:tc>
      </w:tr>
      <w:tr>
        <w:trPr>
          <w:cantSplit/>
        </w:trPr>
        <w:tc>
          <w:tcPr/>
          <w:p>
            <w:pPr>
              <w:pStyle w:val="CompactSmall"/>
              <w:jc w:val="left"/>
            </w:pPr>
            <w:r>
              <w:t xml:space="preserve">Cân bằng</w:t>
            </w:r>
          </w:p>
        </w:tc>
        <w:tc>
          <w:tcPr/>
          <w:p>
            <w:pPr>
              <w:pStyle w:val="CompactSmall"/>
              <w:jc w:val="left"/>
            </w:pPr>
            <w:r>
              <w:t xml:space="preserve">Dài</w:t>
            </w:r>
          </w:p>
        </w:tc>
        <w:tc>
          <w:tcPr/>
          <w:p>
            <w:pPr>
              <w:pStyle w:val="CompactSmall"/>
              <w:jc w:val="left"/>
            </w:pPr>
            <w:r>
              <w:t xml:space="preserve">RL</w:t>
            </w:r>
          </w:p>
        </w:tc>
        <w:tc>
          <w:tcPr/>
          <w:p>
            <w:pPr>
              <w:pStyle w:val="CompactSmall"/>
              <w:jc w:val="left"/>
            </w:pPr>
            <w:r>
              <w:t xml:space="preserve">9,5%</w:t>
            </w:r>
          </w:p>
        </w:tc>
        <w:tc>
          <w:tcPr/>
          <w:p>
            <w:pPr>
              <w:pStyle w:val="CompactSmall"/>
              <w:jc w:val="left"/>
            </w:pPr>
            <w:r>
              <w:t xml:space="preserve">11,6%</w:t>
            </w:r>
          </w:p>
        </w:tc>
        <w:tc>
          <w:tcPr/>
          <w:p>
            <w:pPr>
              <w:pStyle w:val="CompactSmall"/>
              <w:jc w:val="left"/>
            </w:pPr>
            <w:r>
              <w:t xml:space="preserve">0,34</w:t>
            </w:r>
          </w:p>
        </w:tc>
        <w:tc>
          <w:tcPr/>
          <w:p>
            <w:pPr>
              <w:pStyle w:val="CompactSmall"/>
              <w:jc w:val="left"/>
            </w:pPr>
            <w:r>
              <w:t xml:space="preserve">−21,1%</w:t>
            </w:r>
          </w:p>
        </w:tc>
        <w:tc>
          <w:tcPr/>
          <w:p>
            <w:pPr>
              <w:pStyle w:val="CompactSmall"/>
              <w:jc w:val="left"/>
            </w:pPr>
            <w:r>
              <w:t xml:space="preserve">2,8%</w:t>
            </w:r>
          </w:p>
        </w:tc>
        <w:tc>
          <w:tcPr/>
          <w:p>
            <w:pPr>
              <w:pStyle w:val="CompactSmall"/>
              <w:jc w:val="left"/>
            </w:pPr>
            <w:r>
              <w:t xml:space="preserve">48,3%</w:t>
            </w:r>
          </w:p>
        </w:tc>
      </w:tr>
      <w:tr>
        <w:trPr>
          <w:cantSplit/>
        </w:trPr>
        <w:tc>
          <w:tcPr/>
          <w:p>
            <w:pPr>
              <w:pStyle w:val="CompactSmall"/>
              <w:jc w:val="left"/>
            </w:pPr>
            <w:r>
              <w:t xml:space="preserve">Tăng trưởng</w:t>
            </w:r>
          </w:p>
        </w:tc>
        <w:tc>
          <w:tcPr/>
          <w:p>
            <w:pPr>
              <w:pStyle w:val="CompactSmall"/>
              <w:jc w:val="left"/>
            </w:pPr>
            <w:r>
              <w:t xml:space="preserve">Ngắn</w:t>
            </w:r>
          </w:p>
        </w:tc>
        <w:tc>
          <w:tcPr/>
          <w:p>
            <w:pPr>
              <w:pStyle w:val="CompactSmall"/>
              <w:jc w:val="left"/>
            </w:pPr>
            <w:r>
              <w:t xml:space="preserve">EqualWeight</w:t>
            </w:r>
          </w:p>
        </w:tc>
        <w:tc>
          <w:tcPr/>
          <w:p>
            <w:pPr>
              <w:pStyle w:val="CompactSmall"/>
              <w:jc w:val="left"/>
            </w:pPr>
            <w:r>
              <w:t xml:space="preserve">7,0%</w:t>
            </w:r>
          </w:p>
        </w:tc>
        <w:tc>
          <w:tcPr/>
          <w:p>
            <w:pPr>
              <w:pStyle w:val="CompactSmall"/>
              <w:jc w:val="left"/>
            </w:pPr>
            <w:r>
              <w:t xml:space="preserve">16,7%</w:t>
            </w:r>
          </w:p>
        </w:tc>
        <w:tc>
          <w:tcPr/>
          <w:p>
            <w:pPr>
              <w:pStyle w:val="CompactSmall"/>
              <w:jc w:val="left"/>
            </w:pPr>
            <w:r>
              <w:t xml:space="preserve">0,14</w:t>
            </w:r>
          </w:p>
        </w:tc>
        <w:tc>
          <w:tcPr/>
          <w:p>
            <w:pPr>
              <w:pStyle w:val="CompactSmall"/>
              <w:jc w:val="left"/>
            </w:pPr>
            <w:r>
              <w:t xml:space="preserve">−41,9%</w:t>
            </w:r>
          </w:p>
        </w:tc>
        <w:tc>
          <w:tcPr/>
          <w:p>
            <w:pPr>
              <w:pStyle w:val="CompactSmall"/>
              <w:jc w:val="left"/>
            </w:pPr>
            <w:r>
              <w:t xml:space="preserve">3,1%</w:t>
            </w:r>
          </w:p>
        </w:tc>
        <w:tc>
          <w:tcPr/>
          <w:p>
            <w:pPr>
              <w:pStyle w:val="CompactSmall"/>
              <w:jc w:val="left"/>
            </w:pPr>
            <w:r>
              <w:t xml:space="preserve">70,0%</w:t>
            </w:r>
          </w:p>
        </w:tc>
      </w:tr>
      <w:tr>
        <w:trPr>
          <w:cantSplit/>
        </w:trPr>
        <w:tc>
          <w:tcPr/>
          <w:p>
            <w:pPr>
              <w:pStyle w:val="CompactSmall"/>
              <w:jc w:val="left"/>
            </w:pPr>
            <w:r>
              <w:t xml:space="preserve">Tăng trưởng</w:t>
            </w:r>
          </w:p>
        </w:tc>
        <w:tc>
          <w:tcPr/>
          <w:p>
            <w:pPr>
              <w:pStyle w:val="CompactSmall"/>
              <w:jc w:val="left"/>
            </w:pPr>
            <w:r>
              <w:t xml:space="preserve">Ngắn</w:t>
            </w:r>
          </w:p>
        </w:tc>
        <w:tc>
          <w:tcPr/>
          <w:p>
            <w:pPr>
              <w:pStyle w:val="CompactSmall"/>
              <w:jc w:val="left"/>
            </w:pPr>
            <w:r>
              <w:t xml:space="preserve">Markowitz</w:t>
            </w:r>
          </w:p>
        </w:tc>
        <w:tc>
          <w:tcPr/>
          <w:p>
            <w:pPr>
              <w:pStyle w:val="CompactSmall"/>
              <w:jc w:val="left"/>
            </w:pPr>
            <w:r>
              <w:t xml:space="preserve">6,1%</w:t>
            </w:r>
          </w:p>
        </w:tc>
        <w:tc>
          <w:tcPr/>
          <w:p>
            <w:pPr>
              <w:pStyle w:val="CompactSmall"/>
              <w:jc w:val="left"/>
            </w:pPr>
            <w:r>
              <w:t xml:space="preserve">17,5%</w:t>
            </w:r>
          </w:p>
        </w:tc>
        <w:tc>
          <w:tcPr/>
          <w:p>
            <w:pPr>
              <w:pStyle w:val="CompactSmall"/>
              <w:jc w:val="left"/>
            </w:pPr>
            <w:r>
              <w:t xml:space="preserve">0,09</w:t>
            </w:r>
          </w:p>
        </w:tc>
        <w:tc>
          <w:tcPr/>
          <w:p>
            <w:pPr>
              <w:pStyle w:val="CompactSmall"/>
              <w:jc w:val="left"/>
            </w:pPr>
            <w:r>
              <w:t xml:space="preserve">−42,0%</w:t>
            </w:r>
          </w:p>
        </w:tc>
        <w:tc>
          <w:tcPr/>
          <w:p>
            <w:pPr>
              <w:pStyle w:val="CompactSmall"/>
              <w:jc w:val="left"/>
            </w:pPr>
            <w:r>
              <w:t xml:space="preserve">2,1%</w:t>
            </w:r>
          </w:p>
        </w:tc>
        <w:tc>
          <w:tcPr/>
          <w:p>
            <w:pPr>
              <w:pStyle w:val="CompactSmall"/>
              <w:jc w:val="left"/>
            </w:pPr>
            <w:r>
              <w:t xml:space="preserve">74,8%</w:t>
            </w:r>
          </w:p>
        </w:tc>
      </w:tr>
      <w:tr>
        <w:trPr>
          <w:cantSplit/>
        </w:trPr>
        <w:tc>
          <w:tcPr/>
          <w:p>
            <w:pPr>
              <w:pStyle w:val="CompactSmall"/>
              <w:jc w:val="left"/>
            </w:pPr>
            <w:r>
              <w:t xml:space="preserve">Tăng trưởng</w:t>
            </w:r>
          </w:p>
        </w:tc>
        <w:tc>
          <w:tcPr/>
          <w:p>
            <w:pPr>
              <w:pStyle w:val="CompactSmall"/>
              <w:jc w:val="left"/>
            </w:pPr>
            <w:r>
              <w:t xml:space="preserve">Ngắn</w:t>
            </w:r>
          </w:p>
        </w:tc>
        <w:tc>
          <w:tcPr/>
          <w:p>
            <w:pPr>
              <w:pStyle w:val="CompactSmall"/>
              <w:jc w:val="left"/>
            </w:pPr>
            <w:r>
              <w:t xml:space="preserve">RiskParity</w:t>
            </w:r>
          </w:p>
        </w:tc>
        <w:tc>
          <w:tcPr/>
          <w:p>
            <w:pPr>
              <w:pStyle w:val="CompactSmall"/>
              <w:jc w:val="left"/>
            </w:pPr>
            <w:r>
              <w:t xml:space="preserve">7,7%</w:t>
            </w:r>
          </w:p>
        </w:tc>
        <w:tc>
          <w:tcPr/>
          <w:p>
            <w:pPr>
              <w:pStyle w:val="CompactSmall"/>
              <w:jc w:val="left"/>
            </w:pPr>
            <w:r>
              <w:t xml:space="preserve">16,1%</w:t>
            </w:r>
          </w:p>
        </w:tc>
        <w:tc>
          <w:tcPr/>
          <w:p>
            <w:pPr>
              <w:pStyle w:val="CompactSmall"/>
              <w:jc w:val="left"/>
            </w:pPr>
            <w:r>
              <w:t xml:space="preserve">0,18</w:t>
            </w:r>
          </w:p>
        </w:tc>
        <w:tc>
          <w:tcPr/>
          <w:p>
            <w:pPr>
              <w:pStyle w:val="CompactSmall"/>
              <w:jc w:val="left"/>
            </w:pPr>
            <w:r>
              <w:t xml:space="preserve">−38,5%</w:t>
            </w:r>
          </w:p>
        </w:tc>
        <w:tc>
          <w:tcPr/>
          <w:p>
            <w:pPr>
              <w:pStyle w:val="CompactSmall"/>
              <w:jc w:val="left"/>
            </w:pPr>
            <w:r>
              <w:t xml:space="preserve">3,1%</w:t>
            </w:r>
          </w:p>
        </w:tc>
        <w:tc>
          <w:tcPr/>
          <w:p>
            <w:pPr>
              <w:pStyle w:val="CompactSmall"/>
              <w:jc w:val="left"/>
            </w:pPr>
            <w:r>
              <w:t xml:space="preserve">70,0%</w:t>
            </w:r>
          </w:p>
        </w:tc>
      </w:tr>
      <w:tr>
        <w:trPr>
          <w:cantSplit/>
        </w:trPr>
        <w:tc>
          <w:tcPr/>
          <w:p>
            <w:pPr>
              <w:pStyle w:val="CompactSmall"/>
              <w:jc w:val="left"/>
            </w:pPr>
            <w:r>
              <w:t xml:space="preserve">Tăng trưởng</w:t>
            </w:r>
          </w:p>
        </w:tc>
        <w:tc>
          <w:tcPr/>
          <w:p>
            <w:pPr>
              <w:pStyle w:val="CompactSmall"/>
              <w:jc w:val="left"/>
            </w:pPr>
            <w:r>
              <w:t xml:space="preserve">Ngắn</w:t>
            </w:r>
          </w:p>
        </w:tc>
        <w:tc>
          <w:tcPr/>
          <w:p>
            <w:pPr>
              <w:pStyle w:val="CompactSmall"/>
              <w:jc w:val="left"/>
            </w:pPr>
            <w:r>
              <w:t xml:space="preserve">HRP</w:t>
            </w:r>
          </w:p>
        </w:tc>
        <w:tc>
          <w:tcPr/>
          <w:p>
            <w:pPr>
              <w:pStyle w:val="CompactSmall"/>
              <w:jc w:val="left"/>
            </w:pPr>
            <w:r>
              <w:t xml:space="preserve">7,9%</w:t>
            </w:r>
          </w:p>
        </w:tc>
        <w:tc>
          <w:tcPr/>
          <w:p>
            <w:pPr>
              <w:pStyle w:val="CompactSmall"/>
              <w:jc w:val="left"/>
            </w:pPr>
            <w:r>
              <w:t xml:space="preserve">15,8%</w:t>
            </w:r>
          </w:p>
        </w:tc>
        <w:tc>
          <w:tcPr/>
          <w:p>
            <w:pPr>
              <w:pStyle w:val="CompactSmall"/>
              <w:jc w:val="left"/>
            </w:pPr>
            <w:r>
              <w:t xml:space="preserve">0,19</w:t>
            </w:r>
          </w:p>
        </w:tc>
        <w:tc>
          <w:tcPr/>
          <w:p>
            <w:pPr>
              <w:pStyle w:val="CompactSmall"/>
              <w:jc w:val="left"/>
            </w:pPr>
            <w:r>
              <w:t xml:space="preserve">−36,2%</w:t>
            </w:r>
          </w:p>
        </w:tc>
        <w:tc>
          <w:tcPr/>
          <w:p>
            <w:pPr>
              <w:pStyle w:val="CompactSmall"/>
              <w:jc w:val="left"/>
            </w:pPr>
            <w:r>
              <w:t xml:space="preserve">3,2%</w:t>
            </w:r>
          </w:p>
        </w:tc>
        <w:tc>
          <w:tcPr/>
          <w:p>
            <w:pPr>
              <w:pStyle w:val="CompactSmall"/>
              <w:jc w:val="left"/>
            </w:pPr>
            <w:r>
              <w:t xml:space="preserve">70,0%</w:t>
            </w:r>
          </w:p>
        </w:tc>
      </w:tr>
      <w:tr>
        <w:trPr>
          <w:cantSplit/>
        </w:trPr>
        <w:tc>
          <w:tcPr/>
          <w:p>
            <w:pPr>
              <w:pStyle w:val="CompactSmall"/>
              <w:jc w:val="left"/>
            </w:pPr>
            <w:r>
              <w:t xml:space="preserve">Tăng trưởng</w:t>
            </w:r>
          </w:p>
        </w:tc>
        <w:tc>
          <w:tcPr/>
          <w:p>
            <w:pPr>
              <w:pStyle w:val="CompactSmall"/>
              <w:jc w:val="left"/>
            </w:pPr>
            <w:r>
              <w:t xml:space="preserve">Ngắn</w:t>
            </w:r>
          </w:p>
        </w:tc>
        <w:tc>
          <w:tcPr/>
          <w:p>
            <w:pPr>
              <w:pStyle w:val="CompactSmall"/>
              <w:jc w:val="left"/>
            </w:pPr>
            <w:r>
              <w:t xml:space="preserve">BlackLitterman</w:t>
            </w:r>
          </w:p>
        </w:tc>
        <w:tc>
          <w:tcPr/>
          <w:p>
            <w:pPr>
              <w:pStyle w:val="CompactSmall"/>
              <w:jc w:val="left"/>
            </w:pPr>
            <w:r>
              <w:t xml:space="preserve">8,6%</w:t>
            </w:r>
          </w:p>
        </w:tc>
        <w:tc>
          <w:tcPr/>
          <w:p>
            <w:pPr>
              <w:pStyle w:val="CompactSmall"/>
              <w:jc w:val="left"/>
            </w:pPr>
            <w:r>
              <w:t xml:space="preserve">17,4%</w:t>
            </w:r>
          </w:p>
        </w:tc>
        <w:tc>
          <w:tcPr/>
          <w:p>
            <w:pPr>
              <w:pStyle w:val="CompactSmall"/>
              <w:jc w:val="left"/>
            </w:pPr>
            <w:r>
              <w:t xml:space="preserve">0,22</w:t>
            </w:r>
          </w:p>
        </w:tc>
        <w:tc>
          <w:tcPr/>
          <w:p>
            <w:pPr>
              <w:pStyle w:val="CompactSmall"/>
              <w:jc w:val="left"/>
            </w:pPr>
            <w:r>
              <w:t xml:space="preserve">−38,0%</w:t>
            </w:r>
          </w:p>
        </w:tc>
        <w:tc>
          <w:tcPr/>
          <w:p>
            <w:pPr>
              <w:pStyle w:val="CompactSmall"/>
              <w:jc w:val="left"/>
            </w:pPr>
            <w:r>
              <w:t xml:space="preserve">7,2%</w:t>
            </w:r>
          </w:p>
        </w:tc>
        <w:tc>
          <w:tcPr/>
          <w:p>
            <w:pPr>
              <w:pStyle w:val="CompactSmall"/>
              <w:jc w:val="left"/>
            </w:pPr>
            <w:r>
              <w:t xml:space="preserve">73,7%</w:t>
            </w:r>
          </w:p>
        </w:tc>
      </w:tr>
      <w:tr>
        <w:trPr>
          <w:cantSplit/>
        </w:trPr>
        <w:tc>
          <w:tcPr/>
          <w:p>
            <w:pPr>
              <w:pStyle w:val="CompactSmall"/>
              <w:jc w:val="left"/>
            </w:pPr>
            <w:r>
              <w:t xml:space="preserve">Tăng trưởng</w:t>
            </w:r>
          </w:p>
        </w:tc>
        <w:tc>
          <w:tcPr/>
          <w:p>
            <w:pPr>
              <w:pStyle w:val="CompactSmall"/>
              <w:jc w:val="left"/>
            </w:pPr>
            <w:r>
              <w:t xml:space="preserve">Ngắn</w:t>
            </w:r>
          </w:p>
        </w:tc>
        <w:tc>
          <w:tcPr/>
          <w:p>
            <w:pPr>
              <w:pStyle w:val="CompactSmall"/>
              <w:jc w:val="left"/>
            </w:pPr>
            <w:r>
              <w:t xml:space="preserve">MLP_MVO</w:t>
            </w:r>
          </w:p>
        </w:tc>
        <w:tc>
          <w:tcPr/>
          <w:p>
            <w:pPr>
              <w:pStyle w:val="CompactSmall"/>
              <w:jc w:val="left"/>
            </w:pPr>
            <w:r>
              <w:t xml:space="preserve">6,0%</w:t>
            </w:r>
          </w:p>
        </w:tc>
        <w:tc>
          <w:tcPr/>
          <w:p>
            <w:pPr>
              <w:pStyle w:val="CompactSmall"/>
              <w:jc w:val="left"/>
            </w:pPr>
            <w:r>
              <w:t xml:space="preserve">17,9%</w:t>
            </w:r>
          </w:p>
        </w:tc>
        <w:tc>
          <w:tcPr/>
          <w:p>
            <w:pPr>
              <w:pStyle w:val="CompactSmall"/>
              <w:jc w:val="left"/>
            </w:pPr>
            <w:r>
              <w:t xml:space="preserve">0,09</w:t>
            </w:r>
          </w:p>
        </w:tc>
        <w:tc>
          <w:tcPr/>
          <w:p>
            <w:pPr>
              <w:pStyle w:val="CompactSmall"/>
              <w:jc w:val="left"/>
            </w:pPr>
            <w:r>
              <w:t xml:space="preserve">−40,9%</w:t>
            </w:r>
          </w:p>
        </w:tc>
        <w:tc>
          <w:tcPr/>
          <w:p>
            <w:pPr>
              <w:pStyle w:val="CompactSmall"/>
              <w:jc w:val="left"/>
            </w:pPr>
            <w:r>
              <w:t xml:space="preserve">17,6%</w:t>
            </w:r>
          </w:p>
        </w:tc>
        <w:tc>
          <w:tcPr/>
          <w:p>
            <w:pPr>
              <w:pStyle w:val="CompactSmall"/>
              <w:jc w:val="left"/>
            </w:pPr>
            <w:r>
              <w:t xml:space="preserve">76,9%</w:t>
            </w:r>
          </w:p>
        </w:tc>
      </w:tr>
      <w:tr>
        <w:trPr>
          <w:cantSplit/>
        </w:trPr>
        <w:tc>
          <w:tcPr/>
          <w:p>
            <w:pPr>
              <w:pStyle w:val="CompactSmall"/>
              <w:jc w:val="left"/>
            </w:pPr>
            <w:r>
              <w:t xml:space="preserve">Tăng trưởng</w:t>
            </w:r>
          </w:p>
        </w:tc>
        <w:tc>
          <w:tcPr/>
          <w:p>
            <w:pPr>
              <w:pStyle w:val="CompactSmall"/>
              <w:jc w:val="left"/>
            </w:pPr>
            <w:r>
              <w:t xml:space="preserve">Ngắn</w:t>
            </w:r>
          </w:p>
        </w:tc>
        <w:tc>
          <w:tcPr/>
          <w:p>
            <w:pPr>
              <w:pStyle w:val="CompactSmall"/>
              <w:jc w:val="left"/>
            </w:pPr>
            <w:r>
              <w:t xml:space="preserve">RL</w:t>
            </w:r>
          </w:p>
        </w:tc>
        <w:tc>
          <w:tcPr/>
          <w:p>
            <w:pPr>
              <w:pStyle w:val="CompactSmall"/>
              <w:jc w:val="left"/>
            </w:pPr>
            <w:r>
              <w:t xml:space="preserve">6,0%</w:t>
            </w:r>
          </w:p>
        </w:tc>
        <w:tc>
          <w:tcPr/>
          <w:p>
            <w:pPr>
              <w:pStyle w:val="CompactSmall"/>
              <w:jc w:val="left"/>
            </w:pPr>
            <w:r>
              <w:t xml:space="preserve">19,3%</w:t>
            </w:r>
          </w:p>
        </w:tc>
        <w:tc>
          <w:tcPr/>
          <w:p>
            <w:pPr>
              <w:pStyle w:val="CompactSmall"/>
              <w:jc w:val="left"/>
            </w:pPr>
            <w:r>
              <w:t xml:space="preserve">0,10</w:t>
            </w:r>
          </w:p>
        </w:tc>
        <w:tc>
          <w:tcPr/>
          <w:p>
            <w:pPr>
              <w:pStyle w:val="CompactSmall"/>
              <w:jc w:val="left"/>
            </w:pPr>
            <w:r>
              <w:t xml:space="preserve">−46,8%</w:t>
            </w:r>
          </w:p>
        </w:tc>
        <w:tc>
          <w:tcPr/>
          <w:p>
            <w:pPr>
              <w:pStyle w:val="CompactSmall"/>
              <w:jc w:val="left"/>
            </w:pPr>
            <w:r>
              <w:t xml:space="preserve">12,4%</w:t>
            </w:r>
          </w:p>
        </w:tc>
        <w:tc>
          <w:tcPr/>
          <w:p>
            <w:pPr>
              <w:pStyle w:val="CompactSmall"/>
              <w:jc w:val="left"/>
            </w:pPr>
            <w:r>
              <w:t xml:space="preserve">82,5%</w:t>
            </w:r>
          </w:p>
        </w:tc>
      </w:tr>
      <w:tr>
        <w:trPr>
          <w:cantSplit/>
        </w:trPr>
        <w:tc>
          <w:tcPr/>
          <w:p>
            <w:pPr>
              <w:pStyle w:val="CompactSmall"/>
              <w:jc w:val="left"/>
            </w:pPr>
            <w:r>
              <w:t xml:space="preserve">Tăng trưởng</w:t>
            </w:r>
          </w:p>
        </w:tc>
        <w:tc>
          <w:tcPr/>
          <w:p>
            <w:pPr>
              <w:pStyle w:val="CompactSmall"/>
              <w:jc w:val="left"/>
            </w:pPr>
            <w:r>
              <w:t xml:space="preserve">Trung</w:t>
            </w:r>
          </w:p>
        </w:tc>
        <w:tc>
          <w:tcPr/>
          <w:p>
            <w:pPr>
              <w:pStyle w:val="CompactSmall"/>
              <w:jc w:val="left"/>
            </w:pPr>
            <w:r>
              <w:t xml:space="preserve">EqualWeight</w:t>
            </w:r>
          </w:p>
        </w:tc>
        <w:tc>
          <w:tcPr/>
          <w:p>
            <w:pPr>
              <w:pStyle w:val="CompactSmall"/>
              <w:jc w:val="left"/>
            </w:pPr>
            <w:r>
              <w:t xml:space="preserve">7,3%</w:t>
            </w:r>
          </w:p>
        </w:tc>
        <w:tc>
          <w:tcPr/>
          <w:p>
            <w:pPr>
              <w:pStyle w:val="CompactSmall"/>
              <w:jc w:val="left"/>
            </w:pPr>
            <w:r>
              <w:t xml:space="preserve">16,6%</w:t>
            </w:r>
          </w:p>
        </w:tc>
        <w:tc>
          <w:tcPr/>
          <w:p>
            <w:pPr>
              <w:pStyle w:val="CompactSmall"/>
              <w:jc w:val="left"/>
            </w:pPr>
            <w:r>
              <w:t xml:space="preserve">0,16</w:t>
            </w:r>
          </w:p>
        </w:tc>
        <w:tc>
          <w:tcPr/>
          <w:p>
            <w:pPr>
              <w:pStyle w:val="CompactSmall"/>
              <w:jc w:val="left"/>
            </w:pPr>
            <w:r>
              <w:t xml:space="preserve">−40,9%</w:t>
            </w:r>
          </w:p>
        </w:tc>
        <w:tc>
          <w:tcPr/>
          <w:p>
            <w:pPr>
              <w:pStyle w:val="CompactSmall"/>
              <w:jc w:val="left"/>
            </w:pPr>
            <w:r>
              <w:t xml:space="preserve">2,0%</w:t>
            </w:r>
          </w:p>
        </w:tc>
        <w:tc>
          <w:tcPr/>
          <w:p>
            <w:pPr>
              <w:pStyle w:val="CompactSmall"/>
              <w:jc w:val="left"/>
            </w:pPr>
            <w:r>
              <w:t xml:space="preserve">70,1%</w:t>
            </w:r>
          </w:p>
        </w:tc>
      </w:tr>
      <w:tr>
        <w:trPr>
          <w:cantSplit/>
        </w:trPr>
        <w:tc>
          <w:tcPr/>
          <w:p>
            <w:pPr>
              <w:pStyle w:val="CompactSmall"/>
              <w:jc w:val="left"/>
            </w:pPr>
            <w:r>
              <w:t xml:space="preserve">Tăng trưởng</w:t>
            </w:r>
          </w:p>
        </w:tc>
        <w:tc>
          <w:tcPr/>
          <w:p>
            <w:pPr>
              <w:pStyle w:val="CompactSmall"/>
              <w:jc w:val="left"/>
            </w:pPr>
            <w:r>
              <w:t xml:space="preserve">Trung</w:t>
            </w:r>
          </w:p>
        </w:tc>
        <w:tc>
          <w:tcPr/>
          <w:p>
            <w:pPr>
              <w:pStyle w:val="CompactSmall"/>
              <w:jc w:val="left"/>
            </w:pPr>
            <w:r>
              <w:t xml:space="preserve">Markowitz</w:t>
            </w:r>
          </w:p>
        </w:tc>
        <w:tc>
          <w:tcPr/>
          <w:p>
            <w:pPr>
              <w:pStyle w:val="CompactSmall"/>
              <w:jc w:val="left"/>
            </w:pPr>
            <w:r>
              <w:t xml:space="preserve">7,5%</w:t>
            </w:r>
          </w:p>
        </w:tc>
        <w:tc>
          <w:tcPr/>
          <w:p>
            <w:pPr>
              <w:pStyle w:val="CompactSmall"/>
              <w:jc w:val="left"/>
            </w:pPr>
            <w:r>
              <w:t xml:space="preserve">16,1%</w:t>
            </w:r>
          </w:p>
        </w:tc>
        <w:tc>
          <w:tcPr/>
          <w:p>
            <w:pPr>
              <w:pStyle w:val="CompactSmall"/>
              <w:jc w:val="left"/>
            </w:pPr>
            <w:r>
              <w:t xml:space="preserve">0,17</w:t>
            </w:r>
          </w:p>
        </w:tc>
        <w:tc>
          <w:tcPr/>
          <w:p>
            <w:pPr>
              <w:pStyle w:val="CompactSmall"/>
              <w:jc w:val="left"/>
            </w:pPr>
            <w:r>
              <w:t xml:space="preserve">−35,6%</w:t>
            </w:r>
          </w:p>
        </w:tc>
        <w:tc>
          <w:tcPr/>
          <w:p>
            <w:pPr>
              <w:pStyle w:val="CompactSmall"/>
              <w:jc w:val="left"/>
            </w:pPr>
            <w:r>
              <w:t xml:space="preserve">2,0%</w:t>
            </w:r>
          </w:p>
        </w:tc>
        <w:tc>
          <w:tcPr/>
          <w:p>
            <w:pPr>
              <w:pStyle w:val="CompactSmall"/>
              <w:jc w:val="left"/>
            </w:pPr>
            <w:r>
              <w:t xml:space="preserve">72,4%</w:t>
            </w:r>
          </w:p>
        </w:tc>
      </w:tr>
      <w:tr>
        <w:trPr>
          <w:cantSplit/>
        </w:trPr>
        <w:tc>
          <w:tcPr/>
          <w:p>
            <w:pPr>
              <w:pStyle w:val="CompactSmall"/>
              <w:jc w:val="left"/>
            </w:pPr>
            <w:r>
              <w:t xml:space="preserve">Tăng trưởng</w:t>
            </w:r>
          </w:p>
        </w:tc>
        <w:tc>
          <w:tcPr/>
          <w:p>
            <w:pPr>
              <w:pStyle w:val="CompactSmall"/>
              <w:jc w:val="left"/>
            </w:pPr>
            <w:r>
              <w:t xml:space="preserve">Trung</w:t>
            </w:r>
          </w:p>
        </w:tc>
        <w:tc>
          <w:tcPr/>
          <w:p>
            <w:pPr>
              <w:pStyle w:val="CompactSmall"/>
              <w:jc w:val="left"/>
            </w:pPr>
            <w:r>
              <w:t xml:space="preserve">RiskParity</w:t>
            </w:r>
          </w:p>
        </w:tc>
        <w:tc>
          <w:tcPr/>
          <w:p>
            <w:pPr>
              <w:pStyle w:val="CompactSmall"/>
              <w:jc w:val="left"/>
            </w:pPr>
            <w:r>
              <w:t xml:space="preserve">7,8%</w:t>
            </w:r>
          </w:p>
        </w:tc>
        <w:tc>
          <w:tcPr/>
          <w:p>
            <w:pPr>
              <w:pStyle w:val="CompactSmall"/>
              <w:jc w:val="left"/>
            </w:pPr>
            <w:r>
              <w:t xml:space="preserve">16,0%</w:t>
            </w:r>
          </w:p>
        </w:tc>
        <w:tc>
          <w:tcPr/>
          <w:p>
            <w:pPr>
              <w:pStyle w:val="CompactSmall"/>
              <w:jc w:val="left"/>
            </w:pPr>
            <w:r>
              <w:t xml:space="preserve">0,19</w:t>
            </w:r>
          </w:p>
        </w:tc>
        <w:tc>
          <w:tcPr/>
          <w:p>
            <w:pPr>
              <w:pStyle w:val="CompactSmall"/>
              <w:jc w:val="left"/>
            </w:pPr>
            <w:r>
              <w:t xml:space="preserve">−38,2%</w:t>
            </w:r>
          </w:p>
        </w:tc>
        <w:tc>
          <w:tcPr/>
          <w:p>
            <w:pPr>
              <w:pStyle w:val="CompactSmall"/>
              <w:jc w:val="left"/>
            </w:pPr>
            <w:r>
              <w:t xml:space="preserve">2,0%</w:t>
            </w:r>
          </w:p>
        </w:tc>
        <w:tc>
          <w:tcPr/>
          <w:p>
            <w:pPr>
              <w:pStyle w:val="CompactSmall"/>
              <w:jc w:val="left"/>
            </w:pPr>
            <w:r>
              <w:t xml:space="preserve">70,1%</w:t>
            </w:r>
          </w:p>
        </w:tc>
      </w:tr>
      <w:tr>
        <w:trPr>
          <w:cantSplit/>
        </w:trPr>
        <w:tc>
          <w:tcPr/>
          <w:p>
            <w:pPr>
              <w:pStyle w:val="CompactSmall"/>
              <w:jc w:val="left"/>
            </w:pPr>
            <w:r>
              <w:t xml:space="preserve">Tăng trưởng</w:t>
            </w:r>
          </w:p>
        </w:tc>
        <w:tc>
          <w:tcPr/>
          <w:p>
            <w:pPr>
              <w:pStyle w:val="CompactSmall"/>
              <w:jc w:val="left"/>
            </w:pPr>
            <w:r>
              <w:t xml:space="preserve">Trung</w:t>
            </w:r>
          </w:p>
        </w:tc>
        <w:tc>
          <w:tcPr/>
          <w:p>
            <w:pPr>
              <w:pStyle w:val="CompactSmall"/>
              <w:jc w:val="left"/>
            </w:pPr>
            <w:r>
              <w:t xml:space="preserve">HRP</w:t>
            </w:r>
          </w:p>
        </w:tc>
        <w:tc>
          <w:tcPr/>
          <w:p>
            <w:pPr>
              <w:pStyle w:val="CompactSmall"/>
              <w:jc w:val="left"/>
            </w:pPr>
            <w:r>
              <w:t xml:space="preserve">8,0%</w:t>
            </w:r>
          </w:p>
        </w:tc>
        <w:tc>
          <w:tcPr/>
          <w:p>
            <w:pPr>
              <w:pStyle w:val="CompactSmall"/>
              <w:jc w:val="left"/>
            </w:pPr>
            <w:r>
              <w:t xml:space="preserve">15,7%</w:t>
            </w:r>
          </w:p>
        </w:tc>
        <w:tc>
          <w:tcPr/>
          <w:p>
            <w:pPr>
              <w:pStyle w:val="CompactSmall"/>
              <w:jc w:val="left"/>
            </w:pPr>
            <w:r>
              <w:t xml:space="preserve">0,20</w:t>
            </w:r>
          </w:p>
        </w:tc>
        <w:tc>
          <w:tcPr/>
          <w:p>
            <w:pPr>
              <w:pStyle w:val="CompactSmall"/>
              <w:jc w:val="left"/>
            </w:pPr>
            <w:r>
              <w:t xml:space="preserve">−35,7%</w:t>
            </w:r>
          </w:p>
        </w:tc>
        <w:tc>
          <w:tcPr/>
          <w:p>
            <w:pPr>
              <w:pStyle w:val="CompactSmall"/>
              <w:jc w:val="left"/>
            </w:pPr>
            <w:r>
              <w:t xml:space="preserve">2,2%</w:t>
            </w:r>
          </w:p>
        </w:tc>
        <w:tc>
          <w:tcPr/>
          <w:p>
            <w:pPr>
              <w:pStyle w:val="CompactSmall"/>
              <w:jc w:val="left"/>
            </w:pPr>
            <w:r>
              <w:t xml:space="preserve">70,1%</w:t>
            </w:r>
          </w:p>
        </w:tc>
      </w:tr>
      <w:tr>
        <w:trPr>
          <w:cantSplit/>
        </w:trPr>
        <w:tc>
          <w:tcPr/>
          <w:p>
            <w:pPr>
              <w:pStyle w:val="CompactSmall"/>
              <w:jc w:val="left"/>
            </w:pPr>
            <w:r>
              <w:t xml:space="preserve">Tăng trưởng</w:t>
            </w:r>
          </w:p>
        </w:tc>
        <w:tc>
          <w:tcPr/>
          <w:p>
            <w:pPr>
              <w:pStyle w:val="CompactSmall"/>
              <w:jc w:val="left"/>
            </w:pPr>
            <w:r>
              <w:t xml:space="preserve">Trung</w:t>
            </w:r>
          </w:p>
        </w:tc>
        <w:tc>
          <w:tcPr/>
          <w:p>
            <w:pPr>
              <w:pStyle w:val="CompactSmall"/>
              <w:jc w:val="left"/>
            </w:pPr>
            <w:r>
              <w:t xml:space="preserve">BlackLitterman</w:t>
            </w:r>
          </w:p>
        </w:tc>
        <w:tc>
          <w:tcPr/>
          <w:p>
            <w:pPr>
              <w:pStyle w:val="CompactSmall"/>
              <w:jc w:val="left"/>
            </w:pPr>
            <w:r>
              <w:t xml:space="preserve">8,4%</w:t>
            </w:r>
          </w:p>
        </w:tc>
        <w:tc>
          <w:tcPr/>
          <w:p>
            <w:pPr>
              <w:pStyle w:val="CompactSmall"/>
              <w:jc w:val="left"/>
            </w:pPr>
            <w:r>
              <w:t xml:space="preserve">17,0%</w:t>
            </w:r>
          </w:p>
        </w:tc>
        <w:tc>
          <w:tcPr/>
          <w:p>
            <w:pPr>
              <w:pStyle w:val="CompactSmall"/>
              <w:jc w:val="left"/>
            </w:pPr>
            <w:r>
              <w:t xml:space="preserve">0,22</w:t>
            </w:r>
          </w:p>
        </w:tc>
        <w:tc>
          <w:tcPr/>
          <w:p>
            <w:pPr>
              <w:pStyle w:val="CompactSmall"/>
              <w:jc w:val="left"/>
            </w:pPr>
            <w:r>
              <w:t xml:space="preserve">−36,2%</w:t>
            </w:r>
          </w:p>
        </w:tc>
        <w:tc>
          <w:tcPr/>
          <w:p>
            <w:pPr>
              <w:pStyle w:val="CompactSmall"/>
              <w:jc w:val="left"/>
            </w:pPr>
            <w:r>
              <w:t xml:space="preserve">6,0%</w:t>
            </w:r>
          </w:p>
        </w:tc>
        <w:tc>
          <w:tcPr/>
          <w:p>
            <w:pPr>
              <w:pStyle w:val="CompactSmall"/>
              <w:jc w:val="left"/>
            </w:pPr>
            <w:r>
              <w:t xml:space="preserve">73,9%</w:t>
            </w:r>
          </w:p>
        </w:tc>
      </w:tr>
      <w:tr>
        <w:trPr>
          <w:cantSplit/>
        </w:trPr>
        <w:tc>
          <w:tcPr/>
          <w:p>
            <w:pPr>
              <w:pStyle w:val="CompactSmall"/>
              <w:jc w:val="left"/>
            </w:pPr>
            <w:r>
              <w:t xml:space="preserve">Tăng trưởng</w:t>
            </w:r>
          </w:p>
        </w:tc>
        <w:tc>
          <w:tcPr/>
          <w:p>
            <w:pPr>
              <w:pStyle w:val="CompactSmall"/>
              <w:jc w:val="left"/>
            </w:pPr>
            <w:r>
              <w:t xml:space="preserve">Trung</w:t>
            </w:r>
          </w:p>
        </w:tc>
        <w:tc>
          <w:tcPr/>
          <w:p>
            <w:pPr>
              <w:pStyle w:val="CompactSmall"/>
              <w:jc w:val="left"/>
            </w:pPr>
            <w:r>
              <w:t xml:space="preserve">MLP_MVO</w:t>
            </w:r>
          </w:p>
        </w:tc>
        <w:tc>
          <w:tcPr/>
          <w:p>
            <w:pPr>
              <w:pStyle w:val="CompactSmall"/>
              <w:jc w:val="left"/>
            </w:pPr>
            <w:r>
              <w:t xml:space="preserve">9,4%</w:t>
            </w:r>
          </w:p>
        </w:tc>
        <w:tc>
          <w:tcPr/>
          <w:p>
            <w:pPr>
              <w:pStyle w:val="CompactSmall"/>
              <w:jc w:val="left"/>
            </w:pPr>
            <w:r>
              <w:t xml:space="preserve">18,1%</w:t>
            </w:r>
          </w:p>
        </w:tc>
        <w:tc>
          <w:tcPr/>
          <w:p>
            <w:pPr>
              <w:pStyle w:val="CompactSmall"/>
              <w:jc w:val="left"/>
            </w:pPr>
            <w:r>
              <w:t xml:space="preserve">0,26</w:t>
            </w:r>
          </w:p>
        </w:tc>
        <w:tc>
          <w:tcPr/>
          <w:p>
            <w:pPr>
              <w:pStyle w:val="CompactSmall"/>
              <w:jc w:val="left"/>
            </w:pPr>
            <w:r>
              <w:t xml:space="preserve">−38,5%</w:t>
            </w:r>
          </w:p>
        </w:tc>
        <w:tc>
          <w:tcPr/>
          <w:p>
            <w:pPr>
              <w:pStyle w:val="CompactSmall"/>
              <w:jc w:val="left"/>
            </w:pPr>
            <w:r>
              <w:t xml:space="preserve">9,1%</w:t>
            </w:r>
          </w:p>
        </w:tc>
        <w:tc>
          <w:tcPr/>
          <w:p>
            <w:pPr>
              <w:pStyle w:val="CompactSmall"/>
              <w:jc w:val="left"/>
            </w:pPr>
            <w:r>
              <w:t xml:space="preserve">75,2%</w:t>
            </w:r>
          </w:p>
        </w:tc>
      </w:tr>
      <w:tr>
        <w:trPr>
          <w:cantSplit/>
        </w:trPr>
        <w:tc>
          <w:tcPr/>
          <w:p>
            <w:pPr>
              <w:pStyle w:val="CompactSmall"/>
              <w:jc w:val="left"/>
            </w:pPr>
            <w:r>
              <w:t xml:space="preserve">Tăng trưởng</w:t>
            </w:r>
          </w:p>
        </w:tc>
        <w:tc>
          <w:tcPr/>
          <w:p>
            <w:pPr>
              <w:pStyle w:val="CompactSmall"/>
              <w:jc w:val="left"/>
            </w:pPr>
            <w:r>
              <w:t xml:space="preserve">Trung</w:t>
            </w:r>
          </w:p>
        </w:tc>
        <w:tc>
          <w:tcPr/>
          <w:p>
            <w:pPr>
              <w:pStyle w:val="CompactSmall"/>
              <w:jc w:val="left"/>
            </w:pPr>
            <w:r>
              <w:t xml:space="preserve">RL</w:t>
            </w:r>
          </w:p>
        </w:tc>
        <w:tc>
          <w:tcPr/>
          <w:p>
            <w:pPr>
              <w:pStyle w:val="CompactSmall"/>
              <w:jc w:val="left"/>
            </w:pPr>
            <w:r>
              <w:t xml:space="preserve">6,9%</w:t>
            </w:r>
          </w:p>
        </w:tc>
        <w:tc>
          <w:tcPr/>
          <w:p>
            <w:pPr>
              <w:pStyle w:val="CompactSmall"/>
              <w:jc w:val="left"/>
            </w:pPr>
            <w:r>
              <w:t xml:space="preserve">19,2%</w:t>
            </w:r>
          </w:p>
        </w:tc>
        <w:tc>
          <w:tcPr/>
          <w:p>
            <w:pPr>
              <w:pStyle w:val="CompactSmall"/>
              <w:jc w:val="left"/>
            </w:pPr>
            <w:r>
              <w:t xml:space="preserve">0,14</w:t>
            </w:r>
          </w:p>
        </w:tc>
        <w:tc>
          <w:tcPr/>
          <w:p>
            <w:pPr>
              <w:pStyle w:val="CompactSmall"/>
              <w:jc w:val="left"/>
            </w:pPr>
            <w:r>
              <w:t xml:space="preserve">−45,1%</w:t>
            </w:r>
          </w:p>
        </w:tc>
        <w:tc>
          <w:tcPr/>
          <w:p>
            <w:pPr>
              <w:pStyle w:val="CompactSmall"/>
              <w:jc w:val="left"/>
            </w:pPr>
            <w:r>
              <w:t xml:space="preserve">7,4%</w:t>
            </w:r>
          </w:p>
        </w:tc>
        <w:tc>
          <w:tcPr/>
          <w:p>
            <w:pPr>
              <w:pStyle w:val="CompactSmall"/>
              <w:jc w:val="left"/>
            </w:pPr>
            <w:r>
              <w:t xml:space="preserve">81,1%</w:t>
            </w:r>
          </w:p>
        </w:tc>
      </w:tr>
      <w:tr>
        <w:trPr>
          <w:cantSplit/>
        </w:trPr>
        <w:tc>
          <w:tcPr/>
          <w:p>
            <w:pPr>
              <w:pStyle w:val="CompactSmall"/>
              <w:jc w:val="left"/>
            </w:pPr>
            <w:r>
              <w:t xml:space="preserve">Tăng trưởng</w:t>
            </w:r>
          </w:p>
        </w:tc>
        <w:tc>
          <w:tcPr/>
          <w:p>
            <w:pPr>
              <w:pStyle w:val="CompactSmall"/>
              <w:jc w:val="left"/>
            </w:pPr>
            <w:r>
              <w:t xml:space="preserve">Dài</w:t>
            </w:r>
          </w:p>
        </w:tc>
        <w:tc>
          <w:tcPr/>
          <w:p>
            <w:pPr>
              <w:pStyle w:val="CompactSmall"/>
              <w:jc w:val="left"/>
            </w:pPr>
            <w:r>
              <w:t xml:space="preserve">EqualWeight</w:t>
            </w:r>
          </w:p>
        </w:tc>
        <w:tc>
          <w:tcPr/>
          <w:p>
            <w:pPr>
              <w:pStyle w:val="CompactSmall"/>
              <w:jc w:val="left"/>
            </w:pPr>
            <w:r>
              <w:t xml:space="preserve">8,1%</w:t>
            </w:r>
          </w:p>
        </w:tc>
        <w:tc>
          <w:tcPr/>
          <w:p>
            <w:pPr>
              <w:pStyle w:val="CompactSmall"/>
              <w:jc w:val="left"/>
            </w:pPr>
            <w:r>
              <w:t xml:space="preserve">16,4%</w:t>
            </w:r>
          </w:p>
        </w:tc>
        <w:tc>
          <w:tcPr/>
          <w:p>
            <w:pPr>
              <w:pStyle w:val="CompactSmall"/>
              <w:jc w:val="left"/>
            </w:pPr>
            <w:r>
              <w:t xml:space="preserve">0,20</w:t>
            </w:r>
          </w:p>
        </w:tc>
        <w:tc>
          <w:tcPr/>
          <w:p>
            <w:pPr>
              <w:pStyle w:val="CompactSmall"/>
              <w:jc w:val="left"/>
            </w:pPr>
            <w:r>
              <w:t xml:space="preserve">−38,5%</w:t>
            </w:r>
          </w:p>
        </w:tc>
        <w:tc>
          <w:tcPr/>
          <w:p>
            <w:pPr>
              <w:pStyle w:val="CompactSmall"/>
              <w:jc w:val="left"/>
            </w:pPr>
            <w:r>
              <w:t xml:space="preserve">1,0%</w:t>
            </w:r>
          </w:p>
        </w:tc>
        <w:tc>
          <w:tcPr/>
          <w:p>
            <w:pPr>
              <w:pStyle w:val="CompactSmall"/>
              <w:jc w:val="left"/>
            </w:pPr>
            <w:r>
              <w:t xml:space="preserve">69,9%</w:t>
            </w:r>
          </w:p>
        </w:tc>
      </w:tr>
      <w:tr>
        <w:trPr>
          <w:cantSplit/>
        </w:trPr>
        <w:tc>
          <w:tcPr/>
          <w:p>
            <w:pPr>
              <w:pStyle w:val="CompactSmall"/>
              <w:jc w:val="left"/>
            </w:pPr>
            <w:r>
              <w:t xml:space="preserve">Tăng trưởng</w:t>
            </w:r>
          </w:p>
        </w:tc>
        <w:tc>
          <w:tcPr/>
          <w:p>
            <w:pPr>
              <w:pStyle w:val="CompactSmall"/>
              <w:jc w:val="left"/>
            </w:pPr>
            <w:r>
              <w:t xml:space="preserve">Dài</w:t>
            </w:r>
          </w:p>
        </w:tc>
        <w:tc>
          <w:tcPr/>
          <w:p>
            <w:pPr>
              <w:pStyle w:val="CompactSmall"/>
              <w:jc w:val="left"/>
            </w:pPr>
            <w:r>
              <w:t xml:space="preserve">Markowitz</w:t>
            </w:r>
          </w:p>
        </w:tc>
        <w:tc>
          <w:tcPr/>
          <w:p>
            <w:pPr>
              <w:pStyle w:val="CompactSmall"/>
              <w:jc w:val="left"/>
            </w:pPr>
            <w:r>
              <w:t xml:space="preserve">6,4%</w:t>
            </w:r>
          </w:p>
        </w:tc>
        <w:tc>
          <w:tcPr/>
          <w:p>
            <w:pPr>
              <w:pStyle w:val="CompactSmall"/>
              <w:jc w:val="left"/>
            </w:pPr>
            <w:r>
              <w:t xml:space="preserve">16,4%</w:t>
            </w:r>
          </w:p>
        </w:tc>
        <w:tc>
          <w:tcPr/>
          <w:p>
            <w:pPr>
              <w:pStyle w:val="CompactSmall"/>
              <w:jc w:val="left"/>
            </w:pPr>
            <w:r>
              <w:t xml:space="preserve">0,10</w:t>
            </w:r>
          </w:p>
        </w:tc>
        <w:tc>
          <w:tcPr/>
          <w:p>
            <w:pPr>
              <w:pStyle w:val="CompactSmall"/>
              <w:jc w:val="left"/>
            </w:pPr>
            <w:r>
              <w:t xml:space="preserve">−37,9%</w:t>
            </w:r>
          </w:p>
        </w:tc>
        <w:tc>
          <w:tcPr/>
          <w:p>
            <w:pPr>
              <w:pStyle w:val="CompactSmall"/>
              <w:jc w:val="left"/>
            </w:pPr>
            <w:r>
              <w:t xml:space="preserve">1,9%</w:t>
            </w:r>
          </w:p>
        </w:tc>
        <w:tc>
          <w:tcPr/>
          <w:p>
            <w:pPr>
              <w:pStyle w:val="CompactSmall"/>
              <w:jc w:val="left"/>
            </w:pPr>
            <w:r>
              <w:t xml:space="preserve">72,7%</w:t>
            </w:r>
          </w:p>
        </w:tc>
      </w:tr>
      <w:tr>
        <w:trPr>
          <w:cantSplit/>
        </w:trPr>
        <w:tc>
          <w:tcPr/>
          <w:p>
            <w:pPr>
              <w:pStyle w:val="CompactSmall"/>
              <w:jc w:val="left"/>
            </w:pPr>
            <w:r>
              <w:t xml:space="preserve">Tăng trưởng</w:t>
            </w:r>
          </w:p>
        </w:tc>
        <w:tc>
          <w:tcPr/>
          <w:p>
            <w:pPr>
              <w:pStyle w:val="CompactSmall"/>
              <w:jc w:val="left"/>
            </w:pPr>
            <w:r>
              <w:t xml:space="preserve">Dài</w:t>
            </w:r>
          </w:p>
        </w:tc>
        <w:tc>
          <w:tcPr/>
          <w:p>
            <w:pPr>
              <w:pStyle w:val="CompactSmall"/>
              <w:jc w:val="left"/>
            </w:pPr>
            <w:r>
              <w:t xml:space="preserve">RiskParity</w:t>
            </w:r>
          </w:p>
        </w:tc>
        <w:tc>
          <w:tcPr/>
          <w:p>
            <w:pPr>
              <w:pStyle w:val="CompactSmall"/>
              <w:jc w:val="left"/>
            </w:pPr>
            <w:r>
              <w:t xml:space="preserve">8,2%</w:t>
            </w:r>
          </w:p>
        </w:tc>
        <w:tc>
          <w:tcPr/>
          <w:p>
            <w:pPr>
              <w:pStyle w:val="CompactSmall"/>
              <w:jc w:val="left"/>
            </w:pPr>
            <w:r>
              <w:t xml:space="preserve">15,9%</w:t>
            </w:r>
          </w:p>
        </w:tc>
        <w:tc>
          <w:tcPr/>
          <w:p>
            <w:pPr>
              <w:pStyle w:val="CompactSmall"/>
              <w:jc w:val="left"/>
            </w:pPr>
            <w:r>
              <w:t xml:space="preserve">0,21</w:t>
            </w:r>
          </w:p>
        </w:tc>
        <w:tc>
          <w:tcPr/>
          <w:p>
            <w:pPr>
              <w:pStyle w:val="CompactSmall"/>
              <w:jc w:val="left"/>
            </w:pPr>
            <w:r>
              <w:t xml:space="preserve">−37,0%</w:t>
            </w:r>
          </w:p>
        </w:tc>
        <w:tc>
          <w:tcPr/>
          <w:p>
            <w:pPr>
              <w:pStyle w:val="CompactSmall"/>
              <w:jc w:val="left"/>
            </w:pPr>
            <w:r>
              <w:t xml:space="preserve">1,1%</w:t>
            </w:r>
          </w:p>
        </w:tc>
        <w:tc>
          <w:tcPr/>
          <w:p>
            <w:pPr>
              <w:pStyle w:val="CompactSmall"/>
              <w:jc w:val="left"/>
            </w:pPr>
            <w:r>
              <w:t xml:space="preserve">70,0%</w:t>
            </w:r>
          </w:p>
        </w:tc>
      </w:tr>
      <w:tr>
        <w:trPr>
          <w:cantSplit/>
        </w:trPr>
        <w:tc>
          <w:tcPr/>
          <w:p>
            <w:pPr>
              <w:pStyle w:val="CompactSmall"/>
              <w:jc w:val="left"/>
            </w:pPr>
            <w:r>
              <w:t xml:space="preserve">Tăng trưởng</w:t>
            </w:r>
          </w:p>
        </w:tc>
        <w:tc>
          <w:tcPr/>
          <w:p>
            <w:pPr>
              <w:pStyle w:val="CompactSmall"/>
              <w:jc w:val="left"/>
            </w:pPr>
            <w:r>
              <w:t xml:space="preserve">Dài</w:t>
            </w:r>
          </w:p>
        </w:tc>
        <w:tc>
          <w:tcPr/>
          <w:p>
            <w:pPr>
              <w:pStyle w:val="CompactSmall"/>
              <w:jc w:val="left"/>
            </w:pPr>
            <w:r>
              <w:t xml:space="preserve">HRP</w:t>
            </w:r>
          </w:p>
        </w:tc>
        <w:tc>
          <w:tcPr/>
          <w:p>
            <w:pPr>
              <w:pStyle w:val="CompactSmall"/>
              <w:jc w:val="left"/>
            </w:pPr>
            <w:r>
              <w:t xml:space="preserve">8,0%</w:t>
            </w:r>
          </w:p>
        </w:tc>
        <w:tc>
          <w:tcPr/>
          <w:p>
            <w:pPr>
              <w:pStyle w:val="CompactSmall"/>
              <w:jc w:val="left"/>
            </w:pPr>
            <w:r>
              <w:t xml:space="preserve">15,7%</w:t>
            </w:r>
          </w:p>
        </w:tc>
        <w:tc>
          <w:tcPr/>
          <w:p>
            <w:pPr>
              <w:pStyle w:val="CompactSmall"/>
              <w:jc w:val="left"/>
            </w:pPr>
            <w:r>
              <w:t xml:space="preserve">0,20</w:t>
            </w:r>
          </w:p>
        </w:tc>
        <w:tc>
          <w:tcPr/>
          <w:p>
            <w:pPr>
              <w:pStyle w:val="CompactSmall"/>
              <w:jc w:val="left"/>
            </w:pPr>
            <w:r>
              <w:t xml:space="preserve">−36,0%</w:t>
            </w:r>
          </w:p>
        </w:tc>
        <w:tc>
          <w:tcPr/>
          <w:p>
            <w:pPr>
              <w:pStyle w:val="CompactSmall"/>
              <w:jc w:val="left"/>
            </w:pPr>
            <w:r>
              <w:t xml:space="preserve">1,1%</w:t>
            </w:r>
          </w:p>
        </w:tc>
        <w:tc>
          <w:tcPr/>
          <w:p>
            <w:pPr>
              <w:pStyle w:val="CompactSmall"/>
              <w:jc w:val="left"/>
            </w:pPr>
            <w:r>
              <w:t xml:space="preserve">70,1%</w:t>
            </w:r>
          </w:p>
        </w:tc>
      </w:tr>
      <w:tr>
        <w:trPr>
          <w:cantSplit/>
        </w:trPr>
        <w:tc>
          <w:tcPr/>
          <w:p>
            <w:pPr>
              <w:pStyle w:val="CompactSmall"/>
              <w:jc w:val="left"/>
            </w:pPr>
            <w:r>
              <w:t xml:space="preserve">Tăng trưởng</w:t>
            </w:r>
          </w:p>
        </w:tc>
        <w:tc>
          <w:tcPr/>
          <w:p>
            <w:pPr>
              <w:pStyle w:val="CompactSmall"/>
              <w:jc w:val="left"/>
            </w:pPr>
            <w:r>
              <w:t xml:space="preserve">Dài</w:t>
            </w:r>
          </w:p>
        </w:tc>
        <w:tc>
          <w:tcPr/>
          <w:p>
            <w:pPr>
              <w:pStyle w:val="CompactSmall"/>
              <w:jc w:val="left"/>
            </w:pPr>
            <w:r>
              <w:t xml:space="preserve">BlackLitterman</w:t>
            </w:r>
          </w:p>
        </w:tc>
        <w:tc>
          <w:tcPr/>
          <w:p>
            <w:pPr>
              <w:pStyle w:val="CompactSmall"/>
              <w:jc w:val="left"/>
            </w:pPr>
            <w:r>
              <w:t xml:space="preserve">9,4%</w:t>
            </w:r>
          </w:p>
        </w:tc>
        <w:tc>
          <w:tcPr/>
          <w:p>
            <w:pPr>
              <w:pStyle w:val="CompactSmall"/>
              <w:jc w:val="left"/>
            </w:pPr>
            <w:r>
              <w:t xml:space="preserve">16,3%</w:t>
            </w:r>
          </w:p>
        </w:tc>
        <w:tc>
          <w:tcPr/>
          <w:p>
            <w:pPr>
              <w:pStyle w:val="CompactSmall"/>
              <w:jc w:val="left"/>
            </w:pPr>
            <w:r>
              <w:t xml:space="preserve">0,27</w:t>
            </w:r>
          </w:p>
        </w:tc>
        <w:tc>
          <w:tcPr/>
          <w:p>
            <w:pPr>
              <w:pStyle w:val="CompactSmall"/>
              <w:jc w:val="left"/>
            </w:pPr>
            <w:r>
              <w:t xml:space="preserve">−36,9%</w:t>
            </w:r>
          </w:p>
        </w:tc>
        <w:tc>
          <w:tcPr/>
          <w:p>
            <w:pPr>
              <w:pStyle w:val="CompactSmall"/>
              <w:jc w:val="left"/>
            </w:pPr>
            <w:r>
              <w:t xml:space="preserve">1,5%</w:t>
            </w:r>
          </w:p>
        </w:tc>
        <w:tc>
          <w:tcPr/>
          <w:p>
            <w:pPr>
              <w:pStyle w:val="CompactSmall"/>
              <w:jc w:val="left"/>
            </w:pPr>
            <w:r>
              <w:t xml:space="preserve">69,6%</w:t>
            </w:r>
          </w:p>
        </w:tc>
      </w:tr>
      <w:tr>
        <w:trPr>
          <w:cantSplit/>
        </w:trPr>
        <w:tc>
          <w:tcPr/>
          <w:p>
            <w:pPr>
              <w:pStyle w:val="CompactSmall"/>
              <w:jc w:val="left"/>
            </w:pPr>
            <w:r>
              <w:t xml:space="preserve">Tăng trưởng</w:t>
            </w:r>
          </w:p>
        </w:tc>
        <w:tc>
          <w:tcPr/>
          <w:p>
            <w:pPr>
              <w:pStyle w:val="CompactSmall"/>
              <w:jc w:val="left"/>
            </w:pPr>
            <w:r>
              <w:t xml:space="preserve">Dài</w:t>
            </w:r>
          </w:p>
        </w:tc>
        <w:tc>
          <w:tcPr/>
          <w:p>
            <w:pPr>
              <w:pStyle w:val="CompactSmall"/>
              <w:jc w:val="left"/>
            </w:pPr>
            <w:r>
              <w:t xml:space="preserve">MLP_MVO</w:t>
            </w:r>
          </w:p>
        </w:tc>
        <w:tc>
          <w:tcPr/>
          <w:p>
            <w:pPr>
              <w:pStyle w:val="CompactSmall"/>
              <w:jc w:val="left"/>
            </w:pPr>
            <w:r>
              <w:t xml:space="preserve">11,4%</w:t>
            </w:r>
          </w:p>
        </w:tc>
        <w:tc>
          <w:tcPr/>
          <w:p>
            <w:pPr>
              <w:pStyle w:val="CompactSmall"/>
              <w:jc w:val="left"/>
            </w:pPr>
            <w:r>
              <w:t xml:space="preserve">16,9%</w:t>
            </w:r>
          </w:p>
        </w:tc>
        <w:tc>
          <w:tcPr/>
          <w:p>
            <w:pPr>
              <w:pStyle w:val="CompactSmall"/>
              <w:jc w:val="left"/>
            </w:pPr>
            <w:r>
              <w:t xml:space="preserve">0,38</w:t>
            </w:r>
          </w:p>
        </w:tc>
        <w:tc>
          <w:tcPr/>
          <w:p>
            <w:pPr>
              <w:pStyle w:val="CompactSmall"/>
              <w:jc w:val="left"/>
            </w:pPr>
            <w:r>
              <w:t xml:space="preserve">−34,9%</w:t>
            </w:r>
          </w:p>
        </w:tc>
        <w:tc>
          <w:tcPr/>
          <w:p>
            <w:pPr>
              <w:pStyle w:val="CompactSmall"/>
              <w:jc w:val="left"/>
            </w:pPr>
            <w:r>
              <w:t xml:space="preserve">4,2%</w:t>
            </w:r>
          </w:p>
        </w:tc>
        <w:tc>
          <w:tcPr/>
          <w:p>
            <w:pPr>
              <w:pStyle w:val="CompactSmall"/>
              <w:jc w:val="left"/>
            </w:pPr>
            <w:r>
              <w:t xml:space="preserve">73,8%</w:t>
            </w:r>
          </w:p>
        </w:tc>
      </w:tr>
      <w:tr>
        <w:trPr>
          <w:cantSplit/>
        </w:trPr>
        <w:tc>
          <w:tcPr/>
          <w:p>
            <w:pPr>
              <w:pStyle w:val="CompactSmall"/>
              <w:jc w:val="left"/>
            </w:pPr>
            <w:r>
              <w:t xml:space="preserve">Tăng trưởng</w:t>
            </w:r>
          </w:p>
        </w:tc>
        <w:tc>
          <w:tcPr/>
          <w:p>
            <w:pPr>
              <w:pStyle w:val="CompactSmall"/>
              <w:jc w:val="left"/>
            </w:pPr>
            <w:r>
              <w:t xml:space="preserve">Dài</w:t>
            </w:r>
          </w:p>
        </w:tc>
        <w:tc>
          <w:tcPr/>
          <w:p>
            <w:pPr>
              <w:pStyle w:val="CompactSmall"/>
              <w:jc w:val="left"/>
            </w:pPr>
            <w:r>
              <w:t xml:space="preserve">RL</w:t>
            </w:r>
          </w:p>
        </w:tc>
        <w:tc>
          <w:tcPr/>
          <w:p>
            <w:pPr>
              <w:pStyle w:val="CompactSmall"/>
              <w:jc w:val="left"/>
            </w:pPr>
            <w:r>
              <w:t xml:space="preserve">7,4%</w:t>
            </w:r>
          </w:p>
        </w:tc>
        <w:tc>
          <w:tcPr/>
          <w:p>
            <w:pPr>
              <w:pStyle w:val="CompactSmall"/>
              <w:jc w:val="left"/>
            </w:pPr>
            <w:r>
              <w:t xml:space="preserve">17,2%</w:t>
            </w:r>
          </w:p>
        </w:tc>
        <w:tc>
          <w:tcPr/>
          <w:p>
            <w:pPr>
              <w:pStyle w:val="CompactSmall"/>
              <w:jc w:val="left"/>
            </w:pPr>
            <w:r>
              <w:t xml:space="preserve">0,16</w:t>
            </w:r>
          </w:p>
        </w:tc>
        <w:tc>
          <w:tcPr/>
          <w:p>
            <w:pPr>
              <w:pStyle w:val="CompactSmall"/>
              <w:jc w:val="left"/>
            </w:pPr>
            <w:r>
              <w:t xml:space="preserve">−38,5%</w:t>
            </w:r>
          </w:p>
        </w:tc>
        <w:tc>
          <w:tcPr/>
          <w:p>
            <w:pPr>
              <w:pStyle w:val="CompactSmall"/>
              <w:jc w:val="left"/>
            </w:pPr>
            <w:r>
              <w:t xml:space="preserve">2,2%</w:t>
            </w:r>
          </w:p>
        </w:tc>
        <w:tc>
          <w:tcPr/>
          <w:p>
            <w:pPr>
              <w:pStyle w:val="CompactSmall"/>
              <w:jc w:val="left"/>
            </w:pPr>
            <w:r>
              <w:t xml:space="preserve">75,8%</w:t>
            </w:r>
          </w:p>
        </w:tc>
      </w:tr>
    </w:tbl>
    <w:p>
      <w:pPr>
        <w:pStyle w:val="BodyText"/>
        <w:spacing w:before="200"/>
      </w:pPr>
      <w:r>
        <w:rPr>
          <w:iCs/>
          <w:i/>
        </w:rPr>
        <w:t xml:space="preserve">Ghi chú: BlackLitterman trong bảng là BL-ElasticNet</w:t>
      </w:r>
      <w:r>
        <w:rPr>
          <w:bCs/>
          <w:b/>
          <w:iCs/>
          <w:i/>
        </w:rPr>
        <w:t xml:space="preserve"> </w:t>
      </w:r>
      <w:r>
        <w:rPr>
          <w:bCs/>
          <w:b/>
          <w:iCs/>
          <w:i/>
        </w:rPr>
        <w:t xml:space="preserve">(quan điểm từ dự báo Elastic Net). Kịch bản in đậm trong Chương 4 là Cân bằng / Trung hạn</w:t>
      </w:r>
      <w:r>
        <w:rPr>
          <w:iCs/>
          <w:i/>
        </w:rPr>
        <w:t xml:space="preserve">.</w:t>
      </w:r>
    </w:p>
    <w:bookmarkEnd w:id="175"/>
    <w:bookmarkStart w:id="176" w:name="phụ-lục-d.-chi-tiết-kiểm-định-giả-thuyết"/>
    <w:p>
      <w:pPr>
        <w:pStyle w:val="Heading2"/>
      </w:pPr>
      <w:r>
        <w:t xml:space="preserve">Phụ lục D. Chi tiết kiểm định giả thuyết</w:t>
      </w:r>
    </w:p>
    <w:p>
      <w:pPr>
        <w:pStyle w:val="FirstParagraph"/>
      </w:pPr>
      <w:r>
        <w:t xml:space="preserve">Tất cả kiểm định trên kịch bản Cân bằng / Trung hạn. SE (LW) là sai số chuẩn của chênh lệch Sharpe theo Ledoit và Wolf (2008): sai số chuẩn HAC theo phương pháp delta, giá trị p từ bootstrap khối vòng được chuẩn hóa; p (JK–Memmel) giữ để đối chiếu. MDE là chênh lệch Sharpe nhỏ nhất phát hiện được với α = 0,10 hai phía và độ mạnh 80%, bằng (z0,95 + z0,80) × SE. Ngưỡng Holm áp riêng trong từng họ; H4 và MLP_MVO có họ riêng để không pha loãng H1–H3.</w:t>
      </w:r>
    </w:p>
    <w:p>
      <w:pPr>
        <w:pStyle w:val="TableCaption"/>
      </w:pPr>
      <w:r>
        <w:t xml:space="preserve">Bảng D.1. Kiểm định chênh lệch Sharpe theo cặp</w:t>
      </w:r>
    </w:p>
    <w:tbl>
      <w:tblPr>
        <w:tblStyle w:val="Table"/>
        <w:tblW w:type="pct" w:w="5000"/>
        <w:jc w:val="center"/>
        <w:tblCellMar>
          <w:left w:w="45" w:type="dxa"/>
          <w:right w:w="45" w:type="dxa"/>
        </w:tblCellMar>
        <w:tblLook w:firstRow="1" w:lastRow="0" w:firstColumn="0" w:lastColumn="0" w:noHBand="0" w:noVBand="0" w:val="0020"/>
        <w:tblCaption w:val="Bảng D.1. Kiểm định chênh lệch Sharpe theo cặp"/>
      </w:tblPr>
      <w:tblGrid>
        <w:gridCol w:w="688"/>
        <w:gridCol w:w="1515"/>
        <w:gridCol w:w="619"/>
        <w:gridCol w:w="619"/>
        <w:gridCol w:w="619"/>
        <w:gridCol w:w="1033"/>
        <w:gridCol w:w="964"/>
        <w:gridCol w:w="550"/>
        <w:gridCol w:w="688"/>
        <w:gridCol w:w="619"/>
      </w:tblGrid>
      <w:tr>
        <w:trPr>
          <w:tblHeader w:val="true"/>
        </w:trPr>
        <w:tc>
          <w:tcPr/>
          <w:p>
            <w:pPr>
              <w:pStyle w:val="CompactSmall"/>
              <w:jc w:val="center"/>
            </w:pPr>
            <w:r>
              <w:rPr>
                <w:b/>
              </w:rPr>
              <w:t xml:space="preserve">Họ</w:t>
            </w:r>
          </w:p>
        </w:tc>
        <w:tc>
          <w:tcPr/>
          <w:p>
            <w:pPr>
              <w:pStyle w:val="CompactSmall"/>
              <w:jc w:val="center"/>
            </w:pPr>
            <w:r>
              <w:rPr>
                <w:b/>
              </w:rPr>
              <w:t xml:space="preserve">Cặp</w:t>
            </w:r>
          </w:p>
        </w:tc>
        <w:tc>
          <w:tcPr/>
          <w:p>
            <w:pPr>
              <w:pStyle w:val="CompactSmall"/>
              <w:jc w:val="center"/>
            </w:pPr>
            <w:r>
              <w:rPr>
                <w:b/>
              </w:rPr>
              <w:t xml:space="preserve">ΔSR</w:t>
            </w:r>
          </w:p>
        </w:tc>
        <w:tc>
          <w:tcPr/>
          <w:p>
            <w:pPr>
              <w:pStyle w:val="CompactSmall"/>
              <w:jc w:val="center"/>
            </w:pPr>
            <w:r>
              <w:rPr>
                <w:b/>
              </w:rPr>
              <w:t xml:space="preserve">SE (LW)</w:t>
            </w:r>
          </w:p>
        </w:tc>
        <w:tc>
          <w:tcPr/>
          <w:p>
            <w:pPr>
              <w:pStyle w:val="CompactSmall"/>
              <w:jc w:val="center"/>
            </w:pPr>
            <w:r>
              <w:rPr>
                <w:b/>
              </w:rPr>
              <w:t xml:space="preserve">p (LW)</w:t>
            </w:r>
          </w:p>
        </w:tc>
        <w:tc>
          <w:tcPr/>
          <w:p>
            <w:pPr>
              <w:pStyle w:val="CompactSmall"/>
              <w:jc w:val="center"/>
            </w:pPr>
            <w:r>
              <w:rPr>
                <w:b/>
              </w:rPr>
              <w:t xml:space="preserve">p (JK–Memmel)</w:t>
            </w:r>
          </w:p>
        </w:tc>
        <w:tc>
          <w:tcPr/>
          <w:p>
            <w:pPr>
              <w:pStyle w:val="CompactSmall"/>
              <w:jc w:val="center"/>
            </w:pPr>
            <w:r>
              <w:rPr>
                <w:b/>
              </w:rPr>
              <w:t xml:space="preserve">KTC 90%</w:t>
            </w:r>
          </w:p>
        </w:tc>
        <w:tc>
          <w:tcPr/>
          <w:p>
            <w:pPr>
              <w:pStyle w:val="CompactSmall"/>
              <w:jc w:val="center"/>
            </w:pPr>
            <w:r>
              <w:rPr>
                <w:b/>
              </w:rPr>
              <w:t xml:space="preserve">MDE</w:t>
            </w:r>
          </w:p>
        </w:tc>
        <w:tc>
          <w:tcPr/>
          <w:p>
            <w:pPr>
              <w:pStyle w:val="CompactSmall"/>
              <w:jc w:val="center"/>
            </w:pPr>
            <w:r>
              <w:rPr>
                <w:b/>
              </w:rPr>
              <w:t xml:space="preserve">Ngưỡng Holm</w:t>
            </w:r>
          </w:p>
        </w:tc>
        <w:tc>
          <w:tcPr/>
          <w:p>
            <w:pPr>
              <w:pStyle w:val="CompactSmall"/>
              <w:jc w:val="center"/>
            </w:pPr>
            <w:r>
              <w:rPr>
                <w:b/>
              </w:rPr>
              <w:t xml:space="preserve">Bác bỏ</w:t>
            </w:r>
          </w:p>
        </w:tc>
      </w:tr>
      <w:tr>
        <w:trPr>
          <w:cantSplit/>
        </w:trPr>
        <w:tc>
          <w:tcPr/>
          <w:p>
            <w:pPr>
              <w:pStyle w:val="CompactSmall"/>
              <w:jc w:val="left"/>
            </w:pPr>
            <w:r>
              <w:t xml:space="preserve">H1</w:t>
            </w:r>
          </w:p>
        </w:tc>
        <w:tc>
          <w:tcPr/>
          <w:p>
            <w:pPr>
              <w:pStyle w:val="CompactSmall"/>
              <w:jc w:val="left"/>
            </w:pPr>
            <w:r>
              <w:t xml:space="preserve">Markowitz vs EqualWeight</w:t>
            </w:r>
          </w:p>
        </w:tc>
        <w:tc>
          <w:tcPr/>
          <w:p>
            <w:pPr>
              <w:pStyle w:val="CompactSmall"/>
              <w:jc w:val="left"/>
            </w:pPr>
            <w:r>
              <w:t xml:space="preserve">−0,08</w:t>
            </w:r>
          </w:p>
        </w:tc>
        <w:tc>
          <w:tcPr/>
          <w:p>
            <w:pPr>
              <w:pStyle w:val="CompactSmall"/>
              <w:jc w:val="left"/>
            </w:pPr>
            <w:r>
              <w:t xml:space="preserve">0,115</w:t>
            </w:r>
          </w:p>
        </w:tc>
        <w:tc>
          <w:tcPr/>
          <w:p>
            <w:pPr>
              <w:pStyle w:val="CompactSmall"/>
              <w:jc w:val="left"/>
            </w:pPr>
            <w:r>
              <w:t xml:space="preserve">0,478</w:t>
            </w:r>
          </w:p>
        </w:tc>
        <w:tc>
          <w:tcPr/>
          <w:p>
            <w:pPr>
              <w:pStyle w:val="CompactSmall"/>
              <w:jc w:val="left"/>
            </w:pPr>
            <w:r>
              <w:t xml:space="preserve">0,476</w:t>
            </w:r>
          </w:p>
        </w:tc>
        <w:tc>
          <w:tcPr/>
          <w:p>
            <w:pPr>
              <w:pStyle w:val="CompactSmall"/>
              <w:jc w:val="left"/>
            </w:pPr>
            <w:r>
              <w:t xml:space="preserve">[−0,29; 0,11]</w:t>
            </w:r>
          </w:p>
        </w:tc>
        <w:tc>
          <w:tcPr/>
          <w:p>
            <w:pPr>
              <w:pStyle w:val="CompactSmall"/>
              <w:jc w:val="left"/>
            </w:pPr>
            <w:r>
              <w:t xml:space="preserve">0,29</w:t>
            </w:r>
          </w:p>
        </w:tc>
        <w:tc>
          <w:tcPr/>
          <w:p>
            <w:pPr>
              <w:pStyle w:val="CompactSmall"/>
              <w:jc w:val="left"/>
            </w:pPr>
            <w:r>
              <w:t xml:space="preserve">0,033</w:t>
            </w:r>
          </w:p>
        </w:tc>
        <w:tc>
          <w:tcPr/>
          <w:p>
            <w:pPr>
              <w:pStyle w:val="CompactSmall"/>
              <w:jc w:val="left"/>
            </w:pPr>
            <w:r>
              <w:t xml:space="preserve">Không</w:t>
            </w:r>
          </w:p>
        </w:tc>
      </w:tr>
      <w:tr>
        <w:trPr>
          <w:cantSplit/>
        </w:trPr>
        <w:tc>
          <w:tcPr/>
          <w:p>
            <w:pPr>
              <w:pStyle w:val="CompactSmall"/>
              <w:jc w:val="left"/>
            </w:pPr>
            <w:r>
              <w:t xml:space="preserve">H1</w:t>
            </w:r>
          </w:p>
        </w:tc>
        <w:tc>
          <w:tcPr/>
          <w:p>
            <w:pPr>
              <w:pStyle w:val="CompactSmall"/>
              <w:jc w:val="left"/>
            </w:pPr>
            <w:r>
              <w:t xml:space="preserve">HRP vs EqualWeight</w:t>
            </w:r>
          </w:p>
        </w:tc>
        <w:tc>
          <w:tcPr/>
          <w:p>
            <w:pPr>
              <w:pStyle w:val="CompactSmall"/>
              <w:jc w:val="left"/>
            </w:pPr>
            <w:r>
              <w:t xml:space="preserve">−0,05</w:t>
            </w:r>
          </w:p>
        </w:tc>
        <w:tc>
          <w:tcPr/>
          <w:p>
            <w:pPr>
              <w:pStyle w:val="CompactSmall"/>
              <w:jc w:val="left"/>
            </w:pPr>
            <w:r>
              <w:t xml:space="preserve">0,113</w:t>
            </w:r>
          </w:p>
        </w:tc>
        <w:tc>
          <w:tcPr/>
          <w:p>
            <w:pPr>
              <w:pStyle w:val="CompactSmall"/>
              <w:jc w:val="left"/>
            </w:pPr>
            <w:r>
              <w:t xml:space="preserve">0,690</w:t>
            </w:r>
          </w:p>
        </w:tc>
        <w:tc>
          <w:tcPr/>
          <w:p>
            <w:pPr>
              <w:pStyle w:val="CompactSmall"/>
              <w:jc w:val="left"/>
            </w:pPr>
            <w:r>
              <w:t xml:space="preserve">0,627</w:t>
            </w:r>
          </w:p>
        </w:tc>
        <w:tc>
          <w:tcPr/>
          <w:p>
            <w:pPr>
              <w:pStyle w:val="CompactSmall"/>
              <w:jc w:val="left"/>
            </w:pPr>
            <w:r>
              <w:t xml:space="preserve">[−0,27; 0,13]</w:t>
            </w:r>
          </w:p>
        </w:tc>
        <w:tc>
          <w:tcPr/>
          <w:p>
            <w:pPr>
              <w:pStyle w:val="CompactSmall"/>
              <w:jc w:val="left"/>
            </w:pPr>
            <w:r>
              <w:t xml:space="preserve">0,28</w:t>
            </w:r>
          </w:p>
        </w:tc>
        <w:tc>
          <w:tcPr/>
          <w:p>
            <w:pPr>
              <w:pStyle w:val="CompactSmall"/>
              <w:jc w:val="left"/>
            </w:pPr>
            <w:r>
              <w:t xml:space="preserve">0,050</w:t>
            </w:r>
          </w:p>
        </w:tc>
        <w:tc>
          <w:tcPr/>
          <w:p>
            <w:pPr>
              <w:pStyle w:val="CompactSmall"/>
              <w:jc w:val="left"/>
            </w:pPr>
            <w:r>
              <w:t xml:space="preserve">Không</w:t>
            </w:r>
          </w:p>
        </w:tc>
      </w:tr>
      <w:tr>
        <w:trPr>
          <w:cantSplit/>
        </w:trPr>
        <w:tc>
          <w:tcPr/>
          <w:p>
            <w:pPr>
              <w:pStyle w:val="CompactSmall"/>
              <w:jc w:val="left"/>
            </w:pPr>
            <w:r>
              <w:t xml:space="preserve">H1</w:t>
            </w:r>
          </w:p>
        </w:tc>
        <w:tc>
          <w:tcPr/>
          <w:p>
            <w:pPr>
              <w:pStyle w:val="CompactSmall"/>
              <w:jc w:val="left"/>
            </w:pPr>
            <w:r>
              <w:t xml:space="preserve">RiskParity vs EqualWeight</w:t>
            </w:r>
          </w:p>
        </w:tc>
        <w:tc>
          <w:tcPr/>
          <w:p>
            <w:pPr>
              <w:pStyle w:val="CompactSmall"/>
              <w:jc w:val="left"/>
            </w:pPr>
            <w:r>
              <w:t xml:space="preserve">0,01</w:t>
            </w:r>
          </w:p>
        </w:tc>
        <w:tc>
          <w:tcPr/>
          <w:p>
            <w:pPr>
              <w:pStyle w:val="CompactSmall"/>
              <w:jc w:val="left"/>
            </w:pPr>
            <w:r>
              <w:t xml:space="preserve">0,072</w:t>
            </w:r>
          </w:p>
        </w:tc>
        <w:tc>
          <w:tcPr/>
          <w:p>
            <w:pPr>
              <w:pStyle w:val="CompactSmall"/>
              <w:jc w:val="left"/>
            </w:pPr>
            <w:r>
              <w:t xml:space="preserve">0,933</w:t>
            </w:r>
          </w:p>
        </w:tc>
        <w:tc>
          <w:tcPr/>
          <w:p>
            <w:pPr>
              <w:pStyle w:val="CompactSmall"/>
              <w:jc w:val="left"/>
            </w:pPr>
            <w:r>
              <w:t xml:space="preserve">0,921</w:t>
            </w:r>
          </w:p>
        </w:tc>
        <w:tc>
          <w:tcPr/>
          <w:p>
            <w:pPr>
              <w:pStyle w:val="CompactSmall"/>
              <w:jc w:val="left"/>
            </w:pPr>
            <w:r>
              <w:t xml:space="preserve">[−0,13; 0,12]</w:t>
            </w:r>
          </w:p>
        </w:tc>
        <w:tc>
          <w:tcPr/>
          <w:p>
            <w:pPr>
              <w:pStyle w:val="CompactSmall"/>
              <w:jc w:val="left"/>
            </w:pPr>
            <w:r>
              <w:t xml:space="preserve">0,18</w:t>
            </w:r>
          </w:p>
        </w:tc>
        <w:tc>
          <w:tcPr/>
          <w:p>
            <w:pPr>
              <w:pStyle w:val="CompactSmall"/>
              <w:jc w:val="left"/>
            </w:pPr>
            <w:r>
              <w:t xml:space="preserve">0,100</w:t>
            </w:r>
          </w:p>
        </w:tc>
        <w:tc>
          <w:tcPr/>
          <w:p>
            <w:pPr>
              <w:pStyle w:val="CompactSmall"/>
              <w:jc w:val="left"/>
            </w:pPr>
            <w:r>
              <w:t xml:space="preserve">Không</w:t>
            </w:r>
          </w:p>
        </w:tc>
      </w:tr>
      <w:tr>
        <w:trPr>
          <w:cantSplit/>
        </w:trPr>
        <w:tc>
          <w:tcPr/>
          <w:p>
            <w:pPr>
              <w:pStyle w:val="CompactSmall"/>
              <w:jc w:val="left"/>
            </w:pPr>
            <w:r>
              <w:t xml:space="preserve">H2</w:t>
            </w:r>
          </w:p>
        </w:tc>
        <w:tc>
          <w:tcPr/>
          <w:p>
            <w:pPr>
              <w:pStyle w:val="CompactSmall"/>
              <w:jc w:val="left"/>
            </w:pPr>
            <w:r>
              <w:t xml:space="preserve">BL-ElasticNet vs Markowitz</w:t>
            </w:r>
          </w:p>
        </w:tc>
        <w:tc>
          <w:tcPr/>
          <w:p>
            <w:pPr>
              <w:pStyle w:val="CompactSmall"/>
              <w:jc w:val="left"/>
            </w:pPr>
            <w:r>
              <w:t xml:space="preserve">0,16</w:t>
            </w:r>
          </w:p>
        </w:tc>
        <w:tc>
          <w:tcPr/>
          <w:p>
            <w:pPr>
              <w:pStyle w:val="CompactSmall"/>
              <w:jc w:val="left"/>
            </w:pPr>
            <w:r>
              <w:t xml:space="preserve">0,162</w:t>
            </w:r>
          </w:p>
        </w:tc>
        <w:tc>
          <w:tcPr/>
          <w:p>
            <w:pPr>
              <w:pStyle w:val="CompactSmall"/>
              <w:jc w:val="left"/>
            </w:pPr>
            <w:r>
              <w:t xml:space="preserve">0,344</w:t>
            </w:r>
          </w:p>
        </w:tc>
        <w:tc>
          <w:tcPr/>
          <w:p>
            <w:pPr>
              <w:pStyle w:val="CompactSmall"/>
              <w:jc w:val="left"/>
            </w:pPr>
            <w:r>
              <w:t xml:space="preserve">0,317</w:t>
            </w:r>
          </w:p>
        </w:tc>
        <w:tc>
          <w:tcPr/>
          <w:p>
            <w:pPr>
              <w:pStyle w:val="CompactSmall"/>
              <w:jc w:val="left"/>
            </w:pPr>
            <w:r>
              <w:t xml:space="preserve">[−0,13; 0,47]</w:t>
            </w:r>
          </w:p>
        </w:tc>
        <w:tc>
          <w:tcPr/>
          <w:p>
            <w:pPr>
              <w:pStyle w:val="CompactSmall"/>
              <w:jc w:val="left"/>
            </w:pPr>
            <w:r>
              <w:t xml:space="preserve">0,40</w:t>
            </w:r>
          </w:p>
        </w:tc>
        <w:tc>
          <w:tcPr/>
          <w:p>
            <w:pPr>
              <w:pStyle w:val="CompactSmall"/>
              <w:jc w:val="left"/>
            </w:pPr>
            <w:r>
              <w:t xml:space="preserve">0,033</w:t>
            </w:r>
          </w:p>
        </w:tc>
        <w:tc>
          <w:tcPr/>
          <w:p>
            <w:pPr>
              <w:pStyle w:val="CompactSmall"/>
              <w:jc w:val="left"/>
            </w:pPr>
            <w:r>
              <w:t xml:space="preserve">Không</w:t>
            </w:r>
          </w:p>
        </w:tc>
      </w:tr>
      <w:tr>
        <w:trPr>
          <w:cantSplit/>
        </w:trPr>
        <w:tc>
          <w:tcPr/>
          <w:p>
            <w:pPr>
              <w:pStyle w:val="CompactSmall"/>
              <w:jc w:val="left"/>
            </w:pPr>
            <w:r>
              <w:t xml:space="preserve">H2</w:t>
            </w:r>
          </w:p>
        </w:tc>
        <w:tc>
          <w:tcPr/>
          <w:p>
            <w:pPr>
              <w:pStyle w:val="CompactSmall"/>
              <w:jc w:val="left"/>
            </w:pPr>
            <w:r>
              <w:t xml:space="preserve">BL-ElasticNet vs BL-LightGBM</w:t>
            </w:r>
          </w:p>
        </w:tc>
        <w:tc>
          <w:tcPr/>
          <w:p>
            <w:pPr>
              <w:pStyle w:val="CompactSmall"/>
              <w:jc w:val="left"/>
            </w:pPr>
            <w:r>
              <w:t xml:space="preserve">0,11</w:t>
            </w:r>
          </w:p>
        </w:tc>
        <w:tc>
          <w:tcPr/>
          <w:p>
            <w:pPr>
              <w:pStyle w:val="CompactSmall"/>
              <w:jc w:val="left"/>
            </w:pPr>
            <w:r>
              <w:t xml:space="preserve">0,132</w:t>
            </w:r>
          </w:p>
        </w:tc>
        <w:tc>
          <w:tcPr/>
          <w:p>
            <w:pPr>
              <w:pStyle w:val="CompactSmall"/>
              <w:jc w:val="left"/>
            </w:pPr>
            <w:r>
              <w:t xml:space="preserve">0,417</w:t>
            </w:r>
          </w:p>
        </w:tc>
        <w:tc>
          <w:tcPr/>
          <w:p>
            <w:pPr>
              <w:pStyle w:val="CompactSmall"/>
              <w:jc w:val="left"/>
            </w:pPr>
            <w:r>
              <w:t xml:space="preserve">0,410</w:t>
            </w:r>
          </w:p>
        </w:tc>
        <w:tc>
          <w:tcPr/>
          <w:p>
            <w:pPr>
              <w:pStyle w:val="CompactSmall"/>
              <w:jc w:val="left"/>
            </w:pPr>
            <w:r>
              <w:t xml:space="preserve">[−0,10; 0,38]</w:t>
            </w:r>
          </w:p>
        </w:tc>
        <w:tc>
          <w:tcPr/>
          <w:p>
            <w:pPr>
              <w:pStyle w:val="CompactSmall"/>
              <w:jc w:val="left"/>
            </w:pPr>
            <w:r>
              <w:t xml:space="preserve">0,33</w:t>
            </w:r>
          </w:p>
        </w:tc>
        <w:tc>
          <w:tcPr/>
          <w:p>
            <w:pPr>
              <w:pStyle w:val="CompactSmall"/>
              <w:jc w:val="left"/>
            </w:pPr>
            <w:r>
              <w:t xml:space="preserve">0,050</w:t>
            </w:r>
          </w:p>
        </w:tc>
        <w:tc>
          <w:tcPr/>
          <w:p>
            <w:pPr>
              <w:pStyle w:val="CompactSmall"/>
              <w:jc w:val="left"/>
            </w:pPr>
            <w:r>
              <w:t xml:space="preserve">Không</w:t>
            </w:r>
          </w:p>
        </w:tc>
      </w:tr>
      <w:tr>
        <w:trPr>
          <w:cantSplit/>
        </w:trPr>
        <w:tc>
          <w:tcPr/>
          <w:p>
            <w:pPr>
              <w:pStyle w:val="CompactSmall"/>
              <w:jc w:val="left"/>
            </w:pPr>
            <w:r>
              <w:t xml:space="preserve">H2</w:t>
            </w:r>
          </w:p>
        </w:tc>
        <w:tc>
          <w:tcPr/>
          <w:p>
            <w:pPr>
              <w:pStyle w:val="CompactSmall"/>
              <w:jc w:val="left"/>
            </w:pPr>
            <w:r>
              <w:t xml:space="preserve">BL-LightGBM vs Markowitz</w:t>
            </w:r>
          </w:p>
        </w:tc>
        <w:tc>
          <w:tcPr/>
          <w:p>
            <w:pPr>
              <w:pStyle w:val="CompactSmall"/>
              <w:jc w:val="left"/>
            </w:pPr>
            <w:r>
              <w:t xml:space="preserve">0,05</w:t>
            </w:r>
          </w:p>
        </w:tc>
        <w:tc>
          <w:tcPr/>
          <w:p>
            <w:pPr>
              <w:pStyle w:val="CompactSmall"/>
              <w:jc w:val="left"/>
            </w:pPr>
            <w:r>
              <w:t xml:space="preserve">0,215</w:t>
            </w:r>
          </w:p>
        </w:tc>
        <w:tc>
          <w:tcPr/>
          <w:p>
            <w:pPr>
              <w:pStyle w:val="CompactSmall"/>
              <w:jc w:val="left"/>
            </w:pPr>
            <w:r>
              <w:t xml:space="preserve">0,825</w:t>
            </w:r>
          </w:p>
        </w:tc>
        <w:tc>
          <w:tcPr/>
          <w:p>
            <w:pPr>
              <w:pStyle w:val="CompactSmall"/>
              <w:jc w:val="left"/>
            </w:pPr>
            <w:r>
              <w:t xml:space="preserve">0,779</w:t>
            </w:r>
          </w:p>
        </w:tc>
        <w:tc>
          <w:tcPr/>
          <w:p>
            <w:pPr>
              <w:pStyle w:val="CompactSmall"/>
              <w:jc w:val="left"/>
            </w:pPr>
            <w:r>
              <w:t xml:space="preserve">[−0,34; 0,44]</w:t>
            </w:r>
          </w:p>
        </w:tc>
        <w:tc>
          <w:tcPr/>
          <w:p>
            <w:pPr>
              <w:pStyle w:val="CompactSmall"/>
              <w:jc w:val="left"/>
            </w:pPr>
            <w:r>
              <w:t xml:space="preserve">0,53</w:t>
            </w:r>
          </w:p>
        </w:tc>
        <w:tc>
          <w:tcPr/>
          <w:p>
            <w:pPr>
              <w:pStyle w:val="CompactSmall"/>
              <w:jc w:val="left"/>
            </w:pPr>
            <w:r>
              <w:t xml:space="preserve">0,100</w:t>
            </w:r>
          </w:p>
        </w:tc>
        <w:tc>
          <w:tcPr/>
          <w:p>
            <w:pPr>
              <w:pStyle w:val="CompactSmall"/>
              <w:jc w:val="left"/>
            </w:pPr>
            <w:r>
              <w:t xml:space="preserve">Không</w:t>
            </w:r>
          </w:p>
        </w:tc>
      </w:tr>
      <w:tr>
        <w:trPr>
          <w:cantSplit/>
        </w:trPr>
        <w:tc>
          <w:tcPr/>
          <w:p>
            <w:pPr>
              <w:pStyle w:val="CompactSmall"/>
              <w:jc w:val="left"/>
            </w:pPr>
            <w:r>
              <w:t xml:space="preserve">H3</w:t>
            </w:r>
          </w:p>
        </w:tc>
        <w:tc>
          <w:tcPr/>
          <w:p>
            <w:pPr>
              <w:pStyle w:val="CompactSmall"/>
              <w:jc w:val="left"/>
            </w:pPr>
            <w:r>
              <w:t xml:space="preserve">BlackLitterman: 5 lớp vs cổ phiếu–trái phiếu</w:t>
            </w:r>
          </w:p>
        </w:tc>
        <w:tc>
          <w:tcPr/>
          <w:p>
            <w:pPr>
              <w:pStyle w:val="CompactSmall"/>
              <w:jc w:val="left"/>
            </w:pPr>
            <w:r>
              <w:t xml:space="preserve">0,20</w:t>
            </w:r>
          </w:p>
        </w:tc>
        <w:tc>
          <w:tcPr/>
          <w:p>
            <w:pPr>
              <w:pStyle w:val="CompactSmall"/>
              <w:jc w:val="left"/>
            </w:pPr>
            <w:r>
              <w:t xml:space="preserve">0,174</w:t>
            </w:r>
          </w:p>
        </w:tc>
        <w:tc>
          <w:tcPr/>
          <w:p>
            <w:pPr>
              <w:pStyle w:val="CompactSmall"/>
              <w:jc w:val="left"/>
            </w:pPr>
            <w:r>
              <w:t xml:space="preserve">0,288</w:t>
            </w:r>
          </w:p>
        </w:tc>
        <w:tc>
          <w:tcPr/>
          <w:p>
            <w:pPr>
              <w:pStyle w:val="CompactSmall"/>
              <w:jc w:val="left"/>
            </w:pPr>
            <w:r>
              <w:t xml:space="preserve">0,403</w:t>
            </w:r>
          </w:p>
        </w:tc>
        <w:tc>
          <w:tcPr/>
          <w:p>
            <w:pPr>
              <w:pStyle w:val="CompactSmall"/>
              <w:jc w:val="left"/>
            </w:pPr>
            <w:r>
              <w:t xml:space="preserve">[−0,13; 0,49]</w:t>
            </w:r>
          </w:p>
        </w:tc>
        <w:tc>
          <w:tcPr/>
          <w:p>
            <w:pPr>
              <w:pStyle w:val="CompactSmall"/>
              <w:jc w:val="left"/>
            </w:pPr>
            <w:r>
              <w:t xml:space="preserve">0,43</w:t>
            </w:r>
          </w:p>
        </w:tc>
        <w:tc>
          <w:tcPr/>
          <w:p>
            <w:pPr>
              <w:pStyle w:val="CompactSmall"/>
              <w:jc w:val="left"/>
            </w:pPr>
            <w:r>
              <w:t xml:space="preserve">0,020</w:t>
            </w:r>
          </w:p>
        </w:tc>
        <w:tc>
          <w:tcPr/>
          <w:p>
            <w:pPr>
              <w:pStyle w:val="CompactSmall"/>
              <w:jc w:val="left"/>
            </w:pPr>
            <w:r>
              <w:t xml:space="preserve">Không</w:t>
            </w:r>
          </w:p>
        </w:tc>
      </w:tr>
      <w:tr>
        <w:trPr>
          <w:cantSplit/>
        </w:trPr>
        <w:tc>
          <w:tcPr/>
          <w:p>
            <w:pPr>
              <w:pStyle w:val="CompactSmall"/>
              <w:jc w:val="left"/>
            </w:pPr>
            <w:r>
              <w:t xml:space="preserve">H3</w:t>
            </w:r>
          </w:p>
        </w:tc>
        <w:tc>
          <w:tcPr/>
          <w:p>
            <w:pPr>
              <w:pStyle w:val="CompactSmall"/>
              <w:jc w:val="left"/>
            </w:pPr>
            <w:r>
              <w:t xml:space="preserve">EqualWeight: 5 lớp vs cổ phiếu–trái phiếu</w:t>
            </w:r>
          </w:p>
        </w:tc>
        <w:tc>
          <w:tcPr/>
          <w:p>
            <w:pPr>
              <w:pStyle w:val="CompactSmall"/>
              <w:jc w:val="left"/>
            </w:pPr>
            <w:r>
              <w:t xml:space="preserve">0,06</w:t>
            </w:r>
          </w:p>
        </w:tc>
        <w:tc>
          <w:tcPr/>
          <w:p>
            <w:pPr>
              <w:pStyle w:val="CompactSmall"/>
              <w:jc w:val="left"/>
            </w:pPr>
            <w:r>
              <w:t xml:space="preserve">0,191</w:t>
            </w:r>
          </w:p>
        </w:tc>
        <w:tc>
          <w:tcPr/>
          <w:p>
            <w:pPr>
              <w:pStyle w:val="CompactSmall"/>
              <w:jc w:val="left"/>
            </w:pPr>
            <w:r>
              <w:t xml:space="preserve">0,776</w:t>
            </w:r>
          </w:p>
        </w:tc>
        <w:tc>
          <w:tcPr/>
          <w:p>
            <w:pPr>
              <w:pStyle w:val="CompactSmall"/>
              <w:jc w:val="left"/>
            </w:pPr>
            <w:r>
              <w:t xml:space="preserve">0,760</w:t>
            </w:r>
          </w:p>
        </w:tc>
        <w:tc>
          <w:tcPr/>
          <w:p>
            <w:pPr>
              <w:pStyle w:val="CompactSmall"/>
              <w:jc w:val="left"/>
            </w:pPr>
            <w:r>
              <w:t xml:space="preserve">[−0,32; 0,38]</w:t>
            </w:r>
          </w:p>
        </w:tc>
        <w:tc>
          <w:tcPr/>
          <w:p>
            <w:pPr>
              <w:pStyle w:val="CompactSmall"/>
              <w:jc w:val="left"/>
            </w:pPr>
            <w:r>
              <w:t xml:space="preserve">0,48</w:t>
            </w:r>
          </w:p>
        </w:tc>
        <w:tc>
          <w:tcPr/>
          <w:p>
            <w:pPr>
              <w:pStyle w:val="CompactSmall"/>
              <w:jc w:val="left"/>
            </w:pPr>
            <w:r>
              <w:t xml:space="preserve">0,025</w:t>
            </w:r>
          </w:p>
        </w:tc>
        <w:tc>
          <w:tcPr/>
          <w:p>
            <w:pPr>
              <w:pStyle w:val="CompactSmall"/>
              <w:jc w:val="left"/>
            </w:pPr>
            <w:r>
              <w:t xml:space="preserve">Không</w:t>
            </w:r>
          </w:p>
        </w:tc>
      </w:tr>
      <w:tr>
        <w:trPr>
          <w:cantSplit/>
        </w:trPr>
        <w:tc>
          <w:tcPr/>
          <w:p>
            <w:pPr>
              <w:pStyle w:val="CompactSmall"/>
              <w:jc w:val="left"/>
            </w:pPr>
            <w:r>
              <w:t xml:space="preserve">H3</w:t>
            </w:r>
          </w:p>
        </w:tc>
        <w:tc>
          <w:tcPr/>
          <w:p>
            <w:pPr>
              <w:pStyle w:val="CompactSmall"/>
              <w:jc w:val="left"/>
            </w:pPr>
            <w:r>
              <w:t xml:space="preserve">RiskParity: 5 lớp vs cổ phiếu–trái phiếu</w:t>
            </w:r>
          </w:p>
        </w:tc>
        <w:tc>
          <w:tcPr/>
          <w:p>
            <w:pPr>
              <w:pStyle w:val="CompactSmall"/>
              <w:jc w:val="left"/>
            </w:pPr>
            <w:r>
              <w:t xml:space="preserve">0,04</w:t>
            </w:r>
          </w:p>
        </w:tc>
        <w:tc>
          <w:tcPr/>
          <w:p>
            <w:pPr>
              <w:pStyle w:val="CompactSmall"/>
              <w:jc w:val="left"/>
            </w:pPr>
            <w:r>
              <w:t xml:space="preserve">0,156</w:t>
            </w:r>
          </w:p>
        </w:tc>
        <w:tc>
          <w:tcPr/>
          <w:p>
            <w:pPr>
              <w:pStyle w:val="CompactSmall"/>
              <w:jc w:val="left"/>
            </w:pPr>
            <w:r>
              <w:t xml:space="preserve">0,812</w:t>
            </w:r>
          </w:p>
        </w:tc>
        <w:tc>
          <w:tcPr/>
          <w:p>
            <w:pPr>
              <w:pStyle w:val="CompactSmall"/>
              <w:jc w:val="left"/>
            </w:pPr>
            <w:r>
              <w:t xml:space="preserve">0,803</w:t>
            </w:r>
          </w:p>
        </w:tc>
        <w:tc>
          <w:tcPr/>
          <w:p>
            <w:pPr>
              <w:pStyle w:val="CompactSmall"/>
              <w:jc w:val="left"/>
            </w:pPr>
            <w:r>
              <w:t xml:space="preserve">[−0,31; 0,29]</w:t>
            </w:r>
          </w:p>
        </w:tc>
        <w:tc>
          <w:tcPr/>
          <w:p>
            <w:pPr>
              <w:pStyle w:val="CompactSmall"/>
              <w:jc w:val="left"/>
            </w:pPr>
            <w:r>
              <w:t xml:space="preserve">0,39</w:t>
            </w:r>
          </w:p>
        </w:tc>
        <w:tc>
          <w:tcPr/>
          <w:p>
            <w:pPr>
              <w:pStyle w:val="CompactSmall"/>
              <w:jc w:val="left"/>
            </w:pPr>
            <w:r>
              <w:t xml:space="preserve">0,033</w:t>
            </w:r>
          </w:p>
        </w:tc>
        <w:tc>
          <w:tcPr/>
          <w:p>
            <w:pPr>
              <w:pStyle w:val="CompactSmall"/>
              <w:jc w:val="left"/>
            </w:pPr>
            <w:r>
              <w:t xml:space="preserve">Không</w:t>
            </w:r>
          </w:p>
        </w:tc>
      </w:tr>
      <w:tr>
        <w:trPr>
          <w:cantSplit/>
        </w:trPr>
        <w:tc>
          <w:tcPr/>
          <w:p>
            <w:pPr>
              <w:pStyle w:val="CompactSmall"/>
              <w:jc w:val="left"/>
            </w:pPr>
            <w:r>
              <w:t xml:space="preserve">H3</w:t>
            </w:r>
          </w:p>
        </w:tc>
        <w:tc>
          <w:tcPr/>
          <w:p>
            <w:pPr>
              <w:pStyle w:val="CompactSmall"/>
              <w:jc w:val="left"/>
            </w:pPr>
            <w:r>
              <w:t xml:space="preserve">HRP: 5 lớp vs cổ phiếu–trái phiếu</w:t>
            </w:r>
          </w:p>
        </w:tc>
        <w:tc>
          <w:tcPr/>
          <w:p>
            <w:pPr>
              <w:pStyle w:val="CompactSmall"/>
              <w:jc w:val="left"/>
            </w:pPr>
            <w:r>
              <w:t xml:space="preserve">−0,01</w:t>
            </w:r>
          </w:p>
        </w:tc>
        <w:tc>
          <w:tcPr/>
          <w:p>
            <w:pPr>
              <w:pStyle w:val="CompactSmall"/>
              <w:jc w:val="left"/>
            </w:pPr>
            <w:r>
              <w:t xml:space="preserve">0,130</w:t>
            </w:r>
          </w:p>
        </w:tc>
        <w:tc>
          <w:tcPr/>
          <w:p>
            <w:pPr>
              <w:pStyle w:val="CompactSmall"/>
              <w:jc w:val="left"/>
            </w:pPr>
            <w:r>
              <w:t xml:space="preserve">0,925</w:t>
            </w:r>
          </w:p>
        </w:tc>
        <w:tc>
          <w:tcPr/>
          <w:p>
            <w:pPr>
              <w:pStyle w:val="CompactSmall"/>
              <w:jc w:val="left"/>
            </w:pPr>
            <w:r>
              <w:t xml:space="preserve">0,926</w:t>
            </w:r>
          </w:p>
        </w:tc>
        <w:tc>
          <w:tcPr/>
          <w:p>
            <w:pPr>
              <w:pStyle w:val="CompactSmall"/>
              <w:jc w:val="left"/>
            </w:pPr>
            <w:r>
              <w:t xml:space="preserve">[−0,30; 0,20]</w:t>
            </w:r>
          </w:p>
        </w:tc>
        <w:tc>
          <w:tcPr/>
          <w:p>
            <w:pPr>
              <w:pStyle w:val="CompactSmall"/>
              <w:jc w:val="left"/>
            </w:pPr>
            <w:r>
              <w:t xml:space="preserve">0,32</w:t>
            </w:r>
          </w:p>
        </w:tc>
        <w:tc>
          <w:tcPr/>
          <w:p>
            <w:pPr>
              <w:pStyle w:val="CompactSmall"/>
              <w:jc w:val="left"/>
            </w:pPr>
            <w:r>
              <w:t xml:space="preserve">0,050</w:t>
            </w:r>
          </w:p>
        </w:tc>
        <w:tc>
          <w:tcPr/>
          <w:p>
            <w:pPr>
              <w:pStyle w:val="CompactSmall"/>
              <w:jc w:val="left"/>
            </w:pPr>
            <w:r>
              <w:t xml:space="preserve">Không</w:t>
            </w:r>
          </w:p>
        </w:tc>
      </w:tr>
      <w:tr>
        <w:trPr>
          <w:cantSplit/>
        </w:trPr>
        <w:tc>
          <w:tcPr/>
          <w:p>
            <w:pPr>
              <w:pStyle w:val="CompactSmall"/>
              <w:jc w:val="left"/>
            </w:pPr>
            <w:r>
              <w:t xml:space="preserve">H3</w:t>
            </w:r>
          </w:p>
        </w:tc>
        <w:tc>
          <w:tcPr/>
          <w:p>
            <w:pPr>
              <w:pStyle w:val="CompactSmall"/>
              <w:jc w:val="left"/>
            </w:pPr>
            <w:r>
              <w:t xml:space="preserve">Markowitz: 5 lớp vs cổ phiếu–trái phiếu</w:t>
            </w:r>
          </w:p>
        </w:tc>
        <w:tc>
          <w:tcPr/>
          <w:p>
            <w:pPr>
              <w:pStyle w:val="CompactSmall"/>
              <w:jc w:val="left"/>
            </w:pPr>
            <w:r>
              <w:t xml:space="preserve">0,01</w:t>
            </w:r>
          </w:p>
        </w:tc>
        <w:tc>
          <w:tcPr/>
          <w:p>
            <w:pPr>
              <w:pStyle w:val="CompactSmall"/>
              <w:jc w:val="left"/>
            </w:pPr>
            <w:r>
              <w:t xml:space="preserve">0,126</w:t>
            </w:r>
          </w:p>
        </w:tc>
        <w:tc>
          <w:tcPr/>
          <w:p>
            <w:pPr>
              <w:pStyle w:val="CompactSmall"/>
              <w:jc w:val="left"/>
            </w:pPr>
            <w:r>
              <w:t xml:space="preserve">0,957</w:t>
            </w:r>
          </w:p>
        </w:tc>
        <w:tc>
          <w:tcPr/>
          <w:p>
            <w:pPr>
              <w:pStyle w:val="CompactSmall"/>
              <w:jc w:val="left"/>
            </w:pPr>
            <w:r>
              <w:t xml:space="preserve">0,953</w:t>
            </w:r>
          </w:p>
        </w:tc>
        <w:tc>
          <w:tcPr/>
          <w:p>
            <w:pPr>
              <w:pStyle w:val="CompactSmall"/>
              <w:jc w:val="left"/>
            </w:pPr>
            <w:r>
              <w:t xml:space="preserve">[−0,26; 0,22]</w:t>
            </w:r>
          </w:p>
        </w:tc>
        <w:tc>
          <w:tcPr/>
          <w:p>
            <w:pPr>
              <w:pStyle w:val="CompactSmall"/>
              <w:jc w:val="left"/>
            </w:pPr>
            <w:r>
              <w:t xml:space="preserve">0,31</w:t>
            </w:r>
          </w:p>
        </w:tc>
        <w:tc>
          <w:tcPr/>
          <w:p>
            <w:pPr>
              <w:pStyle w:val="CompactSmall"/>
              <w:jc w:val="left"/>
            </w:pPr>
            <w:r>
              <w:t xml:space="preserve">0,100</w:t>
            </w:r>
          </w:p>
        </w:tc>
        <w:tc>
          <w:tcPr/>
          <w:p>
            <w:pPr>
              <w:pStyle w:val="CompactSmall"/>
              <w:jc w:val="left"/>
            </w:pPr>
            <w:r>
              <w:t xml:space="preserve">Không</w:t>
            </w:r>
          </w:p>
        </w:tc>
      </w:tr>
      <w:tr>
        <w:trPr>
          <w:cantSplit/>
        </w:trPr>
        <w:tc>
          <w:tcPr/>
          <w:p>
            <w:pPr>
              <w:pStyle w:val="CompactSmall"/>
              <w:jc w:val="left"/>
            </w:pPr>
            <w:r>
              <w:t xml:space="preserve">H4 (phụ lục)</w:t>
            </w:r>
          </w:p>
        </w:tc>
        <w:tc>
          <w:tcPr/>
          <w:p>
            <w:pPr>
              <w:pStyle w:val="CompactSmall"/>
              <w:jc w:val="left"/>
            </w:pPr>
            <w:r>
              <w:t xml:space="preserve">RL vs RiskParity</w:t>
            </w:r>
          </w:p>
        </w:tc>
        <w:tc>
          <w:tcPr/>
          <w:p>
            <w:pPr>
              <w:pStyle w:val="CompactSmall"/>
              <w:jc w:val="left"/>
            </w:pPr>
            <w:r>
              <w:t xml:space="preserve">−0,09</w:t>
            </w:r>
          </w:p>
        </w:tc>
        <w:tc>
          <w:tcPr/>
          <w:p>
            <w:pPr>
              <w:pStyle w:val="CompactSmall"/>
              <w:jc w:val="left"/>
            </w:pPr>
            <w:r>
              <w:t xml:space="preserve">0,080</w:t>
            </w:r>
          </w:p>
        </w:tc>
        <w:tc>
          <w:tcPr/>
          <w:p>
            <w:pPr>
              <w:pStyle w:val="CompactSmall"/>
              <w:jc w:val="left"/>
            </w:pPr>
            <w:r>
              <w:t xml:space="preserve">0,318</w:t>
            </w:r>
          </w:p>
        </w:tc>
        <w:tc>
          <w:tcPr/>
          <w:p>
            <w:pPr>
              <w:pStyle w:val="CompactSmall"/>
              <w:jc w:val="left"/>
            </w:pPr>
            <w:r>
              <w:t xml:space="preserve">0,218</w:t>
            </w:r>
          </w:p>
        </w:tc>
        <w:tc>
          <w:tcPr/>
          <w:p>
            <w:pPr>
              <w:pStyle w:val="CompactSmall"/>
              <w:jc w:val="left"/>
            </w:pPr>
            <w:r>
              <w:t xml:space="preserve">[−0,23; 0,06]</w:t>
            </w:r>
          </w:p>
        </w:tc>
        <w:tc>
          <w:tcPr/>
          <w:p>
            <w:pPr>
              <w:pStyle w:val="CompactSmall"/>
              <w:jc w:val="left"/>
            </w:pPr>
            <w:r>
              <w:t xml:space="preserve">0,20</w:t>
            </w:r>
          </w:p>
        </w:tc>
        <w:tc>
          <w:tcPr/>
          <w:p>
            <w:pPr>
              <w:pStyle w:val="CompactSmall"/>
              <w:jc w:val="left"/>
            </w:pPr>
            <w:r>
              <w:t xml:space="preserve">0,020</w:t>
            </w:r>
          </w:p>
        </w:tc>
        <w:tc>
          <w:tcPr/>
          <w:p>
            <w:pPr>
              <w:pStyle w:val="CompactSmall"/>
              <w:jc w:val="left"/>
            </w:pPr>
            <w:r>
              <w:t xml:space="preserve">Không</w:t>
            </w:r>
          </w:p>
        </w:tc>
      </w:tr>
      <w:tr>
        <w:trPr>
          <w:cantSplit/>
        </w:trPr>
        <w:tc>
          <w:tcPr/>
          <w:p>
            <w:pPr>
              <w:pStyle w:val="CompactSmall"/>
              <w:jc w:val="left"/>
            </w:pPr>
            <w:r>
              <w:t xml:space="preserve">H4 (phụ lục)</w:t>
            </w:r>
          </w:p>
        </w:tc>
        <w:tc>
          <w:tcPr/>
          <w:p>
            <w:pPr>
              <w:pStyle w:val="CompactSmall"/>
              <w:jc w:val="left"/>
            </w:pPr>
            <w:r>
              <w:t xml:space="preserve">RL vs EqualWeight</w:t>
            </w:r>
          </w:p>
        </w:tc>
        <w:tc>
          <w:tcPr/>
          <w:p>
            <w:pPr>
              <w:pStyle w:val="CompactSmall"/>
              <w:jc w:val="left"/>
            </w:pPr>
            <w:r>
              <w:t xml:space="preserve">−0,08</w:t>
            </w:r>
          </w:p>
        </w:tc>
        <w:tc>
          <w:tcPr/>
          <w:p>
            <w:pPr>
              <w:pStyle w:val="CompactSmall"/>
              <w:jc w:val="left"/>
            </w:pPr>
            <w:r>
              <w:t xml:space="preserve">0,078</w:t>
            </w:r>
          </w:p>
        </w:tc>
        <w:tc>
          <w:tcPr/>
          <w:p>
            <w:pPr>
              <w:pStyle w:val="CompactSmall"/>
              <w:jc w:val="left"/>
            </w:pPr>
            <w:r>
              <w:t xml:space="preserve">0,328</w:t>
            </w:r>
          </w:p>
        </w:tc>
        <w:tc>
          <w:tcPr/>
          <w:p>
            <w:pPr>
              <w:pStyle w:val="CompactSmall"/>
              <w:jc w:val="left"/>
            </w:pPr>
            <w:r>
              <w:t xml:space="preserve">0,271</w:t>
            </w:r>
          </w:p>
        </w:tc>
        <w:tc>
          <w:tcPr/>
          <w:p>
            <w:pPr>
              <w:pStyle w:val="CompactSmall"/>
              <w:jc w:val="left"/>
            </w:pPr>
            <w:r>
              <w:t xml:space="preserve">[−0,21; 0,06]</w:t>
            </w:r>
          </w:p>
        </w:tc>
        <w:tc>
          <w:tcPr/>
          <w:p>
            <w:pPr>
              <w:pStyle w:val="CompactSmall"/>
              <w:jc w:val="left"/>
            </w:pPr>
            <w:r>
              <w:t xml:space="preserve">0,19</w:t>
            </w:r>
          </w:p>
        </w:tc>
        <w:tc>
          <w:tcPr/>
          <w:p>
            <w:pPr>
              <w:pStyle w:val="CompactSmall"/>
              <w:jc w:val="left"/>
            </w:pPr>
            <w:r>
              <w:t xml:space="preserve">0,025</w:t>
            </w:r>
          </w:p>
        </w:tc>
        <w:tc>
          <w:tcPr/>
          <w:p>
            <w:pPr>
              <w:pStyle w:val="CompactSmall"/>
              <w:jc w:val="left"/>
            </w:pPr>
            <w:r>
              <w:t xml:space="preserve">Không</w:t>
            </w:r>
          </w:p>
        </w:tc>
      </w:tr>
      <w:tr>
        <w:trPr>
          <w:cantSplit/>
        </w:trPr>
        <w:tc>
          <w:tcPr/>
          <w:p>
            <w:pPr>
              <w:pStyle w:val="CompactSmall"/>
              <w:jc w:val="left"/>
            </w:pPr>
            <w:r>
              <w:t xml:space="preserve">H4 (phụ lục)</w:t>
            </w:r>
          </w:p>
        </w:tc>
        <w:tc>
          <w:tcPr/>
          <w:p>
            <w:pPr>
              <w:pStyle w:val="CompactSmall"/>
              <w:jc w:val="left"/>
            </w:pPr>
            <w:r>
              <w:t xml:space="preserve">RL vs BlackLitterman</w:t>
            </w:r>
          </w:p>
        </w:tc>
        <w:tc>
          <w:tcPr/>
          <w:p>
            <w:pPr>
              <w:pStyle w:val="CompactSmall"/>
              <w:jc w:val="left"/>
            </w:pPr>
            <w:r>
              <w:t xml:space="preserve">−0,16</w:t>
            </w:r>
          </w:p>
        </w:tc>
        <w:tc>
          <w:tcPr/>
          <w:p>
            <w:pPr>
              <w:pStyle w:val="CompactSmall"/>
              <w:jc w:val="left"/>
            </w:pPr>
            <w:r>
              <w:t xml:space="preserve">0,178</w:t>
            </w:r>
          </w:p>
        </w:tc>
        <w:tc>
          <w:tcPr/>
          <w:p>
            <w:pPr>
              <w:pStyle w:val="CompactSmall"/>
              <w:jc w:val="left"/>
            </w:pPr>
            <w:r>
              <w:t xml:space="preserve">0,418</w:t>
            </w:r>
          </w:p>
        </w:tc>
        <w:tc>
          <w:tcPr/>
          <w:p>
            <w:pPr>
              <w:pStyle w:val="CompactSmall"/>
              <w:jc w:val="left"/>
            </w:pPr>
            <w:r>
              <w:t xml:space="preserve">0,349</w:t>
            </w:r>
          </w:p>
        </w:tc>
        <w:tc>
          <w:tcPr/>
          <w:p>
            <w:pPr>
              <w:pStyle w:val="CompactSmall"/>
              <w:jc w:val="left"/>
            </w:pPr>
            <w:r>
              <w:t xml:space="preserve">[−0,49; 0,18]</w:t>
            </w:r>
          </w:p>
        </w:tc>
        <w:tc>
          <w:tcPr/>
          <w:p>
            <w:pPr>
              <w:pStyle w:val="CompactSmall"/>
              <w:jc w:val="left"/>
            </w:pPr>
            <w:r>
              <w:t xml:space="preserve">0,44</w:t>
            </w:r>
          </w:p>
        </w:tc>
        <w:tc>
          <w:tcPr/>
          <w:p>
            <w:pPr>
              <w:pStyle w:val="CompactSmall"/>
              <w:jc w:val="left"/>
            </w:pPr>
            <w:r>
              <w:t xml:space="preserve">0,033</w:t>
            </w:r>
          </w:p>
        </w:tc>
        <w:tc>
          <w:tcPr/>
          <w:p>
            <w:pPr>
              <w:pStyle w:val="CompactSmall"/>
              <w:jc w:val="left"/>
            </w:pPr>
            <w:r>
              <w:t xml:space="preserve">Không</w:t>
            </w:r>
          </w:p>
        </w:tc>
      </w:tr>
      <w:tr>
        <w:trPr>
          <w:cantSplit/>
        </w:trPr>
        <w:tc>
          <w:tcPr/>
          <w:p>
            <w:pPr>
              <w:pStyle w:val="CompactSmall"/>
              <w:jc w:val="left"/>
            </w:pPr>
            <w:r>
              <w:t xml:space="preserve">H4 (phụ lục)</w:t>
            </w:r>
          </w:p>
        </w:tc>
        <w:tc>
          <w:tcPr/>
          <w:p>
            <w:pPr>
              <w:pStyle w:val="CompactSmall"/>
              <w:jc w:val="left"/>
            </w:pPr>
            <w:r>
              <w:t xml:space="preserve">RL vs HRP</w:t>
            </w:r>
          </w:p>
        </w:tc>
        <w:tc>
          <w:tcPr/>
          <w:p>
            <w:pPr>
              <w:pStyle w:val="CompactSmall"/>
              <w:jc w:val="left"/>
            </w:pPr>
            <w:r>
              <w:t xml:space="preserve">−0,03</w:t>
            </w:r>
          </w:p>
        </w:tc>
        <w:tc>
          <w:tcPr/>
          <w:p>
            <w:pPr>
              <w:pStyle w:val="CompactSmall"/>
              <w:jc w:val="left"/>
            </w:pPr>
            <w:r>
              <w:t xml:space="preserve">0,100</w:t>
            </w:r>
          </w:p>
        </w:tc>
        <w:tc>
          <w:tcPr/>
          <w:p>
            <w:pPr>
              <w:pStyle w:val="CompactSmall"/>
              <w:jc w:val="left"/>
            </w:pPr>
            <w:r>
              <w:t xml:space="preserve">0,765</w:t>
            </w:r>
          </w:p>
        </w:tc>
        <w:tc>
          <w:tcPr/>
          <w:p>
            <w:pPr>
              <w:pStyle w:val="CompactSmall"/>
              <w:jc w:val="left"/>
            </w:pPr>
            <w:r>
              <w:t xml:space="preserve">0,708</w:t>
            </w:r>
          </w:p>
        </w:tc>
        <w:tc>
          <w:tcPr/>
          <w:p>
            <w:pPr>
              <w:pStyle w:val="CompactSmall"/>
              <w:jc w:val="left"/>
            </w:pPr>
            <w:r>
              <w:t xml:space="preserve">[−0,20; 0,16]</w:t>
            </w:r>
          </w:p>
        </w:tc>
        <w:tc>
          <w:tcPr/>
          <w:p>
            <w:pPr>
              <w:pStyle w:val="CompactSmall"/>
              <w:jc w:val="left"/>
            </w:pPr>
            <w:r>
              <w:t xml:space="preserve">0,25</w:t>
            </w:r>
          </w:p>
        </w:tc>
        <w:tc>
          <w:tcPr/>
          <w:p>
            <w:pPr>
              <w:pStyle w:val="CompactSmall"/>
              <w:jc w:val="left"/>
            </w:pPr>
            <w:r>
              <w:t xml:space="preserve">0,050</w:t>
            </w:r>
          </w:p>
        </w:tc>
        <w:tc>
          <w:tcPr/>
          <w:p>
            <w:pPr>
              <w:pStyle w:val="CompactSmall"/>
              <w:jc w:val="left"/>
            </w:pPr>
            <w:r>
              <w:t xml:space="preserve">Không</w:t>
            </w:r>
          </w:p>
        </w:tc>
      </w:tr>
      <w:tr>
        <w:trPr>
          <w:cantSplit/>
        </w:trPr>
        <w:tc>
          <w:tcPr/>
          <w:p>
            <w:pPr>
              <w:pStyle w:val="CompactSmall"/>
              <w:jc w:val="left"/>
            </w:pPr>
            <w:r>
              <w:t xml:space="preserve">H4 (phụ lục)</w:t>
            </w:r>
          </w:p>
        </w:tc>
        <w:tc>
          <w:tcPr/>
          <w:p>
            <w:pPr>
              <w:pStyle w:val="CompactSmall"/>
              <w:jc w:val="left"/>
            </w:pPr>
            <w:r>
              <w:t xml:space="preserve">RL vs Markowitz</w:t>
            </w:r>
          </w:p>
        </w:tc>
        <w:tc>
          <w:tcPr/>
          <w:p>
            <w:pPr>
              <w:pStyle w:val="CompactSmall"/>
              <w:jc w:val="left"/>
            </w:pPr>
            <w:r>
              <w:t xml:space="preserve">0,00</w:t>
            </w:r>
          </w:p>
        </w:tc>
        <w:tc>
          <w:tcPr/>
          <w:p>
            <w:pPr>
              <w:pStyle w:val="CompactSmall"/>
              <w:jc w:val="left"/>
            </w:pPr>
            <w:r>
              <w:t xml:space="preserve">0,125</w:t>
            </w:r>
          </w:p>
        </w:tc>
        <w:tc>
          <w:tcPr/>
          <w:p>
            <w:pPr>
              <w:pStyle w:val="CompactSmall"/>
              <w:jc w:val="left"/>
            </w:pPr>
            <w:r>
              <w:t xml:space="preserve">0,975</w:t>
            </w:r>
          </w:p>
        </w:tc>
        <w:tc>
          <w:tcPr/>
          <w:p>
            <w:pPr>
              <w:pStyle w:val="CompactSmall"/>
              <w:jc w:val="left"/>
            </w:pPr>
            <w:r>
              <w:t xml:space="preserve">0,973</w:t>
            </w:r>
          </w:p>
        </w:tc>
        <w:tc>
          <w:tcPr/>
          <w:p>
            <w:pPr>
              <w:pStyle w:val="CompactSmall"/>
              <w:jc w:val="left"/>
            </w:pPr>
            <w:r>
              <w:t xml:space="preserve">[−0,22; 0,22]</w:t>
            </w:r>
          </w:p>
        </w:tc>
        <w:tc>
          <w:tcPr/>
          <w:p>
            <w:pPr>
              <w:pStyle w:val="CompactSmall"/>
              <w:jc w:val="left"/>
            </w:pPr>
            <w:r>
              <w:t xml:space="preserve">0,31</w:t>
            </w:r>
          </w:p>
        </w:tc>
        <w:tc>
          <w:tcPr/>
          <w:p>
            <w:pPr>
              <w:pStyle w:val="CompactSmall"/>
              <w:jc w:val="left"/>
            </w:pPr>
            <w:r>
              <w:t xml:space="preserve">0,100</w:t>
            </w:r>
          </w:p>
        </w:tc>
        <w:tc>
          <w:tcPr/>
          <w:p>
            <w:pPr>
              <w:pStyle w:val="CompactSmall"/>
              <w:jc w:val="left"/>
            </w:pPr>
            <w:r>
              <w:t xml:space="preserve">Không</w:t>
            </w:r>
          </w:p>
        </w:tc>
      </w:tr>
      <w:tr>
        <w:trPr>
          <w:cantSplit/>
        </w:trPr>
        <w:tc>
          <w:tcPr/>
          <w:p>
            <w:pPr>
              <w:pStyle w:val="CompactSmall"/>
              <w:jc w:val="left"/>
            </w:pPr>
            <w:r>
              <w:t xml:space="preserve">Mở rộng</w:t>
            </w:r>
          </w:p>
        </w:tc>
        <w:tc>
          <w:tcPr/>
          <w:p>
            <w:pPr>
              <w:pStyle w:val="CompactSmall"/>
              <w:jc w:val="left"/>
            </w:pPr>
            <w:r>
              <w:t xml:space="preserve">MLP_MVO vs Markowitz</w:t>
            </w:r>
          </w:p>
        </w:tc>
        <w:tc>
          <w:tcPr/>
          <w:p>
            <w:pPr>
              <w:pStyle w:val="CompactSmall"/>
              <w:jc w:val="left"/>
            </w:pPr>
            <w:r>
              <w:t xml:space="preserve">0,13</w:t>
            </w:r>
          </w:p>
        </w:tc>
        <w:tc>
          <w:tcPr/>
          <w:p>
            <w:pPr>
              <w:pStyle w:val="CompactSmall"/>
              <w:jc w:val="left"/>
            </w:pPr>
            <w:r>
              <w:t xml:space="preserve">0,189</w:t>
            </w:r>
          </w:p>
        </w:tc>
        <w:tc>
          <w:tcPr/>
          <w:p>
            <w:pPr>
              <w:pStyle w:val="CompactSmall"/>
              <w:jc w:val="left"/>
            </w:pPr>
            <w:r>
              <w:t xml:space="preserve">0,524</w:t>
            </w:r>
          </w:p>
        </w:tc>
        <w:tc>
          <w:tcPr/>
          <w:p>
            <w:pPr>
              <w:pStyle w:val="CompactSmall"/>
              <w:jc w:val="left"/>
            </w:pPr>
            <w:r>
              <w:t xml:space="preserve">0,480</w:t>
            </w:r>
          </w:p>
        </w:tc>
        <w:tc>
          <w:tcPr/>
          <w:p>
            <w:pPr>
              <w:pStyle w:val="CompactSmall"/>
              <w:jc w:val="left"/>
            </w:pPr>
            <w:r>
              <w:t xml:space="preserve">[−0,22; 0,45]</w:t>
            </w:r>
          </w:p>
        </w:tc>
        <w:tc>
          <w:tcPr/>
          <w:p>
            <w:pPr>
              <w:pStyle w:val="CompactSmall"/>
              <w:jc w:val="left"/>
            </w:pPr>
            <w:r>
              <w:t xml:space="preserve">0,47</w:t>
            </w:r>
          </w:p>
        </w:tc>
        <w:tc>
          <w:tcPr/>
          <w:p>
            <w:pPr>
              <w:pStyle w:val="CompactSmall"/>
              <w:jc w:val="left"/>
            </w:pPr>
            <w:r>
              <w:t xml:space="preserve">0,100</w:t>
            </w:r>
          </w:p>
        </w:tc>
        <w:tc>
          <w:tcPr/>
          <w:p>
            <w:pPr>
              <w:pStyle w:val="CompactSmall"/>
              <w:jc w:val="left"/>
            </w:pPr>
            <w:r>
              <w:t xml:space="preserve">Không</w:t>
            </w:r>
          </w:p>
        </w:tc>
      </w:tr>
    </w:tbl>
    <w:p/>
    <w:p>
      <w:pPr>
        <w:pStyle w:val="TableCaption"/>
      </w:pPr>
      <w:r>
        <w:t xml:space="preserve">Bảng D.2. Sharpe điều chỉnh cho số lần thử (Deflated Sharpe Ratio)</w:t>
      </w:r>
    </w:p>
    <w:tbl>
      <w:tblPr>
        <w:tblStyle w:val="Table"/>
        <w:tblW w:type="pct" w:w="5000"/>
        <w:jc w:val="center"/>
        <w:tblLook w:firstRow="1" w:lastRow="0" w:firstColumn="0" w:lastColumn="0" w:noHBand="0" w:noVBand="0" w:val="0020"/>
        <w:tblCaption w:val="Bảng D.2. Sharpe điều chỉnh cho số lần thử (Deflated Sharpe Ratio)"/>
      </w:tblPr>
      <w:tblGrid>
        <w:gridCol w:w="2149"/>
        <w:gridCol w:w="1244"/>
        <w:gridCol w:w="1131"/>
        <w:gridCol w:w="1018"/>
        <w:gridCol w:w="1131"/>
        <w:gridCol w:w="1244"/>
      </w:tblGrid>
      <w:tr>
        <w:trPr>
          <w:tblHeader w:val="true"/>
        </w:trPr>
        <w:tc>
          <w:tcPr/>
          <w:p>
            <w:pPr>
              <w:pStyle w:val="Compact"/>
              <w:jc w:val="center"/>
            </w:pPr>
            <w:r>
              <w:rPr>
                <w:b/>
              </w:rPr>
              <w:t xml:space="preserve">Phương pháp</w:t>
            </w:r>
          </w:p>
        </w:tc>
        <w:tc>
          <w:tcPr/>
          <w:p>
            <w:pPr>
              <w:pStyle w:val="Compact"/>
              <w:jc w:val="center"/>
            </w:pPr>
            <w:r>
              <w:rPr>
                <w:b/>
              </w:rPr>
              <w:t xml:space="preserve">Sharpe</w:t>
            </w:r>
          </w:p>
        </w:tc>
        <w:tc>
          <w:tcPr/>
          <w:p>
            <w:pPr>
              <w:pStyle w:val="Compact"/>
              <w:jc w:val="center"/>
            </w:pPr>
            <w:r>
              <w:rPr>
                <w:b/>
              </w:rPr>
              <w:t xml:space="preserve">Độ lệch</w:t>
            </w:r>
          </w:p>
        </w:tc>
        <w:tc>
          <w:tcPr/>
          <w:p>
            <w:pPr>
              <w:pStyle w:val="Compact"/>
              <w:jc w:val="center"/>
            </w:pPr>
            <w:r>
              <w:rPr>
                <w:b/>
              </w:rPr>
              <w:t xml:space="preserve">Độ nhọn</w:t>
            </w:r>
          </w:p>
        </w:tc>
        <w:tc>
          <w:tcPr/>
          <w:p>
            <w:pPr>
              <w:pStyle w:val="Compact"/>
              <w:jc w:val="center"/>
            </w:pPr>
            <w:r>
              <w:rPr>
                <w:b/>
              </w:rPr>
              <w:t xml:space="preserve">DSR (N = 63)</w:t>
            </w:r>
          </w:p>
        </w:tc>
        <w:tc>
          <w:tcPr/>
          <w:p>
            <w:pPr>
              <w:pStyle w:val="Compact"/>
              <w:jc w:val="center"/>
            </w:pPr>
            <w:r>
              <w:rPr>
                <w:b/>
              </w:rPr>
              <w:t xml:space="preserve">DSR (N = 252)</w:t>
            </w:r>
          </w:p>
        </w:tc>
      </w:tr>
      <w:tr>
        <w:trPr>
          <w:cantSplit/>
        </w:trPr>
        <w:tc>
          <w:tcPr/>
          <w:p>
            <w:pPr>
              <w:pStyle w:val="Compact"/>
              <w:jc w:val="left"/>
            </w:pPr>
            <w:r>
              <w:t xml:space="preserve">EqualWeight</w:t>
            </w:r>
          </w:p>
        </w:tc>
        <w:tc>
          <w:tcPr/>
          <w:p>
            <w:pPr>
              <w:pStyle w:val="Compact"/>
              <w:jc w:val="left"/>
            </w:pPr>
            <w:r>
              <w:t xml:space="preserve">0,29</w:t>
            </w:r>
          </w:p>
        </w:tc>
        <w:tc>
          <w:tcPr/>
          <w:p>
            <w:pPr>
              <w:pStyle w:val="Compact"/>
              <w:jc w:val="left"/>
            </w:pPr>
            <w:r>
              <w:t xml:space="preserve">−0,06</w:t>
            </w:r>
          </w:p>
        </w:tc>
        <w:tc>
          <w:tcPr/>
          <w:p>
            <w:pPr>
              <w:pStyle w:val="Compact"/>
              <w:jc w:val="left"/>
            </w:pPr>
            <w:r>
              <w:t xml:space="preserve">3,25</w:t>
            </w:r>
          </w:p>
        </w:tc>
        <w:tc>
          <w:tcPr/>
          <w:p>
            <w:pPr>
              <w:pStyle w:val="Compact"/>
              <w:jc w:val="left"/>
            </w:pPr>
            <w:r>
              <w:t xml:space="preserve">0,41</w:t>
            </w:r>
          </w:p>
        </w:tc>
        <w:tc>
          <w:tcPr/>
          <w:p>
            <w:pPr>
              <w:pStyle w:val="Compact"/>
              <w:jc w:val="left"/>
            </w:pPr>
            <w:r>
              <w:t xml:space="preserve">0,32</w:t>
            </w:r>
          </w:p>
        </w:tc>
      </w:tr>
      <w:tr>
        <w:trPr>
          <w:cantSplit/>
        </w:trPr>
        <w:tc>
          <w:tcPr/>
          <w:p>
            <w:pPr>
              <w:pStyle w:val="Compact"/>
              <w:jc w:val="left"/>
            </w:pPr>
            <w:r>
              <w:t xml:space="preserve">Markowitz</w:t>
            </w:r>
          </w:p>
        </w:tc>
        <w:tc>
          <w:tcPr/>
          <w:p>
            <w:pPr>
              <w:pStyle w:val="Compact"/>
              <w:jc w:val="left"/>
            </w:pPr>
            <w:r>
              <w:t xml:space="preserve">0,20</w:t>
            </w:r>
          </w:p>
        </w:tc>
        <w:tc>
          <w:tcPr/>
          <w:p>
            <w:pPr>
              <w:pStyle w:val="Compact"/>
              <w:jc w:val="left"/>
            </w:pPr>
            <w:r>
              <w:t xml:space="preserve">−0,35</w:t>
            </w:r>
          </w:p>
        </w:tc>
        <w:tc>
          <w:tcPr/>
          <w:p>
            <w:pPr>
              <w:pStyle w:val="Compact"/>
              <w:jc w:val="left"/>
            </w:pPr>
            <w:r>
              <w:t xml:space="preserve">3,84</w:t>
            </w:r>
          </w:p>
        </w:tc>
        <w:tc>
          <w:tcPr/>
          <w:p>
            <w:pPr>
              <w:pStyle w:val="Compact"/>
              <w:jc w:val="left"/>
            </w:pPr>
            <w:r>
              <w:t xml:space="preserve">0,32</w:t>
            </w:r>
          </w:p>
        </w:tc>
        <w:tc>
          <w:tcPr/>
          <w:p>
            <w:pPr>
              <w:pStyle w:val="Compact"/>
              <w:jc w:val="left"/>
            </w:pPr>
            <w:r>
              <w:t xml:space="preserve">0,24</w:t>
            </w:r>
          </w:p>
        </w:tc>
      </w:tr>
      <w:tr>
        <w:trPr>
          <w:cantSplit/>
        </w:trPr>
        <w:tc>
          <w:tcPr/>
          <w:p>
            <w:pPr>
              <w:pStyle w:val="Compact"/>
              <w:jc w:val="left"/>
            </w:pPr>
            <w:r>
              <w:t xml:space="preserve">RiskParity</w:t>
            </w:r>
          </w:p>
        </w:tc>
        <w:tc>
          <w:tcPr/>
          <w:p>
            <w:pPr>
              <w:pStyle w:val="Compact"/>
              <w:jc w:val="left"/>
            </w:pPr>
            <w:r>
              <w:t xml:space="preserve">0,29</w:t>
            </w:r>
          </w:p>
        </w:tc>
        <w:tc>
          <w:tcPr/>
          <w:p>
            <w:pPr>
              <w:pStyle w:val="Compact"/>
              <w:jc w:val="left"/>
            </w:pPr>
            <w:r>
              <w:t xml:space="preserve">−0,04</w:t>
            </w:r>
          </w:p>
        </w:tc>
        <w:tc>
          <w:tcPr/>
          <w:p>
            <w:pPr>
              <w:pStyle w:val="Compact"/>
              <w:jc w:val="left"/>
            </w:pPr>
            <w:r>
              <w:t xml:space="preserve">3,53</w:t>
            </w:r>
          </w:p>
        </w:tc>
        <w:tc>
          <w:tcPr/>
          <w:p>
            <w:pPr>
              <w:pStyle w:val="Compact"/>
              <w:jc w:val="left"/>
            </w:pPr>
            <w:r>
              <w:t xml:space="preserve">0,41</w:t>
            </w:r>
          </w:p>
        </w:tc>
        <w:tc>
          <w:tcPr/>
          <w:p>
            <w:pPr>
              <w:pStyle w:val="Compact"/>
              <w:jc w:val="left"/>
            </w:pPr>
            <w:r>
              <w:t xml:space="preserve">0,33</w:t>
            </w:r>
          </w:p>
        </w:tc>
      </w:tr>
      <w:tr>
        <w:trPr>
          <w:cantSplit/>
        </w:trPr>
        <w:tc>
          <w:tcPr/>
          <w:p>
            <w:pPr>
              <w:pStyle w:val="Compact"/>
              <w:jc w:val="left"/>
            </w:pPr>
            <w:r>
              <w:t xml:space="preserve">HRP</w:t>
            </w:r>
          </w:p>
        </w:tc>
        <w:tc>
          <w:tcPr/>
          <w:p>
            <w:pPr>
              <w:pStyle w:val="Compact"/>
              <w:jc w:val="left"/>
            </w:pPr>
            <w:r>
              <w:t xml:space="preserve">0,24</w:t>
            </w:r>
          </w:p>
        </w:tc>
        <w:tc>
          <w:tcPr/>
          <w:p>
            <w:pPr>
              <w:pStyle w:val="Compact"/>
              <w:jc w:val="left"/>
            </w:pPr>
            <w:r>
              <w:t xml:space="preserve">0,01</w:t>
            </w:r>
          </w:p>
        </w:tc>
        <w:tc>
          <w:tcPr/>
          <w:p>
            <w:pPr>
              <w:pStyle w:val="Compact"/>
              <w:jc w:val="left"/>
            </w:pPr>
            <w:r>
              <w:t xml:space="preserve">3,61</w:t>
            </w:r>
          </w:p>
        </w:tc>
        <w:tc>
          <w:tcPr/>
          <w:p>
            <w:pPr>
              <w:pStyle w:val="Compact"/>
              <w:jc w:val="left"/>
            </w:pPr>
            <w:r>
              <w:t xml:space="preserve">0,35</w:t>
            </w:r>
          </w:p>
        </w:tc>
        <w:tc>
          <w:tcPr/>
          <w:p>
            <w:pPr>
              <w:pStyle w:val="Compact"/>
              <w:jc w:val="left"/>
            </w:pPr>
            <w:r>
              <w:t xml:space="preserve">0,28</w:t>
            </w:r>
          </w:p>
        </w:tc>
      </w:tr>
      <w:tr>
        <w:trPr>
          <w:cantSplit/>
        </w:trPr>
        <w:tc>
          <w:tcPr/>
          <w:p>
            <w:pPr>
              <w:pStyle w:val="Compact"/>
              <w:jc w:val="left"/>
            </w:pPr>
            <w:r>
              <w:t xml:space="preserve">BlackLitterman</w:t>
            </w:r>
          </w:p>
        </w:tc>
        <w:tc>
          <w:tcPr/>
          <w:p>
            <w:pPr>
              <w:pStyle w:val="Compact"/>
              <w:jc w:val="left"/>
            </w:pPr>
            <w:r>
              <w:t xml:space="preserve">0,37</w:t>
            </w:r>
          </w:p>
        </w:tc>
        <w:tc>
          <w:tcPr/>
          <w:p>
            <w:pPr>
              <w:pStyle w:val="Compact"/>
              <w:jc w:val="left"/>
            </w:pPr>
            <w:r>
              <w:t xml:space="preserve">0,35</w:t>
            </w:r>
          </w:p>
        </w:tc>
        <w:tc>
          <w:tcPr/>
          <w:p>
            <w:pPr>
              <w:pStyle w:val="Compact"/>
              <w:jc w:val="left"/>
            </w:pPr>
            <w:r>
              <w:t xml:space="preserve">3,97</w:t>
            </w:r>
          </w:p>
        </w:tc>
        <w:tc>
          <w:tcPr/>
          <w:p>
            <w:pPr>
              <w:pStyle w:val="Compact"/>
              <w:jc w:val="left"/>
            </w:pPr>
            <w:r>
              <w:t xml:space="preserve">0,50</w:t>
            </w:r>
          </w:p>
        </w:tc>
        <w:tc>
          <w:tcPr/>
          <w:p>
            <w:pPr>
              <w:pStyle w:val="Compact"/>
              <w:jc w:val="left"/>
            </w:pPr>
            <w:r>
              <w:t xml:space="preserve">0,41</w:t>
            </w:r>
          </w:p>
        </w:tc>
      </w:tr>
      <w:tr>
        <w:trPr>
          <w:cantSplit/>
        </w:trPr>
        <w:tc>
          <w:tcPr/>
          <w:p>
            <w:pPr>
              <w:pStyle w:val="Compact"/>
              <w:jc w:val="left"/>
            </w:pPr>
            <w:r>
              <w:t xml:space="preserve">RL</w:t>
            </w:r>
          </w:p>
        </w:tc>
        <w:tc>
          <w:tcPr/>
          <w:p>
            <w:pPr>
              <w:pStyle w:val="Compact"/>
              <w:jc w:val="left"/>
            </w:pPr>
            <w:r>
              <w:t xml:space="preserve">0,21</w:t>
            </w:r>
          </w:p>
        </w:tc>
        <w:tc>
          <w:tcPr/>
          <w:p>
            <w:pPr>
              <w:pStyle w:val="Compact"/>
              <w:jc w:val="left"/>
            </w:pPr>
            <w:r>
              <w:t xml:space="preserve">−0,06</w:t>
            </w:r>
          </w:p>
        </w:tc>
        <w:tc>
          <w:tcPr/>
          <w:p>
            <w:pPr>
              <w:pStyle w:val="Compact"/>
              <w:jc w:val="left"/>
            </w:pPr>
            <w:r>
              <w:t xml:space="preserve">3,66</w:t>
            </w:r>
          </w:p>
        </w:tc>
        <w:tc>
          <w:tcPr/>
          <w:p>
            <w:pPr>
              <w:pStyle w:val="Compact"/>
              <w:jc w:val="left"/>
            </w:pPr>
            <w:r>
              <w:t xml:space="preserve">0,32</w:t>
            </w:r>
          </w:p>
        </w:tc>
        <w:tc>
          <w:tcPr/>
          <w:p>
            <w:pPr>
              <w:pStyle w:val="Compact"/>
              <w:jc w:val="left"/>
            </w:pPr>
            <w:r>
              <w:t xml:space="preserve">0,25</w:t>
            </w:r>
          </w:p>
        </w:tc>
      </w:tr>
      <w:tr>
        <w:trPr>
          <w:cantSplit/>
        </w:trPr>
        <w:tc>
          <w:tcPr/>
          <w:p>
            <w:pPr>
              <w:pStyle w:val="Compact"/>
              <w:jc w:val="left"/>
            </w:pPr>
            <w:r>
              <w:t xml:space="preserve">MLP_MVO</w:t>
            </w:r>
          </w:p>
        </w:tc>
        <w:tc>
          <w:tcPr/>
          <w:p>
            <w:pPr>
              <w:pStyle w:val="Compact"/>
              <w:jc w:val="left"/>
            </w:pPr>
            <w:r>
              <w:t xml:space="preserve">0,33</w:t>
            </w:r>
          </w:p>
        </w:tc>
        <w:tc>
          <w:tcPr/>
          <w:p>
            <w:pPr>
              <w:pStyle w:val="Compact"/>
              <w:jc w:val="left"/>
            </w:pPr>
            <w:r>
              <w:t xml:space="preserve">0,41</w:t>
            </w:r>
          </w:p>
        </w:tc>
        <w:tc>
          <w:tcPr/>
          <w:p>
            <w:pPr>
              <w:pStyle w:val="Compact"/>
              <w:jc w:val="left"/>
            </w:pPr>
            <w:r>
              <w:t xml:space="preserve">4,34</w:t>
            </w:r>
          </w:p>
        </w:tc>
        <w:tc>
          <w:tcPr/>
          <w:p>
            <w:pPr>
              <w:pStyle w:val="Compact"/>
              <w:jc w:val="left"/>
            </w:pPr>
            <w:r>
              <w:t xml:space="preserve">0,45</w:t>
            </w:r>
          </w:p>
        </w:tc>
        <w:tc>
          <w:tcPr/>
          <w:p>
            <w:pPr>
              <w:pStyle w:val="Compact"/>
              <w:jc w:val="left"/>
            </w:pPr>
            <w:r>
              <w:t xml:space="preserve">0,37</w:t>
            </w:r>
          </w:p>
        </w:tc>
      </w:tr>
    </w:tbl>
    <w:p>
      <w:pPr>
        <w:pStyle w:val="BodyText"/>
        <w:spacing w:before="200"/>
      </w:pPr>
      <w:r>
        <w:rPr>
          <w:iCs/>
          <w:i/>
        </w:rPr>
        <w:t xml:space="preserve">Ghi chú: DSR là xác suất Sharpe thật lớn hơn 0 sau khi điều chỉnh cho N cấu hình đã thử (Bailey và López de Prado, 2014); N = 63 là số danh mục của Bảng C.1, N = 252 cộng thêm các biến thể độ nhạy. Không phương pháp nào đạt ngưỡng 0,95.</w:t>
      </w:r>
    </w:p>
    <w:p>
      <w:pPr>
        <w:pStyle w:val="BodyText"/>
      </w:pPr>
      <w:r>
        <w:t xml:space="preserve">H4 (RL so với các phương pháp còn lại) được xếp vào phụ lục vì tác tử đúng bản chất là một contextual bandit: hành động phân bổ không làm thay đổi trạng thái thị trường kế tiếp, với 4 trạng thái (động lượng 3 tháng × biến động 6 tháng so với trung vị) và 3 hành động (sàn, giữa, trần của dải khẩu vị). Kết quả cho thấy RL không vượt phương pháp nào: chênh lệch Sharpe từ −0,16 đến 0,00, không cặp nào có ý nghĩa, trong khi turnover ở kịch bản chính (6,5%/tháng) cao gấp 3–4 lần EqualWeight, Risk Parity, HRP và Markowitz (Bảng C.1).</w:t>
      </w:r>
    </w:p>
    <w:bookmarkEnd w:id="176"/>
    <w:bookmarkStart w:id="177" w:name="phụ-lục-e.-phân-tích-độ-nhạy"/>
    <w:p>
      <w:pPr>
        <w:pStyle w:val="Heading2"/>
      </w:pPr>
      <w:r>
        <w:t xml:space="preserve">Phụ lục E. Phân tích độ nhạy</w:t>
      </w:r>
    </w:p>
    <w:p>
      <w:pPr>
        <w:pStyle w:val="FirstParagraph"/>
      </w:pPr>
      <w:r>
        <w:t xml:space="preserve">Mỗi biến thể thay đổi một tham số và giữ nguyên phần còn lại, chạy trên kịch bản Cân bằng / Trung hạn. EqualWeight, Risk Parity và HRP không dùng δ nên Sharpe không đổi theo tham số này.</w:t>
      </w:r>
    </w:p>
    <w:p>
      <w:pPr>
        <w:pStyle w:val="TableCaption"/>
      </w:pPr>
      <w:r>
        <w:t xml:space="preserve">Bảng E.1. Sharpe của 5 phương pháp chính theo từng biến thể; MDD và tỷ trọng vàng của Black–Litterman</w:t>
      </w:r>
    </w:p>
    <w:tbl>
      <w:tblPr>
        <w:tblStyle w:val="Table"/>
        <w:tblW w:type="pct" w:w="5000"/>
        <w:jc w:val="center"/>
        <w:tblCellMar>
          <w:left w:w="45" w:type="dxa"/>
          <w:right w:w="45" w:type="dxa"/>
        </w:tblCellMar>
        <w:tblLook w:firstRow="1" w:lastRow="0" w:firstColumn="0" w:lastColumn="0" w:noHBand="0" w:noVBand="0" w:val="0020"/>
        <w:tblCaption w:val="Bảng E.1. Sharpe của 5 phương pháp chính theo từng biến thể; MDD và tỷ trọng vàng của Black–Litterman"/>
      </w:tblPr>
      <w:tblGrid>
        <w:gridCol w:w="1464"/>
        <w:gridCol w:w="1064"/>
        <w:gridCol w:w="532"/>
        <w:gridCol w:w="865"/>
        <w:gridCol w:w="532"/>
        <w:gridCol w:w="532"/>
        <w:gridCol w:w="598"/>
        <w:gridCol w:w="665"/>
        <w:gridCol w:w="1064"/>
        <w:gridCol w:w="598"/>
      </w:tblGrid>
      <w:tr>
        <w:trPr>
          <w:tblHeader w:val="true"/>
        </w:trPr>
        <w:tc>
          <w:tcPr/>
          <w:p>
            <w:pPr>
              <w:pStyle w:val="CompactSmall"/>
              <w:jc w:val="center"/>
            </w:pPr>
            <w:r>
              <w:rPr>
                <w:b/>
              </w:rPr>
              <w:t xml:space="preserve">Biến thể</w:t>
            </w:r>
          </w:p>
        </w:tc>
        <w:tc>
          <w:tcPr/>
          <w:p>
            <w:pPr>
              <w:pStyle w:val="CompactSmall"/>
              <w:jc w:val="center"/>
            </w:pPr>
            <w:r>
              <w:rPr>
                <w:b/>
              </w:rPr>
              <w:t xml:space="preserve">Giá trị</w:t>
            </w:r>
          </w:p>
        </w:tc>
        <w:tc>
          <w:tcPr/>
          <w:p>
            <w:pPr>
              <w:pStyle w:val="CompactSmall"/>
              <w:jc w:val="center"/>
            </w:pPr>
            <w:r>
              <w:rPr>
                <w:b/>
              </w:rPr>
              <w:t xml:space="preserve">EW</w:t>
            </w:r>
          </w:p>
        </w:tc>
        <w:tc>
          <w:tcPr/>
          <w:p>
            <w:pPr>
              <w:pStyle w:val="CompactSmall"/>
              <w:jc w:val="center"/>
            </w:pPr>
            <w:r>
              <w:rPr>
                <w:b/>
              </w:rPr>
              <w:t xml:space="preserve">Markowitz</w:t>
            </w:r>
          </w:p>
        </w:tc>
        <w:tc>
          <w:tcPr/>
          <w:p>
            <w:pPr>
              <w:pStyle w:val="CompactSmall"/>
              <w:jc w:val="center"/>
            </w:pPr>
            <w:r>
              <w:rPr>
                <w:b/>
              </w:rPr>
              <w:t xml:space="preserve">RP</w:t>
            </w:r>
          </w:p>
        </w:tc>
        <w:tc>
          <w:tcPr/>
          <w:p>
            <w:pPr>
              <w:pStyle w:val="CompactSmall"/>
              <w:jc w:val="center"/>
            </w:pPr>
            <w:r>
              <w:rPr>
                <w:b/>
              </w:rPr>
              <w:t xml:space="preserve">HRP</w:t>
            </w:r>
          </w:p>
        </w:tc>
        <w:tc>
          <w:tcPr/>
          <w:p>
            <w:pPr>
              <w:pStyle w:val="CompactSmall"/>
              <w:jc w:val="center"/>
            </w:pPr>
            <w:r>
              <w:rPr>
                <w:b/>
              </w:rPr>
              <w:t xml:space="preserve">BL</w:t>
            </w:r>
          </w:p>
        </w:tc>
        <w:tc>
          <w:tcPr/>
          <w:p>
            <w:pPr>
              <w:pStyle w:val="CompactSmall"/>
              <w:jc w:val="center"/>
            </w:pPr>
            <w:r>
              <w:rPr>
                <w:b/>
              </w:rPr>
              <w:t xml:space="preserve">MDD của BL</w:t>
            </w:r>
          </w:p>
        </w:tc>
        <w:tc>
          <w:tcPr/>
          <w:p>
            <w:pPr>
              <w:pStyle w:val="CompactSmall"/>
              <w:jc w:val="center"/>
            </w:pPr>
            <w:r>
              <w:rPr>
                <w:b/>
              </w:rPr>
              <w:t xml:space="preserve">Tỷ trọng vàng TB của BL</w:t>
            </w:r>
          </w:p>
        </w:tc>
        <w:tc>
          <w:tcPr/>
          <w:p>
            <w:pPr>
              <w:pStyle w:val="CompactSmall"/>
              <w:jc w:val="center"/>
            </w:pPr>
            <w:r>
              <w:rPr>
                <w:b/>
              </w:rPr>
              <w:t xml:space="preserve">Số tháng</w:t>
            </w:r>
          </w:p>
        </w:tc>
      </w:tr>
      <w:tr>
        <w:trPr>
          <w:cantSplit/>
        </w:trPr>
        <w:tc>
          <w:tcPr/>
          <w:p>
            <w:pPr>
              <w:pStyle w:val="CompactSmall"/>
              <w:jc w:val="left"/>
            </w:pPr>
            <w:r>
              <w:t xml:space="preserve">Cấu hình gốc</w:t>
            </w:r>
          </w:p>
        </w:tc>
        <w:tc>
          <w:tcPr/>
          <w:p>
            <w:pPr>
              <w:pStyle w:val="CompactSmall"/>
              <w:jc w:val="left"/>
            </w:pPr>
            <w:r>
              <w:t xml:space="preserve">—</w:t>
            </w:r>
          </w:p>
        </w:tc>
        <w:tc>
          <w:tcPr/>
          <w:p>
            <w:pPr>
              <w:pStyle w:val="CompactSmall"/>
              <w:jc w:val="left"/>
            </w:pPr>
            <w:r>
              <w:t xml:space="preserve">0,29</w:t>
            </w:r>
          </w:p>
        </w:tc>
        <w:tc>
          <w:tcPr/>
          <w:p>
            <w:pPr>
              <w:pStyle w:val="CompactSmall"/>
              <w:jc w:val="left"/>
            </w:pPr>
            <w:r>
              <w:t xml:space="preserve">0,20</w:t>
            </w:r>
          </w:p>
        </w:tc>
        <w:tc>
          <w:tcPr/>
          <w:p>
            <w:pPr>
              <w:pStyle w:val="CompactSmall"/>
              <w:jc w:val="left"/>
            </w:pPr>
            <w:r>
              <w:t xml:space="preserve">0,29</w:t>
            </w:r>
          </w:p>
        </w:tc>
        <w:tc>
          <w:tcPr/>
          <w:p>
            <w:pPr>
              <w:pStyle w:val="CompactSmall"/>
              <w:jc w:val="left"/>
            </w:pPr>
            <w:r>
              <w:t xml:space="preserve">0,24</w:t>
            </w:r>
          </w:p>
        </w:tc>
        <w:tc>
          <w:tcPr/>
          <w:p>
            <w:pPr>
              <w:pStyle w:val="CompactSmall"/>
              <w:jc w:val="left"/>
            </w:pPr>
            <w:r>
              <w:t xml:space="preserve">0,37</w:t>
            </w:r>
          </w:p>
        </w:tc>
        <w:tc>
          <w:tcPr/>
          <w:p>
            <w:pPr>
              <w:pStyle w:val="CompactSmall"/>
              <w:jc w:val="left"/>
            </w:pPr>
            <w:r>
              <w:t xml:space="preserve">−21,8%</w:t>
            </w:r>
          </w:p>
        </w:tc>
        <w:tc>
          <w:tcPr/>
          <w:p>
            <w:pPr>
              <w:pStyle w:val="CompactSmall"/>
              <w:jc w:val="left"/>
            </w:pPr>
            <w:r>
              <w:t xml:space="preserve">27,6%</w:t>
            </w:r>
          </w:p>
        </w:tc>
        <w:tc>
          <w:tcPr/>
          <w:p>
            <w:pPr>
              <w:pStyle w:val="CompactSmall"/>
              <w:jc w:val="left"/>
            </w:pPr>
            <w:r>
              <w:t xml:space="preserve">102</w:t>
            </w:r>
          </w:p>
        </w:tc>
      </w:tr>
      <w:tr>
        <w:trPr>
          <w:cantSplit/>
        </w:trPr>
        <w:tc>
          <w:tcPr/>
          <w:p>
            <w:pPr>
              <w:pStyle w:val="CompactSmall"/>
              <w:jc w:val="left"/>
            </w:pPr>
            <w:r>
              <w:t xml:space="preserve">Hệ số ngại rủi ro δ</w:t>
            </w:r>
          </w:p>
        </w:tc>
        <w:tc>
          <w:tcPr/>
          <w:p>
            <w:pPr>
              <w:pStyle w:val="CompactSmall"/>
              <w:jc w:val="left"/>
            </w:pPr>
            <w:r>
              <w:t xml:space="preserve">1,5</w:t>
            </w:r>
          </w:p>
        </w:tc>
        <w:tc>
          <w:tcPr/>
          <w:p>
            <w:pPr>
              <w:pStyle w:val="CompactSmall"/>
              <w:jc w:val="left"/>
            </w:pPr>
            <w:r>
              <w:t xml:space="preserve">0,29</w:t>
            </w:r>
          </w:p>
        </w:tc>
        <w:tc>
          <w:tcPr/>
          <w:p>
            <w:pPr>
              <w:pStyle w:val="CompactSmall"/>
              <w:jc w:val="left"/>
            </w:pPr>
            <w:r>
              <w:t xml:space="preserve">0,11</w:t>
            </w:r>
          </w:p>
        </w:tc>
        <w:tc>
          <w:tcPr/>
          <w:p>
            <w:pPr>
              <w:pStyle w:val="CompactSmall"/>
              <w:jc w:val="left"/>
            </w:pPr>
            <w:r>
              <w:t xml:space="preserve">0,29</w:t>
            </w:r>
          </w:p>
        </w:tc>
        <w:tc>
          <w:tcPr/>
          <w:p>
            <w:pPr>
              <w:pStyle w:val="CompactSmall"/>
              <w:jc w:val="left"/>
            </w:pPr>
            <w:r>
              <w:t xml:space="preserve">0,24</w:t>
            </w:r>
          </w:p>
        </w:tc>
        <w:tc>
          <w:tcPr/>
          <w:p>
            <w:pPr>
              <w:pStyle w:val="CompactSmall"/>
              <w:jc w:val="left"/>
            </w:pPr>
            <w:r>
              <w:t xml:space="preserve">0,40</w:t>
            </w:r>
          </w:p>
        </w:tc>
        <w:tc>
          <w:tcPr/>
          <w:p>
            <w:pPr>
              <w:pStyle w:val="CompactSmall"/>
              <w:jc w:val="left"/>
            </w:pPr>
            <w:r>
              <w:t xml:space="preserve">−23,9%</w:t>
            </w:r>
          </w:p>
        </w:tc>
        <w:tc>
          <w:tcPr/>
          <w:p>
            <w:pPr>
              <w:pStyle w:val="CompactSmall"/>
              <w:jc w:val="left"/>
            </w:pPr>
            <w:r>
              <w:t xml:space="preserve">34,6%</w:t>
            </w:r>
          </w:p>
        </w:tc>
        <w:tc>
          <w:tcPr/>
          <w:p>
            <w:pPr>
              <w:pStyle w:val="CompactSmall"/>
              <w:jc w:val="left"/>
            </w:pPr>
            <w:r>
              <w:t xml:space="preserve">102</w:t>
            </w:r>
          </w:p>
        </w:tc>
      </w:tr>
      <w:tr>
        <w:trPr>
          <w:cantSplit/>
        </w:trPr>
        <w:tc>
          <w:tcPr/>
          <w:p>
            <w:pPr>
              <w:pStyle w:val="CompactSmall"/>
              <w:jc w:val="left"/>
            </w:pPr>
            <w:r>
              <w:t xml:space="preserve">Hệ số ngại rủi ro δ</w:t>
            </w:r>
          </w:p>
        </w:tc>
        <w:tc>
          <w:tcPr/>
          <w:p>
            <w:pPr>
              <w:pStyle w:val="CompactSmall"/>
              <w:jc w:val="left"/>
            </w:pPr>
            <w:r>
              <w:t xml:space="preserve">4</w:t>
            </w:r>
          </w:p>
        </w:tc>
        <w:tc>
          <w:tcPr/>
          <w:p>
            <w:pPr>
              <w:pStyle w:val="CompactSmall"/>
              <w:jc w:val="left"/>
            </w:pPr>
            <w:r>
              <w:t xml:space="preserve">0,29</w:t>
            </w:r>
          </w:p>
        </w:tc>
        <w:tc>
          <w:tcPr/>
          <w:p>
            <w:pPr>
              <w:pStyle w:val="CompactSmall"/>
              <w:jc w:val="left"/>
            </w:pPr>
            <w:r>
              <w:t xml:space="preserve">0,27</w:t>
            </w:r>
          </w:p>
        </w:tc>
        <w:tc>
          <w:tcPr/>
          <w:p>
            <w:pPr>
              <w:pStyle w:val="CompactSmall"/>
              <w:jc w:val="left"/>
            </w:pPr>
            <w:r>
              <w:t xml:space="preserve">0,29</w:t>
            </w:r>
          </w:p>
        </w:tc>
        <w:tc>
          <w:tcPr/>
          <w:p>
            <w:pPr>
              <w:pStyle w:val="CompactSmall"/>
              <w:jc w:val="left"/>
            </w:pPr>
            <w:r>
              <w:t xml:space="preserve">0,24</w:t>
            </w:r>
          </w:p>
        </w:tc>
        <w:tc>
          <w:tcPr/>
          <w:p>
            <w:pPr>
              <w:pStyle w:val="CompactSmall"/>
              <w:jc w:val="left"/>
            </w:pPr>
            <w:r>
              <w:t xml:space="preserve">0,35</w:t>
            </w:r>
          </w:p>
        </w:tc>
        <w:tc>
          <w:tcPr/>
          <w:p>
            <w:pPr>
              <w:pStyle w:val="CompactSmall"/>
              <w:jc w:val="left"/>
            </w:pPr>
            <w:r>
              <w:t xml:space="preserve">−20,8%</w:t>
            </w:r>
          </w:p>
        </w:tc>
        <w:tc>
          <w:tcPr/>
          <w:p>
            <w:pPr>
              <w:pStyle w:val="CompactSmall"/>
              <w:jc w:val="left"/>
            </w:pPr>
            <w:r>
              <w:t xml:space="preserve">23,2%</w:t>
            </w:r>
          </w:p>
        </w:tc>
        <w:tc>
          <w:tcPr/>
          <w:p>
            <w:pPr>
              <w:pStyle w:val="CompactSmall"/>
              <w:jc w:val="left"/>
            </w:pPr>
            <w:r>
              <w:t xml:space="preserve">102</w:t>
            </w:r>
          </w:p>
        </w:tc>
      </w:tr>
      <w:tr>
        <w:trPr>
          <w:cantSplit/>
        </w:trPr>
        <w:tc>
          <w:tcPr/>
          <w:p>
            <w:pPr>
              <w:pStyle w:val="CompactSmall"/>
              <w:jc w:val="left"/>
            </w:pPr>
            <w:r>
              <w:t xml:space="preserve">Chu kỳ bán rã EWMA</w:t>
            </w:r>
          </w:p>
        </w:tc>
        <w:tc>
          <w:tcPr/>
          <w:p>
            <w:pPr>
              <w:pStyle w:val="CompactSmall"/>
              <w:jc w:val="left"/>
            </w:pPr>
            <w:r>
              <w:t xml:space="preserve">12</w:t>
            </w:r>
          </w:p>
        </w:tc>
        <w:tc>
          <w:tcPr/>
          <w:p>
            <w:pPr>
              <w:pStyle w:val="CompactSmall"/>
              <w:jc w:val="left"/>
            </w:pPr>
            <w:r>
              <w:t xml:space="preserve">0,29</w:t>
            </w:r>
          </w:p>
        </w:tc>
        <w:tc>
          <w:tcPr/>
          <w:p>
            <w:pPr>
              <w:pStyle w:val="CompactSmall"/>
              <w:jc w:val="left"/>
            </w:pPr>
            <w:r>
              <w:t xml:space="preserve">0,24</w:t>
            </w:r>
          </w:p>
        </w:tc>
        <w:tc>
          <w:tcPr/>
          <w:p>
            <w:pPr>
              <w:pStyle w:val="CompactSmall"/>
              <w:jc w:val="left"/>
            </w:pPr>
            <w:r>
              <w:t xml:space="preserve">0,28</w:t>
            </w:r>
          </w:p>
        </w:tc>
        <w:tc>
          <w:tcPr/>
          <w:p>
            <w:pPr>
              <w:pStyle w:val="CompactSmall"/>
              <w:jc w:val="left"/>
            </w:pPr>
            <w:r>
              <w:t xml:space="preserve">0,24</w:t>
            </w:r>
          </w:p>
        </w:tc>
        <w:tc>
          <w:tcPr/>
          <w:p>
            <w:pPr>
              <w:pStyle w:val="CompactSmall"/>
              <w:jc w:val="left"/>
            </w:pPr>
            <w:r>
              <w:t xml:space="preserve">0,38</w:t>
            </w:r>
          </w:p>
        </w:tc>
        <w:tc>
          <w:tcPr/>
          <w:p>
            <w:pPr>
              <w:pStyle w:val="CompactSmall"/>
              <w:jc w:val="left"/>
            </w:pPr>
            <w:r>
              <w:t xml:space="preserve">−21,4%</w:t>
            </w:r>
          </w:p>
        </w:tc>
        <w:tc>
          <w:tcPr/>
          <w:p>
            <w:pPr>
              <w:pStyle w:val="CompactSmall"/>
              <w:jc w:val="left"/>
            </w:pPr>
            <w:r>
              <w:t xml:space="preserve">28,2%</w:t>
            </w:r>
          </w:p>
        </w:tc>
        <w:tc>
          <w:tcPr/>
          <w:p>
            <w:pPr>
              <w:pStyle w:val="CompactSmall"/>
              <w:jc w:val="left"/>
            </w:pPr>
            <w:r>
              <w:t xml:space="preserve">102</w:t>
            </w:r>
          </w:p>
        </w:tc>
      </w:tr>
      <w:tr>
        <w:trPr>
          <w:cantSplit/>
        </w:trPr>
        <w:tc>
          <w:tcPr/>
          <w:p>
            <w:pPr>
              <w:pStyle w:val="CompactSmall"/>
              <w:jc w:val="left"/>
            </w:pPr>
            <w:r>
              <w:t xml:space="preserve">Chu kỳ bán rã EWMA</w:t>
            </w:r>
          </w:p>
        </w:tc>
        <w:tc>
          <w:tcPr/>
          <w:p>
            <w:pPr>
              <w:pStyle w:val="CompactSmall"/>
              <w:jc w:val="left"/>
            </w:pPr>
            <w:r>
              <w:t xml:space="preserve">24</w:t>
            </w:r>
          </w:p>
        </w:tc>
        <w:tc>
          <w:tcPr/>
          <w:p>
            <w:pPr>
              <w:pStyle w:val="CompactSmall"/>
              <w:jc w:val="left"/>
            </w:pPr>
            <w:r>
              <w:t xml:space="preserve">0,29</w:t>
            </w:r>
          </w:p>
        </w:tc>
        <w:tc>
          <w:tcPr/>
          <w:p>
            <w:pPr>
              <w:pStyle w:val="CompactSmall"/>
              <w:jc w:val="left"/>
            </w:pPr>
            <w:r>
              <w:t xml:space="preserve">0,19</w:t>
            </w:r>
          </w:p>
        </w:tc>
        <w:tc>
          <w:tcPr/>
          <w:p>
            <w:pPr>
              <w:pStyle w:val="CompactSmall"/>
              <w:jc w:val="left"/>
            </w:pPr>
            <w:r>
              <w:t xml:space="preserve">0,30</w:t>
            </w:r>
          </w:p>
        </w:tc>
        <w:tc>
          <w:tcPr/>
          <w:p>
            <w:pPr>
              <w:pStyle w:val="CompactSmall"/>
              <w:jc w:val="left"/>
            </w:pPr>
            <w:r>
              <w:t xml:space="preserve">0,24</w:t>
            </w:r>
          </w:p>
        </w:tc>
        <w:tc>
          <w:tcPr/>
          <w:p>
            <w:pPr>
              <w:pStyle w:val="CompactSmall"/>
              <w:jc w:val="left"/>
            </w:pPr>
            <w:r>
              <w:t xml:space="preserve">0,37</w:t>
            </w:r>
          </w:p>
        </w:tc>
        <w:tc>
          <w:tcPr/>
          <w:p>
            <w:pPr>
              <w:pStyle w:val="CompactSmall"/>
              <w:jc w:val="left"/>
            </w:pPr>
            <w:r>
              <w:t xml:space="preserve">−22,0%</w:t>
            </w:r>
          </w:p>
        </w:tc>
        <w:tc>
          <w:tcPr/>
          <w:p>
            <w:pPr>
              <w:pStyle w:val="CompactSmall"/>
              <w:jc w:val="left"/>
            </w:pPr>
            <w:r>
              <w:t xml:space="preserve">28,2%</w:t>
            </w:r>
          </w:p>
        </w:tc>
        <w:tc>
          <w:tcPr/>
          <w:p>
            <w:pPr>
              <w:pStyle w:val="CompactSmall"/>
              <w:jc w:val="left"/>
            </w:pPr>
            <w:r>
              <w:t xml:space="preserve">102</w:t>
            </w:r>
          </w:p>
        </w:tc>
      </w:tr>
      <w:tr>
        <w:trPr>
          <w:cantSplit/>
        </w:trPr>
        <w:tc>
          <w:tcPr/>
          <w:p>
            <w:pPr>
              <w:pStyle w:val="CompactSmall"/>
              <w:jc w:val="left"/>
            </w:pPr>
            <w:r>
              <w:t xml:space="preserve">Cửa sổ cuốn (tháng)</w:t>
            </w:r>
          </w:p>
        </w:tc>
        <w:tc>
          <w:tcPr/>
          <w:p>
            <w:pPr>
              <w:pStyle w:val="CompactSmall"/>
              <w:jc w:val="left"/>
            </w:pPr>
            <w:r>
              <w:t xml:space="preserve">24</w:t>
            </w:r>
          </w:p>
        </w:tc>
        <w:tc>
          <w:tcPr/>
          <w:p>
            <w:pPr>
              <w:pStyle w:val="CompactSmall"/>
              <w:jc w:val="left"/>
            </w:pPr>
            <w:r>
              <w:t xml:space="preserve">0,29</w:t>
            </w:r>
          </w:p>
        </w:tc>
        <w:tc>
          <w:tcPr/>
          <w:p>
            <w:pPr>
              <w:pStyle w:val="CompactSmall"/>
              <w:jc w:val="left"/>
            </w:pPr>
            <w:r>
              <w:t xml:space="preserve">0,28</w:t>
            </w:r>
          </w:p>
        </w:tc>
        <w:tc>
          <w:tcPr/>
          <w:p>
            <w:pPr>
              <w:pStyle w:val="CompactSmall"/>
              <w:jc w:val="left"/>
            </w:pPr>
            <w:r>
              <w:t xml:space="preserve">0,26</w:t>
            </w:r>
          </w:p>
        </w:tc>
        <w:tc>
          <w:tcPr/>
          <w:p>
            <w:pPr>
              <w:pStyle w:val="CompactSmall"/>
              <w:jc w:val="left"/>
            </w:pPr>
            <w:r>
              <w:t xml:space="preserve">0,25</w:t>
            </w:r>
          </w:p>
        </w:tc>
        <w:tc>
          <w:tcPr/>
          <w:p>
            <w:pPr>
              <w:pStyle w:val="CompactSmall"/>
              <w:jc w:val="left"/>
            </w:pPr>
            <w:r>
              <w:t xml:space="preserve">0,41</w:t>
            </w:r>
          </w:p>
        </w:tc>
        <w:tc>
          <w:tcPr/>
          <w:p>
            <w:pPr>
              <w:pStyle w:val="CompactSmall"/>
              <w:jc w:val="left"/>
            </w:pPr>
            <w:r>
              <w:t xml:space="preserve">−20,8%</w:t>
            </w:r>
          </w:p>
        </w:tc>
        <w:tc>
          <w:tcPr/>
          <w:p>
            <w:pPr>
              <w:pStyle w:val="CompactSmall"/>
              <w:jc w:val="left"/>
            </w:pPr>
            <w:r>
              <w:t xml:space="preserve">30,9%</w:t>
            </w:r>
          </w:p>
        </w:tc>
        <w:tc>
          <w:tcPr/>
          <w:p>
            <w:pPr>
              <w:pStyle w:val="CompactSmall"/>
              <w:jc w:val="left"/>
            </w:pPr>
            <w:r>
              <w:t xml:space="preserve">102</w:t>
            </w:r>
          </w:p>
        </w:tc>
      </w:tr>
      <w:tr>
        <w:trPr>
          <w:cantSplit/>
        </w:trPr>
        <w:tc>
          <w:tcPr/>
          <w:p>
            <w:pPr>
              <w:pStyle w:val="CompactSmall"/>
              <w:jc w:val="left"/>
            </w:pPr>
            <w:r>
              <w:t xml:space="preserve">Cửa sổ cuốn (tháng)</w:t>
            </w:r>
          </w:p>
        </w:tc>
        <w:tc>
          <w:tcPr/>
          <w:p>
            <w:pPr>
              <w:pStyle w:val="CompactSmall"/>
              <w:jc w:val="left"/>
            </w:pPr>
            <w:r>
              <w:t xml:space="preserve">36</w:t>
            </w:r>
          </w:p>
        </w:tc>
        <w:tc>
          <w:tcPr/>
          <w:p>
            <w:pPr>
              <w:pStyle w:val="CompactSmall"/>
              <w:jc w:val="left"/>
            </w:pPr>
            <w:r>
              <w:t xml:space="preserve">0,29</w:t>
            </w:r>
          </w:p>
        </w:tc>
        <w:tc>
          <w:tcPr/>
          <w:p>
            <w:pPr>
              <w:pStyle w:val="CompactSmall"/>
              <w:jc w:val="left"/>
            </w:pPr>
            <w:r>
              <w:t xml:space="preserve">0,20</w:t>
            </w:r>
          </w:p>
        </w:tc>
        <w:tc>
          <w:tcPr/>
          <w:p>
            <w:pPr>
              <w:pStyle w:val="CompactSmall"/>
              <w:jc w:val="left"/>
            </w:pPr>
            <w:r>
              <w:t xml:space="preserve">0,31</w:t>
            </w:r>
          </w:p>
        </w:tc>
        <w:tc>
          <w:tcPr/>
          <w:p>
            <w:pPr>
              <w:pStyle w:val="CompactSmall"/>
              <w:jc w:val="left"/>
            </w:pPr>
            <w:r>
              <w:t xml:space="preserve">0,24</w:t>
            </w:r>
          </w:p>
        </w:tc>
        <w:tc>
          <w:tcPr/>
          <w:p>
            <w:pPr>
              <w:pStyle w:val="CompactSmall"/>
              <w:jc w:val="left"/>
            </w:pPr>
            <w:r>
              <w:t xml:space="preserve">0,39</w:t>
            </w:r>
          </w:p>
        </w:tc>
        <w:tc>
          <w:tcPr/>
          <w:p>
            <w:pPr>
              <w:pStyle w:val="CompactSmall"/>
              <w:jc w:val="left"/>
            </w:pPr>
            <w:r>
              <w:t xml:space="preserve">−21,5%</w:t>
            </w:r>
          </w:p>
        </w:tc>
        <w:tc>
          <w:tcPr/>
          <w:p>
            <w:pPr>
              <w:pStyle w:val="CompactSmall"/>
              <w:jc w:val="left"/>
            </w:pPr>
            <w:r>
              <w:t xml:space="preserve">30,1%</w:t>
            </w:r>
          </w:p>
        </w:tc>
        <w:tc>
          <w:tcPr/>
          <w:p>
            <w:pPr>
              <w:pStyle w:val="CompactSmall"/>
              <w:jc w:val="left"/>
            </w:pPr>
            <w:r>
              <w:t xml:space="preserve">102</w:t>
            </w:r>
          </w:p>
        </w:tc>
      </w:tr>
      <w:tr>
        <w:trPr>
          <w:cantSplit/>
        </w:trPr>
        <w:tc>
          <w:tcPr/>
          <w:p>
            <w:pPr>
              <w:pStyle w:val="CompactSmall"/>
              <w:jc w:val="left"/>
            </w:pPr>
            <w:r>
              <w:t xml:space="preserve">Lãi phi rủi ro cộng thêm</w:t>
            </w:r>
          </w:p>
        </w:tc>
        <w:tc>
          <w:tcPr/>
          <w:p>
            <w:pPr>
              <w:pStyle w:val="CompactSmall"/>
              <w:jc w:val="left"/>
            </w:pPr>
            <w:r>
              <w:t xml:space="preserve">+0,5 điểm %</w:t>
            </w:r>
          </w:p>
        </w:tc>
        <w:tc>
          <w:tcPr/>
          <w:p>
            <w:pPr>
              <w:pStyle w:val="CompactSmall"/>
              <w:jc w:val="left"/>
            </w:pPr>
            <w:r>
              <w:t xml:space="preserve">0,25</w:t>
            </w:r>
          </w:p>
        </w:tc>
        <w:tc>
          <w:tcPr/>
          <w:p>
            <w:pPr>
              <w:pStyle w:val="CompactSmall"/>
              <w:jc w:val="left"/>
            </w:pPr>
            <w:r>
              <w:t xml:space="preserve">0,16</w:t>
            </w:r>
          </w:p>
        </w:tc>
        <w:tc>
          <w:tcPr/>
          <w:p>
            <w:pPr>
              <w:pStyle w:val="CompactSmall"/>
              <w:jc w:val="left"/>
            </w:pPr>
            <w:r>
              <w:t xml:space="preserve">0,24</w:t>
            </w:r>
          </w:p>
        </w:tc>
        <w:tc>
          <w:tcPr/>
          <w:p>
            <w:pPr>
              <w:pStyle w:val="CompactSmall"/>
              <w:jc w:val="left"/>
            </w:pPr>
            <w:r>
              <w:t xml:space="preserve">0,19</w:t>
            </w:r>
          </w:p>
        </w:tc>
        <w:tc>
          <w:tcPr/>
          <w:p>
            <w:pPr>
              <w:pStyle w:val="CompactSmall"/>
              <w:jc w:val="left"/>
            </w:pPr>
            <w:r>
              <w:t xml:space="preserve">0,29</w:t>
            </w:r>
          </w:p>
        </w:tc>
        <w:tc>
          <w:tcPr/>
          <w:p>
            <w:pPr>
              <w:pStyle w:val="CompactSmall"/>
              <w:jc w:val="left"/>
            </w:pPr>
            <w:r>
              <w:t xml:space="preserve">−21,9%</w:t>
            </w:r>
          </w:p>
        </w:tc>
        <w:tc>
          <w:tcPr/>
          <w:p>
            <w:pPr>
              <w:pStyle w:val="CompactSmall"/>
              <w:jc w:val="left"/>
            </w:pPr>
            <w:r>
              <w:t xml:space="preserve">23,5%</w:t>
            </w:r>
          </w:p>
        </w:tc>
        <w:tc>
          <w:tcPr/>
          <w:p>
            <w:pPr>
              <w:pStyle w:val="CompactSmall"/>
              <w:jc w:val="left"/>
            </w:pPr>
            <w:r>
              <w:t xml:space="preserve">102</w:t>
            </w:r>
          </w:p>
        </w:tc>
      </w:tr>
      <w:tr>
        <w:trPr>
          <w:cantSplit/>
        </w:trPr>
        <w:tc>
          <w:tcPr/>
          <w:p>
            <w:pPr>
              <w:pStyle w:val="CompactSmall"/>
              <w:jc w:val="left"/>
            </w:pPr>
            <w:r>
              <w:t xml:space="preserve">Lãi phi rủi ro cộng thêm</w:t>
            </w:r>
          </w:p>
        </w:tc>
        <w:tc>
          <w:tcPr/>
          <w:p>
            <w:pPr>
              <w:pStyle w:val="CompactSmall"/>
              <w:jc w:val="left"/>
            </w:pPr>
            <w:r>
              <w:t xml:space="preserve">+1 điểm %</w:t>
            </w:r>
          </w:p>
        </w:tc>
        <w:tc>
          <w:tcPr/>
          <w:p>
            <w:pPr>
              <w:pStyle w:val="CompactSmall"/>
              <w:jc w:val="left"/>
            </w:pPr>
            <w:r>
              <w:t xml:space="preserve">0,21</w:t>
            </w:r>
          </w:p>
        </w:tc>
        <w:tc>
          <w:tcPr/>
          <w:p>
            <w:pPr>
              <w:pStyle w:val="CompactSmall"/>
              <w:jc w:val="left"/>
            </w:pPr>
            <w:r>
              <w:t xml:space="preserve">0,11</w:t>
            </w:r>
          </w:p>
        </w:tc>
        <w:tc>
          <w:tcPr/>
          <w:p>
            <w:pPr>
              <w:pStyle w:val="CompactSmall"/>
              <w:jc w:val="left"/>
            </w:pPr>
            <w:r>
              <w:t xml:space="preserve">0,19</w:t>
            </w:r>
          </w:p>
        </w:tc>
        <w:tc>
          <w:tcPr/>
          <w:p>
            <w:pPr>
              <w:pStyle w:val="CompactSmall"/>
              <w:jc w:val="left"/>
            </w:pPr>
            <w:r>
              <w:t xml:space="preserve">0,13</w:t>
            </w:r>
          </w:p>
        </w:tc>
        <w:tc>
          <w:tcPr/>
          <w:p>
            <w:pPr>
              <w:pStyle w:val="CompactSmall"/>
              <w:jc w:val="left"/>
            </w:pPr>
            <w:r>
              <w:t xml:space="preserve">0,26</w:t>
            </w:r>
          </w:p>
        </w:tc>
        <w:tc>
          <w:tcPr/>
          <w:p>
            <w:pPr>
              <w:pStyle w:val="CompactSmall"/>
              <w:jc w:val="left"/>
            </w:pPr>
            <w:r>
              <w:t xml:space="preserve">−21,8%</w:t>
            </w:r>
          </w:p>
        </w:tc>
        <w:tc>
          <w:tcPr/>
          <w:p>
            <w:pPr>
              <w:pStyle w:val="CompactSmall"/>
              <w:jc w:val="left"/>
            </w:pPr>
            <w:r>
              <w:t xml:space="preserve">23,4%</w:t>
            </w:r>
          </w:p>
        </w:tc>
        <w:tc>
          <w:tcPr/>
          <w:p>
            <w:pPr>
              <w:pStyle w:val="CompactSmall"/>
              <w:jc w:val="left"/>
            </w:pPr>
            <w:r>
              <w:t xml:space="preserve">102</w:t>
            </w:r>
          </w:p>
        </w:tc>
      </w:tr>
      <w:tr>
        <w:trPr>
          <w:cantSplit/>
        </w:trPr>
        <w:tc>
          <w:tcPr/>
          <w:p>
            <w:pPr>
              <w:pStyle w:val="CompactSmall"/>
              <w:jc w:val="left"/>
            </w:pPr>
            <w:r>
              <w:t xml:space="preserve">Chi phí giao dịch</w:t>
            </w:r>
          </w:p>
        </w:tc>
        <w:tc>
          <w:tcPr/>
          <w:p>
            <w:pPr>
              <w:pStyle w:val="CompactSmall"/>
              <w:jc w:val="left"/>
            </w:pPr>
            <w:r>
              <w:t xml:space="preserve">đồng nhất 0,15%</w:t>
            </w:r>
          </w:p>
        </w:tc>
        <w:tc>
          <w:tcPr/>
          <w:p>
            <w:pPr>
              <w:pStyle w:val="CompactSmall"/>
              <w:jc w:val="left"/>
            </w:pPr>
            <w:r>
              <w:t xml:space="preserve">0,29</w:t>
            </w:r>
          </w:p>
        </w:tc>
        <w:tc>
          <w:tcPr/>
          <w:p>
            <w:pPr>
              <w:pStyle w:val="CompactSmall"/>
              <w:jc w:val="left"/>
            </w:pPr>
            <w:r>
              <w:t xml:space="preserve">0,27</w:t>
            </w:r>
          </w:p>
        </w:tc>
        <w:tc>
          <w:tcPr/>
          <w:p>
            <w:pPr>
              <w:pStyle w:val="CompactSmall"/>
              <w:jc w:val="left"/>
            </w:pPr>
            <w:r>
              <w:t xml:space="preserve">0,30</w:t>
            </w:r>
          </w:p>
        </w:tc>
        <w:tc>
          <w:tcPr/>
          <w:p>
            <w:pPr>
              <w:pStyle w:val="CompactSmall"/>
              <w:jc w:val="left"/>
            </w:pPr>
            <w:r>
              <w:t xml:space="preserve">0,24</w:t>
            </w:r>
          </w:p>
        </w:tc>
        <w:tc>
          <w:tcPr/>
          <w:p>
            <w:pPr>
              <w:pStyle w:val="CompactSmall"/>
              <w:jc w:val="left"/>
            </w:pPr>
            <w:r>
              <w:t xml:space="preserve">0,42</w:t>
            </w:r>
          </w:p>
        </w:tc>
        <w:tc>
          <w:tcPr/>
          <w:p>
            <w:pPr>
              <w:pStyle w:val="CompactSmall"/>
              <w:jc w:val="left"/>
            </w:pPr>
            <w:r>
              <w:t xml:space="preserve">−19,4%</w:t>
            </w:r>
          </w:p>
        </w:tc>
        <w:tc>
          <w:tcPr/>
          <w:p>
            <w:pPr>
              <w:pStyle w:val="CompactSmall"/>
              <w:jc w:val="left"/>
            </w:pPr>
            <w:r>
              <w:t xml:space="preserve">29,2%</w:t>
            </w:r>
          </w:p>
        </w:tc>
        <w:tc>
          <w:tcPr/>
          <w:p>
            <w:pPr>
              <w:pStyle w:val="CompactSmall"/>
              <w:jc w:val="left"/>
            </w:pPr>
            <w:r>
              <w:t xml:space="preserve">102</w:t>
            </w:r>
          </w:p>
        </w:tc>
      </w:tr>
      <w:tr>
        <w:trPr>
          <w:cantSplit/>
        </w:trPr>
        <w:tc>
          <w:tcPr/>
          <w:p>
            <w:pPr>
              <w:pStyle w:val="CompactSmall"/>
              <w:jc w:val="left"/>
            </w:pPr>
            <w:r>
              <w:t xml:space="preserve">Dựng lại giá vàng</w:t>
            </w:r>
          </w:p>
        </w:tc>
        <w:tc>
          <w:tcPr/>
          <w:p>
            <w:pPr>
              <w:pStyle w:val="CompactSmall"/>
              <w:jc w:val="left"/>
            </w:pPr>
            <w:r>
              <w:t xml:space="preserve">tắt (chỉ 2022–2026)</w:t>
            </w:r>
          </w:p>
        </w:tc>
        <w:tc>
          <w:tcPr/>
          <w:p>
            <w:pPr>
              <w:pStyle w:val="CompactSmall"/>
              <w:jc w:val="left"/>
            </w:pPr>
            <w:r>
              <w:t xml:space="preserve">0,06</w:t>
            </w:r>
          </w:p>
        </w:tc>
        <w:tc>
          <w:tcPr/>
          <w:p>
            <w:pPr>
              <w:pStyle w:val="CompactSmall"/>
              <w:jc w:val="left"/>
            </w:pPr>
            <w:r>
              <w:t xml:space="preserve">0,21</w:t>
            </w:r>
          </w:p>
        </w:tc>
        <w:tc>
          <w:tcPr/>
          <w:p>
            <w:pPr>
              <w:pStyle w:val="CompactSmall"/>
              <w:jc w:val="left"/>
            </w:pPr>
            <w:r>
              <w:t xml:space="preserve">0,16</w:t>
            </w:r>
          </w:p>
        </w:tc>
        <w:tc>
          <w:tcPr/>
          <w:p>
            <w:pPr>
              <w:pStyle w:val="CompactSmall"/>
              <w:jc w:val="left"/>
            </w:pPr>
            <w:r>
              <w:t xml:space="preserve">0,13</w:t>
            </w:r>
          </w:p>
        </w:tc>
        <w:tc>
          <w:tcPr/>
          <w:p>
            <w:pPr>
              <w:pStyle w:val="CompactSmall"/>
              <w:jc w:val="left"/>
            </w:pPr>
            <w:r>
              <w:t xml:space="preserve">−0,20</w:t>
            </w:r>
          </w:p>
        </w:tc>
        <w:tc>
          <w:tcPr/>
          <w:p>
            <w:pPr>
              <w:pStyle w:val="CompactSmall"/>
              <w:jc w:val="left"/>
            </w:pPr>
            <w:r>
              <w:t xml:space="preserve">−18,4%</w:t>
            </w:r>
          </w:p>
        </w:tc>
        <w:tc>
          <w:tcPr/>
          <w:p>
            <w:pPr>
              <w:pStyle w:val="CompactSmall"/>
              <w:jc w:val="left"/>
            </w:pPr>
            <w:r>
              <w:t xml:space="preserve">0,0%</w:t>
            </w:r>
          </w:p>
        </w:tc>
        <w:tc>
          <w:tcPr/>
          <w:p>
            <w:pPr>
              <w:pStyle w:val="CompactSmall"/>
              <w:jc w:val="left"/>
            </w:pPr>
            <w:r>
              <w:t xml:space="preserve">47</w:t>
            </w:r>
          </w:p>
        </w:tc>
      </w:tr>
      <w:tr>
        <w:trPr>
          <w:cantSplit/>
        </w:trPr>
        <w:tc>
          <w:tcPr/>
          <w:p>
            <w:pPr>
              <w:pStyle w:val="CompactSmall"/>
              <w:jc w:val="left"/>
            </w:pPr>
            <w:r>
              <w:t xml:space="preserve">Tập tài sản</w:t>
            </w:r>
          </w:p>
        </w:tc>
        <w:tc>
          <w:tcPr/>
          <w:p>
            <w:pPr>
              <w:pStyle w:val="CompactSmall"/>
              <w:jc w:val="left"/>
            </w:pPr>
            <w:r>
              <w:t xml:space="preserve">6 lớp (VN-Index + ETF)</w:t>
            </w:r>
          </w:p>
        </w:tc>
        <w:tc>
          <w:tcPr/>
          <w:p>
            <w:pPr>
              <w:pStyle w:val="CompactSmall"/>
              <w:jc w:val="left"/>
            </w:pPr>
            <w:r>
              <w:t xml:space="preserve">0,23</w:t>
            </w:r>
          </w:p>
        </w:tc>
        <w:tc>
          <w:tcPr/>
          <w:p>
            <w:pPr>
              <w:pStyle w:val="CompactSmall"/>
              <w:jc w:val="left"/>
            </w:pPr>
            <w:r>
              <w:t xml:space="preserve">0,15</w:t>
            </w:r>
          </w:p>
        </w:tc>
        <w:tc>
          <w:tcPr/>
          <w:p>
            <w:pPr>
              <w:pStyle w:val="CompactSmall"/>
              <w:jc w:val="left"/>
            </w:pPr>
            <w:r>
              <w:t xml:space="preserve">0,29</w:t>
            </w:r>
          </w:p>
        </w:tc>
        <w:tc>
          <w:tcPr/>
          <w:p>
            <w:pPr>
              <w:pStyle w:val="CompactSmall"/>
              <w:jc w:val="left"/>
            </w:pPr>
            <w:r>
              <w:t xml:space="preserve">0,20</w:t>
            </w:r>
          </w:p>
        </w:tc>
        <w:tc>
          <w:tcPr/>
          <w:p>
            <w:pPr>
              <w:pStyle w:val="CompactSmall"/>
              <w:jc w:val="left"/>
            </w:pPr>
            <w:r>
              <w:t xml:space="preserve">0,32</w:t>
            </w:r>
          </w:p>
        </w:tc>
        <w:tc>
          <w:tcPr/>
          <w:p>
            <w:pPr>
              <w:pStyle w:val="CompactSmall"/>
              <w:jc w:val="left"/>
            </w:pPr>
            <w:r>
              <w:t xml:space="preserve">−24,7%</w:t>
            </w:r>
          </w:p>
        </w:tc>
        <w:tc>
          <w:tcPr/>
          <w:p>
            <w:pPr>
              <w:pStyle w:val="CompactSmall"/>
              <w:jc w:val="left"/>
            </w:pPr>
            <w:r>
              <w:t xml:space="preserve">25,7%</w:t>
            </w:r>
          </w:p>
        </w:tc>
        <w:tc>
          <w:tcPr/>
          <w:p>
            <w:pPr>
              <w:pStyle w:val="CompactSmall"/>
              <w:jc w:val="left"/>
            </w:pPr>
            <w:r>
              <w:t xml:space="preserve">102</w:t>
            </w:r>
          </w:p>
        </w:tc>
      </w:tr>
    </w:tbl>
    <w:p>
      <w:pPr>
        <w:pStyle w:val="BodyText"/>
        <w:spacing w:before="200"/>
      </w:pPr>
      <w:r>
        <w:t xml:space="preserve">Black–Litterman có Sharpe cao nhất ở cả 11 biến thể đủ 102 tháng (0,26–0,42). Markowitz là phương pháp nhạy nhất: Sharpe dao động 0,11–0,28 theo δ, cửa sổ ước lượng và chi phí, nên thứ hạng của nó so với HRP và Risk Parity đổi chỗ tùy biến thể. Tăng lãi phi rủi ro làm mọi Sharpe giảm gần như đều nhau. Ngoại lệ là khi tắt dựng lại giá vàng: mẫu rút còn 47 tháng, BL không nắm vàng và Sharpe giảm xuống −0,20, cho thấy ưu thế của BL phụ thuộc phần lớn vào vàng.</w:t>
      </w:r>
    </w:p>
    <w:p>
      <w:pPr>
        <w:pStyle w:val="BodyText"/>
      </w:pPr>
      <w:r>
        <w:rPr>
          <w:iCs/>
          <w:i/>
        </w:rPr>
        <w:t xml:space="preserve">Ghi chú: hai biến thể</w:t>
      </w:r>
      <w:r>
        <w:rPr>
          <w:iCs/>
          <w:i/>
        </w:rPr>
        <w:t xml:space="preserve"> </w:t>
      </w:r>
      <w:r>
        <w:rPr>
          <w:iCs/>
          <w:i/>
        </w:rPr>
        <w:t xml:space="preserve">“</w:t>
      </w:r>
      <w:r>
        <w:rPr>
          <w:iCs/>
          <w:i/>
        </w:rPr>
        <w:t xml:space="preserve">tắt chênh lệch kỳ hạn phần tiền mặt</w:t>
      </w:r>
      <w:r>
        <w:rPr>
          <w:iCs/>
          <w:i/>
        </w:rPr>
        <w:t xml:space="preserve">”</w:t>
      </w:r>
      <w:r>
        <w:rPr>
          <w:iCs/>
          <w:i/>
        </w:rPr>
        <w:t xml:space="preserve"> </w:t>
      </w:r>
      <w:r>
        <w:rPr>
          <w:iCs/>
          <w:i/>
        </w:rPr>
        <w:t xml:space="preserve">và</w:t>
      </w:r>
      <w:r>
        <w:rPr>
          <w:iCs/>
          <w:i/>
        </w:rPr>
        <w:t xml:space="preserve"> </w:t>
      </w:r>
      <w:r>
        <w:rPr>
          <w:iCs/>
          <w:i/>
        </w:rPr>
        <w:t xml:space="preserve">“</w:t>
      </w:r>
      <w:r>
        <w:rPr>
          <w:iCs/>
          <w:i/>
        </w:rPr>
        <w:t xml:space="preserve">cho phép quan điểm trái phiếu</w:t>
      </w:r>
      <w:r>
        <w:rPr>
          <w:iCs/>
          <w:i/>
        </w:rPr>
        <w:t xml:space="preserve">”</w:t>
      </w:r>
      <w:r>
        <w:rPr>
          <w:iCs/>
          <w:i/>
        </w:rPr>
        <w:t xml:space="preserve"> </w:t>
      </w:r>
      <w:r>
        <w:rPr>
          <w:iCs/>
          <w:i/>
        </w:rPr>
        <w:t xml:space="preserve">cho kết quả trùng cấu hình gốc nên không liệt kê: chuỗi lãi suất thực kỳ hạn 1 và 3 tháng có đủ mọi tháng nên chênh lệch giả định không được dùng, và R²</w:t>
      </w:r>
      <w:r>
        <w:rPr>
          <w:vertAlign w:val="subscript"/>
          <w:iCs/>
          <w:i/>
        </w:rPr>
        <w:t xml:space="preserve">OS</w:t>
      </w:r>
      <w:r>
        <w:rPr>
          <w:iCs/>
          <w:i/>
        </w:rPr>
        <w:t xml:space="preserve"> </w:t>
      </w:r>
      <w:r>
        <w:rPr>
          <w:iCs/>
          <w:i/>
        </w:rPr>
        <w:t xml:space="preserve">tích lũy của dự báo trái phiếu luôn âm tại các thời điểm quyết định nên không có quan điểm trái phiếu nào được đưa vào (mục 4.6.1).</w:t>
      </w:r>
    </w:p>
    <w:bookmarkEnd w:id="177"/>
    <w:bookmarkStart w:id="178" w:name="phụ-lục-f.-hướng-dẫn-tái-lập-kết-quả"/>
    <w:p>
      <w:pPr>
        <w:pStyle w:val="Heading2"/>
      </w:pPr>
      <w:r>
        <w:t xml:space="preserve">Phụ lục F. Hướng dẫn tái lập kết quả</w:t>
      </w:r>
    </w:p>
    <w:p>
      <w:pPr>
        <w:pStyle w:val="FirstParagraph"/>
      </w:pPr>
      <w:r>
        <w:t xml:space="preserve">Mã nguồn gồm hai phần:</w:t>
      </w:r>
      <w:r>
        <w:t xml:space="preserve"> </w:t>
      </w:r>
      <w:r>
        <w:rPr>
          <w:rStyle w:val="VerbatimChar"/>
        </w:rPr>
        <w:t xml:space="preserve">pipeline/</w:t>
      </w:r>
      <w:r>
        <w:t xml:space="preserve"> </w:t>
      </w:r>
      <w:r>
        <w:t xml:space="preserve">(thu thập, xử lý, mô hình, kiểm định) và ứng dụng PortfolioVN (</w:t>
      </w:r>
      <w:r>
        <w:rPr>
          <w:rStyle w:val="VerbatimChar"/>
        </w:rPr>
        <w:t xml:space="preserve">backend/</w:t>
      </w:r>
      <w:r>
        <w:t xml:space="preserve"> </w:t>
      </w:r>
      <w:r>
        <w:t xml:space="preserve">FastAPI,</w:t>
      </w:r>
      <w:r>
        <w:t xml:space="preserve"> </w:t>
      </w:r>
      <w:r>
        <w:rPr>
          <w:rStyle w:val="VerbatimChar"/>
        </w:rPr>
        <w:t xml:space="preserve">frontend/</w:t>
      </w:r>
      <w:r>
        <w:t xml:space="preserve"> </w:t>
      </w:r>
      <w:r>
        <w:t xml:space="preserve">React/Vite). Phiên bản thư viện được ghim trong</w:t>
      </w:r>
      <w:r>
        <w:t xml:space="preserve"> </w:t>
      </w:r>
      <w:r>
        <w:rPr>
          <w:rStyle w:val="VerbatimChar"/>
        </w:rPr>
        <w:t xml:space="preserve">pipeline/requirements.txt</w:t>
      </w:r>
      <w:r>
        <w:t xml:space="preserve">; cần Python 3.13 và Node 22 với pnpm.</w:t>
      </w:r>
    </w:p>
    <w:p>
      <w:pPr>
        <w:numPr>
          <w:ilvl w:val="0"/>
          <w:numId w:val="1023"/>
        </w:numPr>
      </w:pPr>
      <w:r>
        <w:t xml:space="preserve">Cài đặt: tạo môi trường ảo rồi</w:t>
      </w:r>
      <w:r>
        <w:t xml:space="preserve"> </w:t>
      </w:r>
      <w:r>
        <w:rPr>
          <w:rStyle w:val="VerbatimChar"/>
        </w:rPr>
        <w:t xml:space="preserve">pip install -r backend/requirements.txt -r pipeline/requirements.txt</w:t>
      </w:r>
      <w:r>
        <w:t xml:space="preserve">;</w:t>
      </w:r>
      <w:r>
        <w:t xml:space="preserve"> </w:t>
      </w:r>
      <w:r>
        <w:rPr>
          <w:rStyle w:val="VerbatimChar"/>
        </w:rPr>
        <w:t xml:space="preserve">pnpm install</w:t>
      </w:r>
      <w:r>
        <w:t xml:space="preserve"> </w:t>
      </w:r>
      <w:r>
        <w:t xml:space="preserve">cho giao diện.</w:t>
      </w:r>
    </w:p>
    <w:p>
      <w:pPr>
        <w:numPr>
          <w:ilvl w:val="0"/>
          <w:numId w:val="1023"/>
        </w:numPr>
      </w:pPr>
      <w:r>
        <w:t xml:space="preserve">Kiểm tra dữ liệu thô:</w:t>
      </w:r>
      <w:r>
        <w:t xml:space="preserve"> </w:t>
      </w:r>
      <w:r>
        <w:rPr>
          <w:rStyle w:val="VerbatimChar"/>
        </w:rPr>
        <w:t xml:space="preserve">python scripts/00_check_raw_data.py</w:t>
      </w:r>
      <w:r>
        <w:t xml:space="preserve"> </w:t>
      </w:r>
      <w:r>
        <w:t xml:space="preserve">trong thư mục</w:t>
      </w:r>
      <w:r>
        <w:t xml:space="preserve"> </w:t>
      </w:r>
      <w:r>
        <w:rPr>
          <w:rStyle w:val="VerbatimChar"/>
        </w:rPr>
        <w:t xml:space="preserve">pipeline/</w:t>
      </w:r>
      <w:r>
        <w:t xml:space="preserve">. Dữ liệu thô có sẵn trong</w:t>
      </w:r>
      <w:r>
        <w:t xml:space="preserve"> </w:t>
      </w:r>
      <w:r>
        <w:rPr>
          <w:rStyle w:val="VerbatimChar"/>
        </w:rPr>
        <w:t xml:space="preserve">data/raw/</w:t>
      </w:r>
      <w:r>
        <w:t xml:space="preserve">; chỉ cần thu thập lại (</w:t>
      </w:r>
      <w:r>
        <w:rPr>
          <w:rStyle w:val="VerbatimChar"/>
        </w:rPr>
        <w:t xml:space="preserve">python scripts/collect_all.py</w:t>
      </w:r>
      <w:r>
        <w:t xml:space="preserve">) khi muốn cập nhật.</w:t>
      </w:r>
    </w:p>
    <w:p>
      <w:pPr>
        <w:numPr>
          <w:ilvl w:val="0"/>
          <w:numId w:val="1023"/>
        </w:numPr>
      </w:pPr>
      <w:r>
        <w:t xml:space="preserve">Chạy toàn bộ:</w:t>
      </w:r>
      <w:r>
        <w:t xml:space="preserve"> </w:t>
      </w:r>
      <w:r>
        <w:rPr>
          <w:rStyle w:val="VerbatimChar"/>
        </w:rPr>
        <w:t xml:space="preserve">python run.py --stage all</w:t>
      </w:r>
      <w:r>
        <w:t xml:space="preserve"> </w:t>
      </w:r>
      <w:r>
        <w:t xml:space="preserve">dựng panel (bước 03–04), dự báo ngoài mẫu (06–07), kiểm định ngược, kiểm định giả thuyết, độ nhạy, phân rã đóng góp, kiểm tra chất lượng (11–19) và mô phỏng bootstrap (17, khoảng 10 phút). Chỉ chạy lại kiểm định ngược:</w:t>
      </w:r>
      <w:r>
        <w:t xml:space="preserve"> </w:t>
      </w:r>
      <w:r>
        <w:rPr>
          <w:rStyle w:val="VerbatimChar"/>
        </w:rPr>
        <w:t xml:space="preserve">python run.py --stage backtest</w:t>
      </w:r>
      <w:r>
        <w:t xml:space="preserve"> </w:t>
      </w:r>
      <w:r>
        <w:t xml:space="preserve">(khoảng 1 phút).</w:t>
      </w:r>
    </w:p>
    <w:p>
      <w:pPr>
        <w:numPr>
          <w:ilvl w:val="0"/>
          <w:numId w:val="1023"/>
        </w:numPr>
      </w:pPr>
      <w:r>
        <w:t xml:space="preserve">Kiểm tra tái lập:</w:t>
      </w:r>
      <w:r>
        <w:t xml:space="preserve"> </w:t>
      </w:r>
      <w:r>
        <w:rPr>
          <w:rStyle w:val="VerbatimChar"/>
        </w:rPr>
        <w:t xml:space="preserve">python scripts/99_verify_reproducibility.py</w:t>
      </w:r>
      <w:r>
        <w:t xml:space="preserve"> </w:t>
      </w:r>
      <w:r>
        <w:t xml:space="preserve">so checksum các file đầu ra với</w:t>
      </w:r>
      <w:r>
        <w:t xml:space="preserve"> </w:t>
      </w:r>
      <w:r>
        <w:rPr>
          <w:rStyle w:val="VerbatimChar"/>
        </w:rPr>
        <w:t xml:space="preserve">expected_checksums.json</w:t>
      </w:r>
      <w:r>
        <w:t xml:space="preserve">;</w:t>
      </w:r>
      <w:r>
        <w:t xml:space="preserve"> </w:t>
      </w:r>
      <w:r>
        <w:rPr>
          <w:rStyle w:val="VerbatimChar"/>
        </w:rPr>
        <w:t xml:space="preserve">python -m pytest tests</w:t>
      </w:r>
      <w:r>
        <w:t xml:space="preserve"> </w:t>
      </w:r>
      <w:r>
        <w:t xml:space="preserve">chạy các kiểm thử về BL, RP, HRP, MVO, rò rỉ thông tin tương lai (kể cả giá vàng point-in-time) và dữ liệu.</w:t>
      </w:r>
    </w:p>
    <w:p>
      <w:pPr>
        <w:numPr>
          <w:ilvl w:val="0"/>
          <w:numId w:val="1023"/>
        </w:numPr>
      </w:pPr>
      <w:r>
        <w:t xml:space="preserve">Độ nhạy: đặt biến môi trường, ví dụ</w:t>
      </w:r>
      <w:r>
        <w:t xml:space="preserve"> </w:t>
      </w:r>
      <w:r>
        <w:rPr>
          <w:rStyle w:val="VerbatimChar"/>
        </w:rPr>
        <w:t xml:space="preserve">PVN_DELTA=4 python run.py --stage backtest --no-open</w:t>
      </w:r>
      <w:r>
        <w:t xml:space="preserve">; kết quả ghi vào thư mục riêng, không ghi đè phiên bản chính.</w:t>
      </w:r>
    </w:p>
    <w:p>
      <w:pPr>
        <w:numPr>
          <w:ilvl w:val="0"/>
          <w:numId w:val="1023"/>
        </w:numPr>
      </w:pPr>
      <w:r>
        <w:t xml:space="preserve">Chạy ứng dụng:</w:t>
      </w:r>
      <w:r>
        <w:t xml:space="preserve"> </w:t>
      </w:r>
      <w:r>
        <w:rPr>
          <w:rStyle w:val="VerbatimChar"/>
        </w:rPr>
        <w:t xml:space="preserve">uvicorn app.main:app --app-dir backend --port 8000</w:t>
      </w:r>
      <w:r>
        <w:t xml:space="preserve"> </w:t>
      </w:r>
      <w:r>
        <w:t xml:space="preserve">và</w:t>
      </w:r>
      <w:r>
        <w:t xml:space="preserve"> </w:t>
      </w:r>
      <w:r>
        <w:rPr>
          <w:rStyle w:val="VerbatimChar"/>
        </w:rPr>
        <w:t xml:space="preserve">pnpm --dir frontend dev</w:t>
      </w:r>
      <w:r>
        <w:t xml:space="preserve"> </w:t>
      </w:r>
      <w:r>
        <w:t xml:space="preserve">(cổng 3000). Ứng dụng đọc CSV trong</w:t>
      </w:r>
      <w:r>
        <w:t xml:space="preserve"> </w:t>
      </w:r>
      <w:r>
        <w:rPr>
          <w:rStyle w:val="VerbatimChar"/>
        </w:rPr>
        <w:t xml:space="preserve">pipeline/data/processed/</w:t>
      </w:r>
      <w:r>
        <w:t xml:space="preserve">, không tự tính lại kết quả. Mật khẩu demo mặc định:</w:t>
      </w:r>
      <w:r>
        <w:t xml:space="preserve"> </w:t>
      </w:r>
      <w:r>
        <w:rPr>
          <w:rStyle w:val="VerbatimChar"/>
        </w:rPr>
        <w:t xml:space="preserve">UEH2026</w:t>
      </w:r>
      <w:r>
        <w:t xml:space="preserve">.</w:t>
      </w:r>
    </w:p>
    <w:p>
      <w:pPr>
        <w:pStyle w:val="FirstParagraph"/>
      </w:pPr>
      <w:r>
        <w:t xml:space="preserve">Nhật ký các đợt sửa lỗi theo biên bản kiểm tra chất lượng nằm trong</w:t>
      </w:r>
      <w:r>
        <w:t xml:space="preserve"> </w:t>
      </w:r>
      <w:r>
        <w:rPr>
          <w:rStyle w:val="VerbatimChar"/>
        </w:rPr>
        <w:t xml:space="preserve">pipeline/SUA_LOI.md</w:t>
      </w:r>
      <w:r>
        <w:t xml:space="preserve">.</w:t>
      </w:r>
    </w:p>
    <w:bookmarkEnd w:id="178"/>
    <w:bookmarkStart w:id="179" w:name="X594e4b101d81b61597bb7f3f856d083f10648ce"/>
    <w:p>
      <w:pPr>
        <w:pStyle w:val="Heading2"/>
      </w:pPr>
      <w:r>
        <w:t xml:space="preserve">Phụ lục G. Ảnh chụp màn hình ứng dụng PortfolioVN</w:t>
      </w:r>
    </w:p>
    <w:p>
      <w:pPr>
        <w:pStyle w:val="FirstParagraph"/>
      </w:pPr>
      <w:r>
        <w:rPr>
          <w:iCs/>
          <w:i/>
        </w:rPr>
        <w:t xml:space="preserve">[Chèn ảnh. Chụp ở độ rộng 1440 px, ngôn ngữ tiếng Việt, hồ sơ demo An Nguyễn; mỗi hình một trang, có chú thích bên dưới.]</w:t>
      </w:r>
    </w:p>
    <w:tbl>
      <w:tblPr>
        <w:tblStyle w:val="Table"/>
        <w:tblW w:type="pct" w:w="5000"/>
        <w:jc w:val="center"/>
        <w:tblLook w:firstRow="1" w:lastRow="0" w:firstColumn="0" w:lastColumn="0" w:noHBand="0" w:noVBand="0" w:val="0020"/>
      </w:tblPr>
      <w:tblGrid>
        <w:gridCol w:w="925"/>
        <w:gridCol w:w="2880"/>
        <w:gridCol w:w="4114"/>
      </w:tblGrid>
      <w:tr>
        <w:trPr>
          <w:tblHeader w:val="true"/>
        </w:trPr>
        <w:tc>
          <w:tcPr/>
          <w:p>
            <w:pPr>
              <w:pStyle w:val="Compact"/>
              <w:jc w:val="center"/>
            </w:pPr>
            <w:r>
              <w:rPr>
                <w:b/>
              </w:rPr>
              <w:t xml:space="preserve">Hình</w:t>
            </w:r>
          </w:p>
        </w:tc>
        <w:tc>
          <w:tcPr/>
          <w:p>
            <w:pPr>
              <w:pStyle w:val="Compact"/>
              <w:jc w:val="center"/>
            </w:pPr>
            <w:r>
              <w:rPr>
                <w:b/>
              </w:rPr>
              <w:t xml:space="preserve">Màn hình</w:t>
            </w:r>
          </w:p>
        </w:tc>
        <w:tc>
          <w:tcPr/>
          <w:p>
            <w:pPr>
              <w:pStyle w:val="Compact"/>
              <w:jc w:val="center"/>
            </w:pPr>
            <w:r>
              <w:rPr>
                <w:b/>
              </w:rPr>
              <w:t xml:space="preserve">Nội dung cần thấy trong ảnh</w:t>
            </w:r>
          </w:p>
        </w:tc>
      </w:tr>
      <w:tr>
        <w:trPr>
          <w:cantSplit/>
        </w:trPr>
        <w:tc>
          <w:tcPr/>
          <w:p>
            <w:pPr>
              <w:pStyle w:val="Compact"/>
              <w:jc w:val="left"/>
            </w:pPr>
            <w:r>
              <w:t xml:space="preserve">G.1</w:t>
            </w:r>
          </w:p>
        </w:tc>
        <w:tc>
          <w:tcPr/>
          <w:p>
            <w:pPr>
              <w:pStyle w:val="Compact"/>
              <w:jc w:val="left"/>
            </w:pPr>
            <w:r>
              <w:t xml:space="preserve">Đăng nhập</w:t>
            </w:r>
          </w:p>
        </w:tc>
        <w:tc>
          <w:tcPr/>
          <w:p>
            <w:pPr>
              <w:pStyle w:val="Compact"/>
              <w:jc w:val="left"/>
            </w:pPr>
            <w:r>
              <w:t xml:space="preserve">Ô mật khẩu demo, danh sách hồ sơ demo và vai trò, dòng miễn trừ trách nhiệm</w:t>
            </w:r>
          </w:p>
        </w:tc>
      </w:tr>
      <w:tr>
        <w:trPr>
          <w:cantSplit/>
        </w:trPr>
        <w:tc>
          <w:tcPr/>
          <w:p>
            <w:pPr>
              <w:pStyle w:val="Compact"/>
              <w:jc w:val="left"/>
            </w:pPr>
            <w:r>
              <w:t xml:space="preserve">G.2</w:t>
            </w:r>
          </w:p>
        </w:tc>
        <w:tc>
          <w:tcPr/>
          <w:p>
            <w:pPr>
              <w:pStyle w:val="Compact"/>
              <w:jc w:val="left"/>
            </w:pPr>
            <w:r>
              <w:t xml:space="preserve">Tổng quan thị trường</w:t>
            </w:r>
          </w:p>
        </w:tc>
        <w:tc>
          <w:tcPr/>
          <w:p>
            <w:pPr>
              <w:pStyle w:val="Compact"/>
              <w:jc w:val="left"/>
            </w:pPr>
            <w:r>
              <w:t xml:space="preserve">Thẻ 5 lớp tài sản, biểu đồ tăng trưởng, nhãn phiên bản dữ liệu 07/2026</w:t>
            </w:r>
          </w:p>
        </w:tc>
      </w:tr>
      <w:tr>
        <w:trPr>
          <w:cantSplit/>
        </w:trPr>
        <w:tc>
          <w:tcPr/>
          <w:p>
            <w:pPr>
              <w:pStyle w:val="Compact"/>
              <w:jc w:val="left"/>
            </w:pPr>
            <w:r>
              <w:t xml:space="preserve">G.3</w:t>
            </w:r>
          </w:p>
        </w:tc>
        <w:tc>
          <w:tcPr/>
          <w:p>
            <w:pPr>
              <w:pStyle w:val="Compact"/>
              <w:jc w:val="left"/>
            </w:pPr>
            <w:r>
              <w:t xml:space="preserve">Chi tiết một lớp tài sản (vàng SJC)</w:t>
            </w:r>
          </w:p>
        </w:tc>
        <w:tc>
          <w:tcPr/>
          <w:p>
            <w:pPr>
              <w:pStyle w:val="Compact"/>
              <w:jc w:val="left"/>
            </w:pPr>
            <w:r>
              <w:t xml:space="preserve">Chuỗi giá, cờ chất lượng dữ liệu phần dựng lại trước 08/2022, nguồn</w:t>
            </w:r>
          </w:p>
        </w:tc>
      </w:tr>
      <w:tr>
        <w:trPr>
          <w:cantSplit/>
        </w:trPr>
        <w:tc>
          <w:tcPr/>
          <w:p>
            <w:pPr>
              <w:pStyle w:val="Compact"/>
              <w:jc w:val="left"/>
            </w:pPr>
            <w:r>
              <w:t xml:space="preserve">G.4</w:t>
            </w:r>
          </w:p>
        </w:tc>
        <w:tc>
          <w:tcPr/>
          <w:p>
            <w:pPr>
              <w:pStyle w:val="Compact"/>
              <w:jc w:val="left"/>
            </w:pPr>
            <w:r>
              <w:t xml:space="preserve">Bảng hỏi khẩu vị rủi ro</w:t>
            </w:r>
          </w:p>
        </w:tc>
        <w:tc>
          <w:tcPr/>
          <w:p>
            <w:pPr>
              <w:pStyle w:val="Compact"/>
              <w:jc w:val="left"/>
            </w:pPr>
            <w:r>
              <w:t xml:space="preserve">Các câu hỏi năng lực và thái độ rủi ro, thanh tiến độ</w:t>
            </w:r>
          </w:p>
        </w:tc>
      </w:tr>
      <w:tr>
        <w:trPr>
          <w:cantSplit/>
        </w:trPr>
        <w:tc>
          <w:tcPr/>
          <w:p>
            <w:pPr>
              <w:pStyle w:val="Compact"/>
              <w:jc w:val="left"/>
            </w:pPr>
            <w:r>
              <w:t xml:space="preserve">G.5</w:t>
            </w:r>
          </w:p>
        </w:tc>
        <w:tc>
          <w:tcPr/>
          <w:p>
            <w:pPr>
              <w:pStyle w:val="Compact"/>
              <w:jc w:val="left"/>
            </w:pPr>
            <w:r>
              <w:t xml:space="preserve">Kết quả đánh giá</w:t>
            </w:r>
          </w:p>
        </w:tc>
        <w:tc>
          <w:tcPr/>
          <w:p>
            <w:pPr>
              <w:pStyle w:val="Compact"/>
              <w:jc w:val="left"/>
            </w:pPr>
            <w:r>
              <w:t xml:space="preserve">Điểm, khẩu vị đề xuất, lựa chọn điều chỉnh và cảnh báo</w:t>
            </w:r>
          </w:p>
        </w:tc>
      </w:tr>
      <w:tr>
        <w:trPr>
          <w:cantSplit/>
        </w:trPr>
        <w:tc>
          <w:tcPr/>
          <w:p>
            <w:pPr>
              <w:pStyle w:val="Compact"/>
              <w:jc w:val="left"/>
            </w:pPr>
            <w:r>
              <w:t xml:space="preserve">G.6</w:t>
            </w:r>
          </w:p>
        </w:tc>
        <w:tc>
          <w:tcPr/>
          <w:p>
            <w:pPr>
              <w:pStyle w:val="Compact"/>
              <w:jc w:val="left"/>
            </w:pPr>
            <w:r>
              <w:t xml:space="preserve">Báo cáo kế hoạch</w:t>
            </w:r>
          </w:p>
        </w:tc>
        <w:tc>
          <w:tcPr/>
          <w:p>
            <w:pPr>
              <w:pStyle w:val="Compact"/>
              <w:jc w:val="left"/>
            </w:pPr>
            <w:r>
              <w:t xml:space="preserve">Tỷ trọng, lệnh mua theo VND, rủi ro theo VND, phần giải thích</w:t>
            </w:r>
          </w:p>
        </w:tc>
      </w:tr>
      <w:tr>
        <w:trPr>
          <w:cantSplit/>
        </w:trPr>
        <w:tc>
          <w:tcPr/>
          <w:p>
            <w:pPr>
              <w:pStyle w:val="Compact"/>
              <w:jc w:val="left"/>
            </w:pPr>
            <w:r>
              <w:t xml:space="preserve">G.7</w:t>
            </w:r>
          </w:p>
        </w:tc>
        <w:tc>
          <w:tcPr/>
          <w:p>
            <w:pPr>
              <w:pStyle w:val="Compact"/>
              <w:jc w:val="left"/>
            </w:pPr>
            <w:r>
              <w:t xml:space="preserve">Trang phân tích nghiên cứu</w:t>
            </w:r>
          </w:p>
        </w:tc>
        <w:tc>
          <w:tcPr/>
          <w:p>
            <w:pPr>
              <w:pStyle w:val="Compact"/>
              <w:jc w:val="left"/>
            </w:pPr>
            <w:r>
              <w:t xml:space="preserve">Bảng so sánh phương pháp, kết quả kiểm định và MDE</w:t>
            </w:r>
          </w:p>
        </w:tc>
      </w:tr>
      <w:tr>
        <w:trPr>
          <w:cantSplit/>
        </w:trPr>
        <w:tc>
          <w:tcPr/>
          <w:p>
            <w:pPr>
              <w:pStyle w:val="Compact"/>
              <w:jc w:val="left"/>
            </w:pPr>
            <w:r>
              <w:t xml:space="preserve">G.8</w:t>
            </w:r>
          </w:p>
        </w:tc>
        <w:tc>
          <w:tcPr/>
          <w:p>
            <w:pPr>
              <w:pStyle w:val="Compact"/>
              <w:jc w:val="left"/>
            </w:pPr>
            <w:r>
              <w:t xml:space="preserve">Quản trị</w:t>
            </w:r>
          </w:p>
        </w:tc>
        <w:tc>
          <w:tcPr/>
          <w:p>
            <w:pPr>
              <w:pStyle w:val="Compact"/>
              <w:jc w:val="left"/>
            </w:pPr>
            <w:r>
              <w:t xml:space="preserve">Danh sách phiên bản dữ liệu (V1 active, V2 draft), form chạy lại với tham số δ và phí</w:t>
            </w:r>
          </w:p>
        </w:tc>
      </w:tr>
    </w:tbl>
    <w:bookmarkEnd w:id="179"/>
    <w:bookmarkEnd w:id="180"/>
    <w:sectPr>
      <w:footerReference r:id="rId9" w:type="default"/>
      <w:pgSz w:h="16838" w:w="11906"/>
      <w:pgMar w:bottom="1701" w:footer="709" w:header="709" w:left="1701" w:right="1134" w:top="1701"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jc w:val="right"/>
    </w:pPr>
    <w:r>
      <w:rPr>
        <w:rFonts w:ascii="Times New Roman" w:hAnsi="Times New Roman"/>
        <w:sz w:val="2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color w:val="000000"/>
      <w:sz w:val="26"/>
    </w:rPr>
  </w:style>
  <w:style w:styleId="BodyText" w:type="paragraph">
    <w:name w:val="Body Text"/>
    <w:basedOn w:val="Normal"/>
    <w:link w:val="BodyTextChar"/>
    <w:qFormat/>
    <w:pPr>
      <w:spacing w:after="120" w:before="0" w:line="360" w:lineRule="auto"/>
      <w:jc w:val="both"/>
    </w:pPr>
    <w:rPr>
      <w:rFonts w:ascii="Times New Roman" w:cs="Times New Roman" w:eastAsia="Times New Roman" w:hAnsi="Times New Roman"/>
      <w:color w:val="000000"/>
      <w:sz w:val="26"/>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color w:val="000000"/>
      <w:sz w:val="26"/>
    </w:rPr>
  </w:style>
  <w:style w:customStyle="1" w:styleId="Compact" w:type="paragraph">
    <w:name w:val="Compact"/>
    <w:basedOn w:val="BodyText"/>
    <w:qFormat/>
    <w:pPr>
      <w:spacing w:after="20" w:before="20" w:line="240" w:lineRule="auto"/>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line="360" w:lineRule="auto"/>
      <w:jc w:val="center"/>
      <w:outlineLvl w:val="0"/>
    </w:pPr>
    <w:rPr>
      <w:rFonts w:ascii="Times New Roman" w:cs="Times New Roman" w:eastAsia="Times New Roman" w:hAnsi="Times New Roman"/>
      <w:b/>
      <w:bCs/>
      <w:caps/>
      <w:color w:val="000000"/>
      <w:sz w:val="28"/>
      <w:szCs w:val="32"/>
    </w:rPr>
  </w:style>
  <w:style w:styleId="Heading2" w:type="paragraph">
    <w:name w:val="Heading 2"/>
    <w:basedOn w:val="Normal"/>
    <w:next w:val="BodyText"/>
    <w:uiPriority w:val="9"/>
    <w:unhideWhenUsed/>
    <w:qFormat/>
    <w:pPr>
      <w:keepNext/>
      <w:keepLines/>
      <w:spacing w:after="120" w:before="240" w:line="360" w:lineRule="auto"/>
      <w:jc w:val="left"/>
      <w:outlineLvl w:val="1"/>
    </w:pPr>
    <w:rPr>
      <w:rFonts w:ascii="Times New Roman" w:cs="Times New Roman" w:eastAsia="Times New Roman" w:hAnsi="Times New Roman"/>
      <w:b/>
      <w:bCs/>
      <w:color w:val="000000"/>
      <w:sz w:val="26"/>
      <w:szCs w:val="28"/>
    </w:rPr>
  </w:style>
  <w:style w:styleId="Heading3" w:type="paragraph">
    <w:name w:val="Heading 3"/>
    <w:basedOn w:val="Normal"/>
    <w:next w:val="BodyText"/>
    <w:uiPriority w:val="9"/>
    <w:unhideWhenUsed/>
    <w:qFormat/>
    <w:pPr>
      <w:keepNext/>
      <w:keepLines/>
      <w:spacing w:after="120" w:before="120" w:line="360" w:lineRule="auto"/>
      <w:jc w:val="left"/>
      <w:outlineLvl w:val="2"/>
    </w:pPr>
    <w:rPr>
      <w:rFonts w:ascii="Times New Roman" w:cs="Times New Roman" w:eastAsia="Times New Roman" w:hAnsi="Times New Roman"/>
      <w:b/>
      <w:bCs/>
      <w:i/>
      <w:color w:val="000000"/>
      <w:sz w:val="26"/>
      <w:szCs w:val="24"/>
    </w:rPr>
  </w:style>
  <w:style w:styleId="Heading4" w:type="paragraph">
    <w:name w:val="Heading 4"/>
    <w:basedOn w:val="Normal"/>
    <w:next w:val="BodyText"/>
    <w:uiPriority w:val="9"/>
    <w:unhideWhenUsed/>
    <w:qFormat/>
    <w:pPr>
      <w:keepNext/>
      <w:keepLines/>
      <w:spacing w:after="60" w:before="120" w:line="360" w:lineRule="auto"/>
      <w:jc w:val="left"/>
      <w:outlineLvl w:val="3"/>
    </w:pPr>
    <w:rPr>
      <w:rFonts w:ascii="Times New Roman" w:cs="Times New Roman" w:eastAsia="Times New Roman" w:hAnsi="Times New Roman"/>
      <w:i/>
      <w:b w:val="0"/>
      <w:bCs/>
      <w:color w:val="000000"/>
      <w:sz w:val="26"/>
      <w:szCs w:val="24"/>
    </w:rPr>
  </w:style>
  <w:style w:styleId="Heading5" w:type="paragraph">
    <w:name w:val="Heading 5"/>
    <w:basedOn w:val="Normal"/>
    <w:next w:val="BodyText"/>
    <w:uiPriority w:val="9"/>
    <w:unhideWhenUsed/>
    <w:qFormat/>
    <w:pPr>
      <w:keepNext/>
      <w:keepLines/>
      <w:spacing w:after="60" w:before="120" w:line="360" w:lineRule="auto"/>
      <w:jc w:val="left"/>
      <w:outlineLvl w:val="4"/>
    </w:pPr>
    <w:rPr>
      <w:rFonts w:ascii="Times New Roman" w:cs="Times New Roman" w:eastAsia="Times New Roman" w:hAnsi="Times New Roman"/>
      <w:b w:val="0"/>
      <w:i/>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20" w:before="60" w:line="360" w:lineRule="auto"/>
      <w:ind w:firstLine="0" w:left="567" w:right="567"/>
      <w:jc w:val="both"/>
    </w:pPr>
    <w:rPr>
      <w:rFonts w:ascii="Times New Roman" w:cs="Times New Roman" w:eastAsia="Times New Roman" w:hAnsi="Times New Roman"/>
      <w:i/>
      <w:color w:val="000000"/>
      <w:sz w:val="26"/>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i w:val="0"/>
      <w:color w:val="000000"/>
      <w:sz w:val="26"/>
    </w:rPr>
  </w:style>
  <w:style w:customStyle="1" w:styleId="TableCaption" w:type="paragraph">
    <w:name w:val="Table Caption"/>
    <w:basedOn w:val="Caption"/>
    <w:pPr>
      <w:keepNext/>
      <w:spacing w:after="80" w:before="120" w:line="360" w:lineRule="auto"/>
      <w:jc w:val="center"/>
    </w:pPr>
    <w:rPr>
      <w:rFonts w:ascii="Times New Roman" w:cs="Times New Roman" w:eastAsia="Times New Roman" w:hAnsi="Times New Roman"/>
      <w:b/>
      <w:i w:val="0"/>
      <w:color w:val="000000"/>
      <w:sz w:val="26"/>
    </w:rPr>
  </w:style>
  <w:style w:customStyle="1" w:styleId="ImageCaption" w:type="paragraph">
    <w:name w:val="Image Caption"/>
    <w:basedOn w:val="Caption"/>
    <w:pPr>
      <w:spacing w:after="40" w:before="80" w:line="360" w:lineRule="auto"/>
      <w:jc w:val="center"/>
    </w:pPr>
    <w:rPr>
      <w:rFonts w:ascii="Times New Roman" w:cs="Times New Roman" w:eastAsia="Times New Roman" w:hAnsi="Times New Roman"/>
      <w:b/>
      <w:i w:val="0"/>
      <w:color w:val="000000"/>
      <w:sz w:val="26"/>
    </w:rPr>
  </w:style>
  <w:style w:customStyle="1" w:styleId="Figure" w:type="paragraph">
    <w:name w:val="Figure"/>
    <w:basedOn w:val="Normal"/>
    <w:pPr>
      <w:keepNext/>
      <w:spacing w:after="0" w:before="120" w:line="240" w:lineRule="auto"/>
      <w:jc w:val="center"/>
    </w:pPr>
  </w:style>
  <w:style w:customStyle="1" w:styleId="CaptionedFigure" w:type="paragraph">
    <w:name w:val="Captioned Figure"/>
    <w:basedOn w:val="Figure"/>
    <w:pPr>
      <w:keepNext/>
      <w:spacing w:after="0" w:before="120" w:line="240" w:lineRule="auto"/>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color w:val="000000"/>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cs="Times New Roman" w:eastAsia="Times New Roman" w:hAnsi="Times New Roman"/>
      <w:color w:val="000000"/>
      <w:sz w:val="26"/>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customStyle="1" w:styleId="CompactSmall" w:type="paragraph">
    <w:name w:val="Compact Small"/>
    <w:basedOn w:val="Compact"/>
    <w:qFormat/>
    <w:pPr>
      <w:spacing w:after="0" w:before="0" w:line="240" w:lineRule="auto"/>
      <w:jc w:val="left"/>
    </w:pPr>
    <w:rPr>
      <w:rFonts w:ascii="Times New Roman" w:cs="Times New Roman" w:eastAsia="Times New Roman" w:hAnsi="Times New Roman"/>
      <w:color w:val="000000"/>
      <w:sz w:val="20"/>
    </w:rPr>
  </w:style>
  <w:style w:customStyle="1" w:styleId="FrontHeading" w:type="paragraph">
    <w:name w:val="Front Heading"/>
    <w:basedOn w:val="Normal"/>
    <w:qFormat/>
    <w:pPr>
      <w:keepNext/>
      <w:spacing w:after="360" w:before="0" w:line="360" w:lineRule="auto"/>
      <w:jc w:val="center"/>
    </w:pPr>
    <w:rPr>
      <w:rFonts w:ascii="Times New Roman" w:cs="Times New Roman" w:eastAsia="Times New Roman" w:hAnsi="Times New Roman"/>
      <w:b/>
      <w:color w:val="000000"/>
      <w:sz w:val="28"/>
    </w:rPr>
  </w:style>
  <w:style w:customStyle="1" w:styleId="SubHeading" w:type="paragraph">
    <w:name w:val="Sub Heading"/>
    <w:basedOn w:val="Normal"/>
    <w:qFormat/>
    <w:pPr>
      <w:keepNext/>
      <w:spacing w:after="120" w:before="240" w:line="360" w:lineRule="auto"/>
      <w:jc w:val="left"/>
    </w:pPr>
    <w:rPr>
      <w:rFonts w:ascii="Times New Roman" w:cs="Times New Roman" w:eastAsia="Times New Roman" w:hAnsi="Times New Roman"/>
      <w:b/>
      <w:color w:val="000000"/>
      <w:sz w:val="26"/>
    </w:rPr>
  </w:style>
  <w:style w:customStyle="1" w:styleId="Signature" w:type="paragraph">
    <w:name w:val="Signature"/>
    <w:basedOn w:val="Normal"/>
    <w:qFormat/>
    <w:pPr>
      <w:spacing w:after="0" w:before="0" w:line="360" w:lineRule="auto"/>
      <w:ind w:left="4535"/>
      <w:jc w:val="center"/>
    </w:pPr>
    <w:rPr>
      <w:rFonts w:ascii="Times New Roman" w:cs="Times New Roman" w:eastAsia="Times New Roman" w:hAnsi="Times New Roman"/>
      <w:i w:val="0"/>
      <w:color w:val="000000"/>
      <w:sz w:val="26"/>
    </w:rPr>
  </w:style>
  <w:style w:customStyle="1" w:styleId="SourceNote" w:type="paragraph">
    <w:name w:val="Source Note"/>
    <w:basedOn w:val="Normal"/>
    <w:qFormat/>
    <w:pPr>
      <w:spacing w:after="200" w:before="0" w:line="360" w:lineRule="auto"/>
      <w:jc w:val="center"/>
    </w:pPr>
    <w:rPr>
      <w:rFonts w:ascii="Times New Roman" w:cs="Times New Roman" w:eastAsia="Times New Roman" w:hAnsi="Times New Roman"/>
      <w:i/>
      <w:color w:val="000000"/>
      <w:sz w:val="26"/>
    </w:rPr>
  </w:style>
  <w:style w:customStyle="1" w:styleId="ReferenceEntry" w:type="paragraph">
    <w:name w:val="Reference Entry"/>
    <w:basedOn w:val="Normal"/>
    <w:qFormat/>
    <w:pPr>
      <w:spacing w:after="120" w:before="0" w:line="360" w:lineRule="auto"/>
      <w:ind w:hanging="567" w:left="567"/>
      <w:jc w:val="both"/>
    </w:pPr>
    <w:rPr>
      <w:rFonts w:ascii="Times New Roman" w:cs="Times New Roman" w:eastAsia="Times New Roman" w:hAnsi="Times New Roman"/>
      <w:color w:val="000000"/>
      <w:sz w:val="26"/>
    </w:rPr>
  </w:style>
  <w:style w:customStyle="1" w:styleId="ImagePlaceholder" w:type="paragraph">
    <w:name w:val="Image Placeholder"/>
    <w:basedOn w:val="Normal"/>
    <w:qFormat/>
    <w:pPr>
      <w:keepNext/>
      <w:pBdr>
        <w:top w:color="7F7F7F" w:space="24" w:sz="6" w:val="dashed"/>
        <w:left w:color="7F7F7F" w:space="24" w:sz="6" w:val="dashed"/>
        <w:bottom w:color="7F7F7F" w:space="24" w:sz="6" w:val="dashed"/>
        <w:right w:color="7F7F7F" w:space="24" w:sz="6" w:val="dashed"/>
      </w:pBdr>
      <w:spacing w:after="40" w:before="240" w:line="276" w:lineRule="auto"/>
      <w:jc w:val="center"/>
    </w:pPr>
    <w:rPr>
      <w:rFonts w:ascii="Times New Roman" w:cs="Times New Roman" w:eastAsia="Times New Roman" w:hAnsi="Times New Roman"/>
      <w:i/>
      <w:color w:val="595959"/>
      <w:sz w:val="24"/>
    </w:rPr>
  </w:style>
  <w:style w:customStyle="1" w:styleId="CoverText" w:type="paragraph">
    <w:name w:val="Cover Text"/>
    <w:basedOn w:val="Normal"/>
    <w:qFormat/>
    <w:pPr>
      <w:spacing w:after="0" w:before="0" w:line="276" w:lineRule="auto"/>
      <w:jc w:val="center"/>
    </w:pPr>
    <w:rPr>
      <w:rFonts w:ascii="Times New Roman" w:cs="Times New Roman" w:eastAsia="Times New Roman" w:hAnsi="Times New Roman"/>
      <w:color w:val="000000"/>
      <w:sz w:val="26"/>
    </w:rPr>
  </w:style>
  <w:style w:customStyle="1" w:styleId="TOC1" w:type="paragraph">
    <w:name w:val="TOC 1"/>
    <w:basedOn w:val="Normal"/>
    <w:qFormat/>
    <w:pPr>
      <w:tabs>
        <w:tab w:leader="dot" w:pos="9014" w:val="right"/>
      </w:tabs>
      <w:spacing w:after="60" w:before="60" w:line="360" w:lineRule="auto"/>
      <w:ind w:left="0"/>
      <w:jc w:val="left"/>
    </w:pPr>
    <w:rPr>
      <w:rFonts w:ascii="Times New Roman" w:cs="Times New Roman" w:eastAsia="Times New Roman" w:hAnsi="Times New Roman"/>
      <w:b/>
      <w:color w:val="000000"/>
      <w:sz w:val="26"/>
    </w:rPr>
  </w:style>
  <w:style w:customStyle="1" w:styleId="TOC2" w:type="paragraph">
    <w:name w:val="TOC 2"/>
    <w:basedOn w:val="Normal"/>
    <w:qFormat/>
    <w:pPr>
      <w:tabs>
        <w:tab w:leader="dot" w:pos="9014" w:val="right"/>
      </w:tabs>
      <w:spacing w:after="60" w:before="0" w:line="360" w:lineRule="auto"/>
      <w:ind w:left="340"/>
      <w:jc w:val="left"/>
    </w:pPr>
    <w:rPr>
      <w:rFonts w:ascii="Times New Roman" w:cs="Times New Roman" w:eastAsia="Times New Roman" w:hAnsi="Times New Roman"/>
      <w:b w:val="0"/>
      <w:color w:val="000000"/>
      <w:sz w:val="26"/>
    </w:rPr>
  </w:style>
  <w:style w:customStyle="1" w:styleId="TOC3" w:type="paragraph">
    <w:name w:val="TOC 3"/>
    <w:basedOn w:val="Normal"/>
    <w:qFormat/>
    <w:pPr>
      <w:tabs>
        <w:tab w:leader="dot" w:pos="9014" w:val="right"/>
      </w:tabs>
      <w:spacing w:after="60" w:before="0" w:line="360" w:lineRule="auto"/>
      <w:ind w:left="680"/>
      <w:jc w:val="left"/>
    </w:pPr>
    <w:rPr>
      <w:rFonts w:ascii="Times New Roman" w:cs="Times New Roman" w:eastAsia="Times New Roman" w:hAnsi="Times New Roman"/>
      <w:b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76" Target="media/rId76.png" /><Relationship Type="http://schemas.openxmlformats.org/officeDocument/2006/relationships/image" Id="rId99" Target="media/rId99.png" /><Relationship Type="http://schemas.openxmlformats.org/officeDocument/2006/relationships/image" Id="rId107" Target="media/rId107.png" /><Relationship Type="http://schemas.openxmlformats.org/officeDocument/2006/relationships/image" Id="rId129" Target="media/rId129.png" /><Relationship Type="http://schemas.openxmlformats.org/officeDocument/2006/relationships/image" Id="rId94" Target="media/rId94.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41" Target="media/rId141.png" /><Relationship Type="http://schemas.openxmlformats.org/officeDocument/2006/relationships/image" Id="rId148" Target="media/rId1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2026-10-26T03:20:14Z</dcterms:created>
  <dcterms:modified xsi:type="dcterms:W3CDTF">2026-10-26T03:20:14Z</dcterms:modified>
</cp:coreProperties>
</file>

<file path=docProps/custom.xml><?xml version="1.0" encoding="utf-8"?>
<Properties xmlns="http://schemas.openxmlformats.org/officeDocument/2006/custom-properties" xmlns:vt="http://schemas.openxmlformats.org/officeDocument/2006/docPropsVTypes"/>
</file>