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Analyse Comparative de la Sélection de Liens SDN CloudSim</w:t>
      </w:r>
    </w:p>
    <w:p>
      <w:pPr>
        <w:pStyle w:val="Heading1"/>
      </w:pPr>
      <w:r>
        <w:t>1. Description du Scénario de Simulation</w:t>
      </w:r>
    </w:p>
    <w:p>
      <w:r>
        <w:t>L'objectif des tests était d'évaluer l'impact des politiques de sélection de liens dans un environnement SDN présentant une topologie redondante asymétrique.</w:t>
      </w:r>
    </w:p>
    <w:p>
      <w:r>
        <w:t>- Topologie : Réseau hiérarchique (Core -&gt; Aggregation -&gt; Edge -&gt; Host).</w:t>
        <w:br/>
        <w:t>- Redondance : Deux liens physiques avec des capacités radicalement différentes (10 Mbps vs 5 Gbps).</w:t>
        <w:br/>
        <w:t>- Datasets : dataset-small et dataset-redundant.</w:t>
      </w:r>
    </w:p>
    <w:p>
      <w:pPr>
        <w:pStyle w:val="Heading1"/>
      </w:pPr>
      <w:r>
        <w:t>2. Workflow de Traitement des Workloads</w:t>
      </w:r>
    </w:p>
    <w:p>
      <w:r>
        <w:t>1. Parsing &amp; Scheduling (SDNBroker) : Chargement du CSV et tri (PSO, SJF, etc.).</w:t>
        <w:br/>
        <w:t>2. Submission au Datacenter : Calcul du délai CPU initial.</w:t>
        <w:br/>
        <w:t>3. Sélection de Lien SDN (LinkSelectionPolicy) : Routage dynamique via BwAllocN ou statique via First.</w:t>
        <w:br/>
        <w:t>4. Exécution &amp; Collecte : Simulation des délais et journalisation.</w:t>
      </w:r>
    </w:p>
    <w:p>
      <w:pPr>
        <w:pStyle w:val="Heading1"/>
      </w:pPr>
      <w:r>
        <w:t>3. Analyse de l'Impact Métrique</w:t>
      </w:r>
    </w:p>
    <w:p>
      <w:pPr>
        <w:pStyle w:val="Heading2"/>
      </w:pPr>
      <w:r>
        <w:t>A. Latence et Délai de Traitement des Paquets</w:t>
      </w:r>
    </w:p>
    <w:p>
      <w:r>
        <w:t>L'utilisation de BwAllocN permet une réduction de la latence de plus de 90%. La politique First sature les liens lents, créant une contention massive.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act_latency_histo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Comparaison de la Latence E2E par Politique</w:t>
      </w:r>
    </w:p>
    <w:p>
      <w:pPr>
        <w:pStyle w:val="Heading2"/>
      </w:pPr>
      <w:r>
        <w:t>B. Consommation d'Énergie</w:t>
      </w:r>
    </w:p>
    <w:p>
      <w:r>
        <w:t>L'énergie consommée est directement liée à la durée de la simulation. BwAllocN réduit l'énergie totale de plus de 75% en minimisant les temps de confusion.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act_energ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Impact Énergétique Global</w:t>
      </w:r>
    </w:p>
    <w:p>
      <w:pPr>
        <w:pStyle w:val="Heading2"/>
      </w:pPr>
      <w:r>
        <w:t>C. Dispersion des Délais (BoxPlot)</w:t>
      </w:r>
    </w:p>
    <w:p>
      <w:r>
        <w:t>Le graphique ci-dessous montre l'instabilité extrême du trafic avec la politique First. Les délais de paquets atteignent des ordres de grandeur imprévisibles sur l'échelle log.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act_packet_delay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Dispersion des Délais de Paquets (MFF)</w:t>
      </w:r>
    </w:p>
    <w:p>
      <w:pPr>
        <w:pStyle w:val="Heading1"/>
      </w:pPr>
      <w:r>
        <w:t>4. Conclusion</w:t>
      </w:r>
    </w:p>
    <w:p>
      <w:r>
        <w:t>La sélection de lien dynamique BwAllocN est impérative pour garantir les performances SLA dans les centres de données SDN modernes dotés de redondance.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