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Analyse Comparative et Modélisation de la Sélection de Liens SDN</w:t>
      </w:r>
    </w:p>
    <w:p>
      <w:pPr>
        <w:pStyle w:val="Heading1"/>
      </w:pPr>
      <w:r>
        <w:t>1. Fondements Théoriques et Logique de Priorité</w:t>
      </w:r>
    </w:p>
    <w:p>
      <w:r>
        <w:t>L'implémentation inclut désormais un ordonnancement basé sur la priorité utilisateur (CPU/Réseau). Le workflow suit une extraction depuis le CSV suivie d'un tri décroissant dans le SDNBroker.</w:t>
      </w:r>
    </w:p>
    <w:p>
      <w:pPr>
        <w:pStyle w:val="ListBullet"/>
      </w:pPr>
      <w:r>
        <w:t>Composantes de la latence modélisée :</w:t>
      </w:r>
    </w:p>
    <w:p>
      <w:pPr>
        <w:pStyle w:val="ListBullet2"/>
      </w:pPr>
      <w:r>
        <w:t>Dprop (Propagation) : Basé sur la distance et l'indice de réfraction.</w:t>
      </w:r>
    </w:p>
    <w:p>
      <w:pPr>
        <w:pStyle w:val="ListBullet2"/>
      </w:pPr>
      <w:r>
        <w:t>Dtrans (Transmission) : Ratio PacketSize / Bandwidth.</w:t>
      </w:r>
    </w:p>
    <w:p>
      <w:pPr>
        <w:pStyle w:val="ListBullet2"/>
      </w:pPr>
      <w:r>
        <w:t>Dqueue (Attente) : Modèle de file M/M/1 dynamique.</w:t>
      </w:r>
    </w:p>
    <w:p>
      <w:pPr>
        <w:pStyle w:val="Heading1"/>
      </w:pPr>
      <w:r>
        <w:t>2. Architecture de Simulation (Dataset-Small)</w:t>
      </w:r>
    </w:p>
    <w:p>
      <w:r>
        <w:t>Infrastructure hiérarchique comportant 6 hôtes (h_0 à h_5) et des liens redondants asymétriques (10 Mbps vs 5 Gbps), conçue pour tester la résilience des politiques de routage.</w:t>
      </w:r>
    </w:p>
    <w:p>
      <w:pPr>
        <w:pStyle w:val="Heading1"/>
      </w:pPr>
      <w:r>
        <w:t>3. Analyse par Politique d'Allocation de VM (Deep Dive)</w:t>
      </w:r>
    </w:p>
    <w:p>
      <w:pPr>
        <w:pStyle w:val="Heading2"/>
      </w:pPr>
      <w:r>
        <w:t>3.1 Politique MFF (Most Full First)</w:t>
      </w:r>
    </w:p>
    <w:p>
      <w:r>
        <w:t>Densification maximale pour l'efficience énergétique. Record à 1.11 Wh (PSO). Risque de saturation des liens d'accès si non couplé à BwAllocN.</w:t>
      </w:r>
    </w:p>
    <w:p>
      <w:pPr>
        <w:pStyle w:val="Heading2"/>
      </w:pPr>
      <w:r>
        <w:t>3.2 Politique LFF (Least Full First)</w:t>
      </w:r>
    </w:p>
    <w:p>
      <w:r>
        <w:t>Étalement de charge sur les 6 hôtes. Offre une isolation supérieure mais une consommation doublée (16.09 Wh) car tous les serveurs restent actifs.</w:t>
      </w:r>
    </w:p>
    <w:p>
      <w:pPr>
        <w:pStyle w:val="Heading2"/>
      </w:pPr>
      <w:r>
        <w:t>3.3 Politique LWFF (Least Weight Full First)</w:t>
      </w:r>
    </w:p>
    <w:p>
      <w:r>
        <w:t>Utilise l'optimisation de Pareto. C'est la politique la plus équilibrée pour les environnements multi-tenant complexes.</w:t>
      </w:r>
    </w:p>
    <w:p>
      <w:pPr>
        <w:pStyle w:val="Heading1"/>
      </w:pPr>
      <w:r>
        <w:t>4. Analyse Métrique Globale (Les 5 Figures Clés)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72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ner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2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Impact Énergétique (Densification vs Étalement)</w:t>
      </w:r>
    </w:p>
    <w:p>
      <w:r>
        <w:t>Analyse : Réduction de 75% du gaspillage énergétique avec BwAllocN due à la réduction de la durée de simulation.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7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Latence E2E (Efficacité du routage dynamique)</w:t>
      </w:r>
    </w:p>
    <w:p>
      <w:r>
        <w:t>Analyse : Amélioration de 93% de la latence en exploitant les liens haute capacité (5 Gbps).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67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Violations SLA et Priorités</w:t>
      </w:r>
    </w:p>
    <w:p>
      <w:r>
        <w:t>Analyse : La politique Priority réduit les violations de 30% à 45% pour les tâches critiques.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632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acket_de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3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4: Distribution des Délais (Stabilité du réseau)</w:t>
      </w:r>
    </w:p>
    <w:p>
      <w:r>
        <w:t>Analyse : Élimination du Jitter et du Bufferbloat grâce à la sélection de lien intelligente.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626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util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6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5: Utilisation des Ressources Physiques</w:t>
      </w:r>
    </w:p>
    <w:p>
      <w:r>
        <w:t>Analyse : Illustration de la densification énergétique (MFF) vs l'équilibrage de charge (LFF/LWFF).</w:t>
      </w:r>
    </w:p>
    <w:p/>
    <w:p>
      <w:pPr>
        <w:pStyle w:val="Heading1"/>
      </w:pPr>
      <w:r>
        <w:t>5. Synthèse Comparative des 3 Meilleures Combinaisons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Rang</w:t>
            </w:r>
          </w:p>
        </w:tc>
        <w:tc>
          <w:tcPr>
            <w:tcW w:type="dxa" w:w="2160"/>
          </w:tcPr>
          <w:p>
            <w:r>
              <w:t>Combinaison</w:t>
            </w:r>
          </w:p>
        </w:tc>
        <w:tc>
          <w:tcPr>
            <w:tcW w:type="dxa" w:w="2160"/>
          </w:tcPr>
          <w:p>
            <w:r>
              <w:t>Délai Pkt</w:t>
            </w:r>
          </w:p>
        </w:tc>
        <w:tc>
          <w:tcPr>
            <w:tcW w:type="dxa" w:w="2160"/>
          </w:tcPr>
          <w:p>
            <w:r>
              <w:t>Énergie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LWFF + BwAllocN + SJF</w:t>
            </w:r>
          </w:p>
        </w:tc>
        <w:tc>
          <w:tcPr>
            <w:tcW w:type="dxa" w:w="2160"/>
          </w:tcPr>
          <w:p>
            <w:r>
              <w:t>~6.5 s</w:t>
            </w:r>
          </w:p>
        </w:tc>
        <w:tc>
          <w:tcPr>
            <w:tcW w:type="dxa" w:w="2160"/>
          </w:tcPr>
          <w:p>
            <w:r>
              <w:t>16.09 Wh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MFF + BwAllocN + PSO</w:t>
            </w:r>
          </w:p>
        </w:tc>
        <w:tc>
          <w:tcPr>
            <w:tcW w:type="dxa" w:w="2160"/>
          </w:tcPr>
          <w:p>
            <w:r>
              <w:t>~6.7 s</w:t>
            </w:r>
          </w:p>
        </w:tc>
        <w:tc>
          <w:tcPr>
            <w:tcW w:type="dxa" w:w="2160"/>
          </w:tcPr>
          <w:p>
            <w:r>
              <w:t>1.11 Wh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MFF + BwAllocN + Priority</w:t>
            </w:r>
          </w:p>
        </w:tc>
        <w:tc>
          <w:tcPr>
            <w:tcW w:type="dxa" w:w="2160"/>
          </w:tcPr>
          <w:p>
            <w:r>
              <w:t>~6.6 s</w:t>
            </w:r>
          </w:p>
        </w:tc>
        <w:tc>
          <w:tcPr>
            <w:tcW w:type="dxa" w:w="2160"/>
          </w:tcPr>
          <w:p>
            <w:r>
              <w:t>8.89 Wh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