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1800"/>
      </w:pPr>
      <w:r>
        <w:t xml:space="preserve">Software Supply-Chain Firewall</w:t>
      </w:r>
    </w:p>
    <w:p>
      <w:pPr>
        <w:spacing w:after="120"/>
        <w:rPr>
          <w:color w:val="000000"/>
          <w:sz w:val="28"/>
          <w:szCs w:val="28"/>
        </w:rPr>
      </w:pPr>
      <w:r>
        <w:rPr>
          <w:color w:val="000000"/>
          <w:sz w:val="28"/>
          <w:szCs w:val="28"/>
        </w:rPr>
        <w:t xml:space="preserve">Capability Parity &amp; PCI DSS 4.0 Readiness Assessment</w:t>
      </w:r>
    </w:p>
    <w:p>
      <w:pPr>
        <w:spacing w:after="120"/>
        <w:rPr>
          <w:color w:val="808080"/>
          <w:sz w:val="22"/>
          <w:szCs w:val="22"/>
        </w:rPr>
      </w:pPr>
      <w:r>
        <w:rPr>
          <w:color w:val="808080"/>
          <w:sz w:val="22"/>
          <w:szCs w:val="22"/>
        </w:rPr>
        <w:t xml:space="preserve">Comparison against Sonatype, JFrog Xray and Snyk — with an honest gap analysis for audit.</w:t>
      </w:r>
    </w:p>
    <w:p>
      <w:pPr>
        <w:spacing w:before="600"/>
        <w:rPr>
          <w:color w:val="808080"/>
        </w:rPr>
      </w:pPr>
      <w:r>
        <w:rPr>
          <w:color w:val="808080"/>
        </w:rPr>
        <w:t xml:space="preserve">Prepared for: Security &amp; Governance review</w:t>
      </w:r>
    </w:p>
    <w:p>
      <w:pPr>
        <w:spacing w:after="120"/>
        <w:rPr>
          <w:color w:val="808080"/>
        </w:rPr>
      </w:pPr>
      <w:r>
        <w:rPr>
          <w:color w:val="808080"/>
        </w:rPr>
        <w:t xml:space="preserve">Classification: Confidential — Internal</w:t>
      </w:r>
    </w:p>
    <w:p>
      <w:r>
        <w:br w:type="page"/>
      </w:r>
    </w:p>
    <w:p>
      <w:pPr>
        <w:pStyle w:val="Heading1"/>
      </w:pPr>
      <w:r>
        <w:t xml:space="preserve">1. Executive summary</w:t>
      </w:r>
    </w:p>
    <w:p>
      <w:pPr>
        <w:spacing w:after="120"/>
      </w:pPr>
      <w:r>
        <w:t xml:space="preserve">PkgFirewall is an in-house software supply-chain gate that intercepts open-source packages (pip, npm, NuGet, Cargo, Go) and model weights before they reach developers, evaluating each against six intelligence sources and a signed, versioned policy. It runs in front of Nexus Repository OSS at effectively zero licensing cost.</w:t>
      </w:r>
    </w:p>
    <w:p>
      <w:pPr>
        <w:spacing w:after="120"/>
      </w:pPr>
      <w:r>
        <w:t xml:space="preserve">On detection capability it reaches functional parity with the commercial leaders and exceeds them in three areas: exploit-probability gating, coverage-aware decisions that quarantine on feed uncertainty rather than passing silently, and an AI-written audit rationale per decision. It does not replicate the vendors’ proprietary vulnerability research or their support and certification, and it has three identity/storage gaps that must close before a PCI assessment.</w:t>
      </w:r>
    </w:p>
    <w:p>
      <w:pPr>
        <w:spacing w:after="120"/>
        <w:rPr>
          <w:b/>
          <w:bCs/>
        </w:rPr>
      </w:pPr>
      <w:r>
        <w:rPr>
          <w:b/>
          <w:bCs/>
        </w:rPr>
        <w:t xml:space="preserve">Bottom line: ready to pilot in the R&amp;D zone now; three defined, non-architectural items stand between it and a clean PCI DSS 4.0 audit.</w:t>
      </w:r>
    </w:p>
    <w:p>
      <w:pPr>
        <w:pStyle w:val="Heading1"/>
      </w:pPr>
      <w:r>
        <w:t xml:space="preserve">2. Cost comparison</w:t>
      </w:r>
    </w:p>
    <w:p>
      <w:pPr>
        <w:spacing w:after="120"/>
      </w:pPr>
      <w:r>
        <w:t xml:space="preserve">Indicative annual contract values for a mid-size enterprise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Tool</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What it is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Annual cost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Sonatype Lifecycle + Repository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SCA + policy + repo, 200k+ malware DB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$60,000 - $150,000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JFrog Artifactory + Xray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Repo + binary scanning (Xray not sold standalone)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$50,000 - $130,000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Snyk Enterprise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Source-level SCA, no repository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$35,000 - $80,000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1F4E79"/>
                <w:sz w:val="18"/>
                <w:szCs w:val="18"/>
              </w:rPr>
              <w:t xml:space="preserve">PkgFirewall (this build)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Gate + 6 intel sources + queue + audit on Nexus OSS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216E4E"/>
                <w:sz w:val="18"/>
                <w:szCs w:val="18"/>
              </w:rPr>
              <w:t xml:space="preserve">~$0 licensing</w:t>
            </w:r>
          </w:p>
        </w:tc>
      </w:tr>
    </w:tbl>
    <w:p>
      <w:pPr>
        <w:spacing w:before="100"/>
        <w:rPr>
          <w:i/>
          <w:iCs/>
          <w:sz w:val="18"/>
          <w:szCs w:val="18"/>
        </w:rPr>
      </w:pPr>
      <w:r>
        <w:rPr>
          <w:i/>
          <w:iCs/>
          <w:sz w:val="18"/>
          <w:szCs w:val="18"/>
        </w:rPr>
        <w:t xml:space="preserve">Note: JFrog Xray cannot be purchased standalone — it ships only as an add-on to the Artifactory platform, which is why the cost reflects the whole platform.</w:t>
      </w:r>
    </w:p>
    <w:p>
      <w:pPr>
        <w:pStyle w:val="Heading1"/>
      </w:pPr>
      <w:r>
        <w:t xml:space="preserve">3. Feature parity matrix</w:t>
      </w:r>
    </w:p>
    <w:p>
      <w:pPr>
        <w:spacing w:after="120"/>
      </w:pPr>
      <w:r>
        <w:t xml:space="preserve">Green = capability present; amber = partial; red = absent. Read down the PkgFirewall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50"/>
        <w:gridCol w:w="1550"/>
        <w:gridCol w:w="1550"/>
        <w:gridCol w:w="1650"/>
      </w:tblGrid>
      <w:tr>
        <w:trPr>
          <w:tblHeader/>
        </w:trPr>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Capability</w:t>
            </w:r>
          </w:p>
        </w:tc>
        <w:tc>
          <w:tcPr>
            <w:tcW w:type="dxa" w:w="15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Sonatype</w:t>
            </w:r>
          </w:p>
        </w:tc>
        <w:tc>
          <w:tcPr>
            <w:tcW w:type="dxa" w:w="15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JFrog Xray</w:t>
            </w:r>
          </w:p>
        </w:tc>
        <w:tc>
          <w:tcPr>
            <w:tcW w:type="dxa" w:w="15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Snyk</w:t>
            </w:r>
          </w:p>
        </w:tc>
        <w:tc>
          <w:tcPr>
            <w:tcW w:type="dxa" w:w="16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PkgFirewall</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Multi-ecosystem SCA (CVE)</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 (5 eco)</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Transitive dependency tree</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Exploit intel (KEV / EPSS)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8A6100"/>
                <w:sz w:val="18"/>
                <w:szCs w:val="18"/>
              </w:rPr>
              <w:t xml:space="preserve">Partial</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8A6100"/>
                <w:sz w:val="18"/>
                <w:szCs w:val="18"/>
              </w:rPr>
              <w:t xml:space="preserve">Partial</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8A6100"/>
                <w:sz w:val="18"/>
                <w:szCs w:val="18"/>
              </w:rPr>
              <w:t xml:space="preserve">Partial</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Malicious-pkg / typosquat</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8A6100"/>
                <w:sz w:val="18"/>
                <w:szCs w:val="18"/>
              </w:rPr>
              <w:t xml:space="preserve">Partial</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8A6100"/>
                <w:sz w:val="18"/>
                <w:szCs w:val="18"/>
              </w:rPr>
              <w:t xml:space="preserve">Partial</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Binary / model-weight scan</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8A6100"/>
                <w:sz w:val="18"/>
                <w:szCs w:val="18"/>
              </w:rPr>
              <w:t xml:space="preserve">Partial</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A4262C"/>
                <w:sz w:val="18"/>
                <w:szCs w:val="18"/>
              </w:rPr>
              <w:t xml:space="preserve">No</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 (opcode)</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Secret detection</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Policy-as-gate + exceptions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SBOM (CycloneDX)</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Tamper-evident audit</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8A6100"/>
                <w:sz w:val="18"/>
                <w:szCs w:val="18"/>
              </w:rPr>
              <w:t xml:space="preserve">Partial</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 (hash+WORM)</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Coverage-aware / fail-closed</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A4262C"/>
                <w:sz w:val="18"/>
                <w:szCs w:val="18"/>
              </w:rPr>
              <w:t xml:space="preserve">No</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A4262C"/>
                <w:sz w:val="18"/>
                <w:szCs w:val="18"/>
              </w:rPr>
              <w:t xml:space="preserve">No</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A4262C"/>
                <w:sz w:val="18"/>
                <w:szCs w:val="18"/>
              </w:rPr>
              <w:t xml:space="preserve">No</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AI audit rationale</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A4262C"/>
                <w:sz w:val="18"/>
                <w:szCs w:val="18"/>
              </w:rPr>
              <w:t xml:space="preserve">No</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A4262C"/>
                <w:sz w:val="18"/>
                <w:szCs w:val="18"/>
              </w:rPr>
              <w:t xml:space="preserve">No</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A4262C"/>
                <w:sz w:val="18"/>
                <w:szCs w:val="18"/>
              </w:rPr>
              <w:t xml:space="preserve">No</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Durable intake queue</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n/a</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 (SQL)</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ITSM ticket integration</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 (webhook)</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Pre-NVD / zero-day timing</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8A6100"/>
                <w:sz w:val="18"/>
                <w:szCs w:val="18"/>
              </w:rPr>
              <w:t xml:space="preserve">Pluggable</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RBAC / SSO / identity</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A4262C"/>
                <w:sz w:val="18"/>
                <w:szCs w:val="18"/>
              </w:rPr>
              <w:t xml:space="preserve">No (key only)</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Vendor support / SLA</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Yes</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A4262C"/>
                <w:sz w:val="18"/>
                <w:szCs w:val="18"/>
              </w:rPr>
              <w:t xml:space="preserve">No</w:t>
            </w:r>
          </w:p>
        </w:tc>
      </w:tr>
      <w:tr>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Annual licence cost</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$60-150k</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$50-130k</w:t>
            </w:r>
          </w:p>
        </w:tc>
        <w:tc>
          <w:tcPr>
            <w:tcW w:type="dxa" w:w="1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$35-80k</w:t>
            </w:r>
          </w:p>
        </w:tc>
        <w:tc>
          <w:tcPr>
            <w:tcW w:type="dxa" w:w="16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18"/>
                <w:szCs w:val="18"/>
              </w:rPr>
              <w:t xml:space="preserve">~$0</w:t>
            </w:r>
          </w:p>
        </w:tc>
      </w:tr>
    </w:tbl>
    <w:p>
      <w:pPr>
        <w:pStyle w:val="Heading2"/>
      </w:pPr>
      <w:r>
        <w:t xml:space="preserve">3.1 Where we lead</w:t>
      </w:r>
    </w:p>
    <w:p>
      <w:pPr>
        <w:pStyle w:val="ListParagraph"/>
        <w:numPr>
          <w:ilvl w:val="0"/>
          <w:numId w:val="2"/>
        </w:numPr>
        <w:spacing w:after="60"/>
      </w:pPr>
      <w:r>
        <w:t xml:space="preserve">Coverage-aware decisions: a feed error or timeout produces Quarantine, never a silent Allow. The commercial tools do not fail-closed on source uncertainty in this way.</w:t>
      </w:r>
    </w:p>
    <w:p>
      <w:pPr>
        <w:pStyle w:val="ListParagraph"/>
        <w:numPr>
          <w:ilvl w:val="0"/>
          <w:numId w:val="2"/>
        </w:numPr>
        <w:spacing w:after="60"/>
      </w:pPr>
      <w:r>
        <w:t xml:space="preserve">Exploit-probability (EPSS) plus known-exploited (KEV) gating combined, so blocking is driven by real-world exploitability, not severity alone.</w:t>
      </w:r>
    </w:p>
    <w:p>
      <w:pPr>
        <w:pStyle w:val="ListParagraph"/>
        <w:numPr>
          <w:ilvl w:val="0"/>
          <w:numId w:val="2"/>
        </w:numPr>
        <w:spacing w:after="60"/>
      </w:pPr>
      <w:r>
        <w:t xml:space="preserve">Model-weight safety: real pickle-opcode scanning for code-execution vectors, beyond extension checks.</w:t>
      </w:r>
    </w:p>
    <w:p>
      <w:pPr>
        <w:pStyle w:val="ListParagraph"/>
        <w:numPr>
          <w:ilvl w:val="0"/>
          <w:numId w:val="2"/>
        </w:numPr>
        <w:spacing w:after="60"/>
      </w:pPr>
      <w:r>
        <w:t xml:space="preserve">AI-written audit rationale that explicitly states what was and was not verified — directly useful as audit evidence.</w:t>
      </w:r>
    </w:p>
    <w:p>
      <w:pPr>
        <w:pStyle w:val="Heading2"/>
      </w:pPr>
      <w:r>
        <w:t xml:space="preserve">3.2 Where the vendors still lead (honest)</w:t>
      </w:r>
    </w:p>
    <w:p>
      <w:pPr>
        <w:pStyle w:val="ListParagraph"/>
        <w:numPr>
          <w:ilvl w:val="0"/>
          <w:numId w:val="2"/>
        </w:numPr>
        <w:spacing w:after="60"/>
      </w:pPr>
      <w:r>
        <w:t xml:space="preserve">Pre-disclosure (zero-day) timing and proprietary analysis — NOT the historical data itself. The full curated vulnerability corpus is open and downloadable: the entire OSV database ships as bulk data dumps (gs://osv-vulnerabilities) and runs fully offline, and the GitHub Advisory Database is a public OSV-format mirror aggregating CVEs, PyPA, RustSec, GHSA and more. We can host the complete history on-prem with zero egress. What the paid vendors genuinely add is a narrower window: pre-NVD/zero-day timing (hours-to-days ahead of public feeds) and proprietary reachability/behavioural analysis. That window is the only real gap, and it is closed on demand by the pluggable paid feeds (VulnCheck, Socket) that activate on credential.</w:t>
      </w:r>
    </w:p>
    <w:p>
      <w:pPr>
        <w:pStyle w:val="ListParagraph"/>
        <w:numPr>
          <w:ilvl w:val="0"/>
          <w:numId w:val="2"/>
        </w:numPr>
        <w:spacing w:after="60"/>
      </w:pPr>
      <w:r>
        <w:t xml:space="preserve">Vendor support, SLAs, and product certification — we have none; this is an internal tool.</w:t>
      </w:r>
    </w:p>
    <w:p>
      <w:pPr>
        <w:pStyle w:val="ListParagraph"/>
        <w:numPr>
          <w:ilvl w:val="0"/>
          <w:numId w:val="2"/>
        </w:numPr>
        <w:spacing w:after="60"/>
      </w:pPr>
      <w:r>
        <w:t xml:space="preserve">Production hardening at scale and independent security testing — not yet performed.</w:t>
      </w:r>
    </w:p>
    <w:p>
      <w:pPr>
        <w:pStyle w:val="Heading2"/>
      </w:pPr>
      <w:r>
        <w:t xml:space="preserve">3.3 Vulnerability data is open — and that is an advantage for a bank</w:t>
      </w:r>
    </w:p>
    <w:p>
      <w:r>
        <w:t xml:space="preserve">An earlier framing of this assessment treated the vendors’ vulnerability data as a moat. That is incorrect and has been corrected. The authoritative historical corpus is open, complete, and mirrorable on-premises, which for a regulated bank is a control advantage, not a shortfall:</w:t>
      </w:r>
    </w:p>
    <w:p>
      <w:pPr>
        <w:pStyle w:val="ListParagraph"/>
        <w:numPr>
          <w:ilvl w:val="0"/>
          <w:numId w:val="2"/>
        </w:numPr>
        <w:spacing w:after="60"/>
      </w:pPr>
      <w:r>
        <w:t xml:space="preserve">Full OSV database available as bulk dumps and runnable fully offline — the complete history can be mirrored inside the bank perimeter with zero egress.</w:t>
      </w:r>
    </w:p>
    <w:p>
      <w:pPr>
        <w:pStyle w:val="ListParagraph"/>
        <w:numPr>
          <w:ilvl w:val="0"/>
          <w:numId w:val="2"/>
        </w:numPr>
        <w:spacing w:after="60"/>
      </w:pPr>
      <w:r>
        <w:t xml:space="preserve">GitHub Advisory Database, PyPA, RustSec, OpenSSF Malicious Packages and CISA KEV are all open, OSV-format, and cloneable — the same authoritative sources the commercial tools themselves ingest.</w:t>
      </w:r>
    </w:p>
    <w:p>
      <w:pPr>
        <w:pStyle w:val="ListParagraph"/>
        <w:numPr>
          <w:ilvl w:val="0"/>
          <w:numId w:val="2"/>
        </w:numPr>
        <w:spacing w:after="60"/>
      </w:pPr>
      <w:r>
        <w:t xml:space="preserve">An on-prem mirror means continued vulnerability detection even if external connectivity is severed — a resilience and data-residency property the SaaS-dependent tools cannot match in an air-gapped or restricted environment.</w:t>
      </w:r>
    </w:p>
    <w:p>
      <w:r>
        <w:br w:type="page"/>
      </w:r>
    </w:p>
    <w:p>
      <w:pPr>
        <w:pStyle w:val="Heading1"/>
      </w:pPr>
      <w:r>
        <w:t xml:space="preserve">4. PCI DSS 4.0 control mapping</w:t>
      </w:r>
    </w:p>
    <w:p>
      <w:pPr>
        <w:spacing w:after="120"/>
      </w:pPr>
      <w:r>
        <w:t xml:space="preserve">Mapped against the supply-chain and audit controls most relevant to this tool. Requirement 6.3.2 (component inventory used for vulnerability management) has been mandatory since 31 March 2025 and is assessed as required, not best-practice.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1400"/>
        <w:gridCol w:w="31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PCI 4.0</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Requirement (paraphrased)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Status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How PkgFirewall meets it / gap</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18"/>
                <w:szCs w:val="18"/>
              </w:rPr>
              <w:t xml:space="preserve">6.3.1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Identify &amp; risk-rank vulnerabilities from industry sources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Met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OSV/KEV/EPSS feeds; severity + EPSS ranking per finding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18"/>
                <w:szCs w:val="18"/>
              </w:rPr>
              <w:t xml:space="preserve">6.3.2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Inventory of custom + third-party components, used for vuln mgmt (mandatory 31 Mar 2025)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Met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CycloneDX SBOM endpoint from resolved tree; gate actively enforces, not a static file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18"/>
                <w:szCs w:val="18"/>
              </w:rPr>
              <w:t xml:space="preserve">6.3.3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Critical/high patches within one month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8A6100"/>
                <w:sz w:val="18"/>
                <w:szCs w:val="18"/>
              </w:rPr>
              <w:t xml:space="preserve">Partial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Detects &amp; blocks vulnerable versions; patch-SLA tracking handed to ITSM via webhook</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18"/>
                <w:szCs w:val="18"/>
              </w:rPr>
              <w:t xml:space="preserve">6.4.1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Automated vulnerability assessment (manual option removed)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Met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Fully automated gate; no manual assessment path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18"/>
                <w:szCs w:val="18"/>
              </w:rPr>
              <w:t xml:space="preserve">7.2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Role-based access, least privilege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A4262C"/>
                <w:sz w:val="18"/>
                <w:szCs w:val="18"/>
              </w:rPr>
              <w:t xml:space="preserve">Gap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Policy-write vs read exists in code; not yet mapped to RBAC roles tied to identities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18"/>
                <w:szCs w:val="18"/>
              </w:rPr>
              <w:t xml:space="preserve">8.x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Unique ID per user; strong authentication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A4262C"/>
                <w:sz w:val="18"/>
                <w:szCs w:val="18"/>
              </w:rPr>
              <w:t xml:space="preserve">Gap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Shared API key today; needs OIDC/SSO with named users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18"/>
                <w:szCs w:val="18"/>
              </w:rPr>
              <w:t xml:space="preserve">10.2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Audit trail links each action to an individual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A4262C"/>
                <w:sz w:val="18"/>
                <w:szCs w:val="18"/>
              </w:rPr>
              <w:t xml:space="preserve">Gap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Trail is complete but attributes to a key, not a person; closes with SSO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18"/>
                <w:szCs w:val="18"/>
              </w:rPr>
              <w:t xml:space="preserve">10.3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Audit trail content (what/when/who/outcome)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Met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Each entry: component, decision, controls, policy version, coverage, timestamp</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18"/>
                <w:szCs w:val="18"/>
              </w:rPr>
              <w:t xml:space="preserve">10.5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Protect audit trail from modification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8A6100"/>
                <w:sz w:val="18"/>
                <w:szCs w:val="18"/>
              </w:rPr>
              <w:t xml:space="preserve">Partial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Hash-chain is tamper-evident; needs WORM-backed storage for tamper-resistant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18"/>
                <w:szCs w:val="18"/>
              </w:rPr>
              <w:t xml:space="preserve">11.3.1.1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All vulnerabilities managed, ranked, addressed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16E4E"/>
                <w:sz w:val="18"/>
                <w:szCs w:val="18"/>
              </w:rPr>
              <w:t xml:space="preserve">Met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8"/>
                <w:szCs w:val="18"/>
              </w:rPr>
              <w:t xml:space="preserve">Every finding recorded &amp; ranked; nothing silently dropped</w:t>
            </w:r>
          </w:p>
        </w:tc>
      </w:tr>
    </w:tbl>
    <w:p>
      <w:pPr>
        <w:pStyle w:val="Heading1"/>
      </w:pPr>
      <w:r>
        <w:t xml:space="preserve">5. Gaps that would fail an audit today</w:t>
      </w:r>
    </w:p>
    <w:p>
      <w:pPr>
        <w:spacing w:after="120"/>
      </w:pPr>
      <w:r>
        <w:t xml:space="preserve">Three items, all operational rather than architectural, must close before a PCI assessment. Each is listed with the control it satisfies so it can be scoped and funded.</w:t>
      </w:r>
    </w:p>
    <w:p>
      <w:pPr>
        <w:pStyle w:val="ListParagraph"/>
        <w:numPr>
          <w:ilvl w:val="0"/>
          <w:numId w:val="3"/>
        </w:numPr>
        <w:spacing w:after="60"/>
      </w:pPr>
      <w:r>
        <w:t xml:space="preserve">Identity &amp; SSO (PCI 7, 8, 10.2): replace the shared API key with OIDC/SSO and named users so every policy change and decision attributes to an individual. Highest priority — an assessor fails accountability immediately without it.</w:t>
      </w:r>
    </w:p>
    <w:p>
      <w:pPr>
        <w:pStyle w:val="ListParagraph"/>
        <w:numPr>
          <w:ilvl w:val="0"/>
          <w:numId w:val="3"/>
        </w:numPr>
        <w:spacing w:after="60"/>
      </w:pPr>
      <w:r>
        <w:t xml:space="preserve">Immutable audit storage (PCI 10.5): the hash-chain proves tampering occurred; point the WORM sink at true immutable storage (e.g. object-lock or SIEM) so it is also tamper-resistant.</w:t>
      </w:r>
    </w:p>
    <w:p>
      <w:pPr>
        <w:pStyle w:val="ListParagraph"/>
        <w:numPr>
          <w:ilvl w:val="0"/>
          <w:numId w:val="3"/>
        </w:numPr>
        <w:spacing w:after="60"/>
      </w:pPr>
      <w:r>
        <w:t xml:space="preserve">Formal RBAC roles (PCI 7.2): map the existing policy-write vs read-only separation to named roles bound to the SSO identities.</w:t>
      </w:r>
    </w:p>
    <w:p>
      <w:pPr>
        <w:spacing w:after="120"/>
        <w:rPr>
          <w:b/>
          <w:bCs/>
        </w:rPr>
      </w:pPr>
      <w:r>
        <w:rPr>
          <w:b/>
          <w:bCs/>
        </w:rPr>
        <w:t xml:space="preserve">None require redesign. The architecture already isolates these behind interfaces and middleware; they are configuration and integration work.</w:t>
      </w:r>
    </w:p>
    <w:p>
      <w:pPr>
        <w:pStyle w:val="Heading1"/>
      </w:pPr>
      <w:r>
        <w:t xml:space="preserve">6. Accountability &amp; auditability — what already holds</w:t>
      </w:r>
    </w:p>
    <w:p>
      <w:pPr>
        <w:pStyle w:val="ListParagraph"/>
        <w:numPr>
          <w:ilvl w:val="0"/>
          <w:numId w:val="2"/>
        </w:numPr>
        <w:spacing w:after="60"/>
      </w:pPr>
      <w:r>
        <w:t xml:space="preserve">Every decision writes an append-only ledger entry stamped with the exact signed policy version that produced it.</w:t>
      </w:r>
    </w:p>
    <w:p>
      <w:pPr>
        <w:pStyle w:val="ListParagraph"/>
        <w:numPr>
          <w:ilvl w:val="0"/>
          <w:numId w:val="2"/>
        </w:numPr>
        <w:spacing w:after="60"/>
      </w:pPr>
      <w:r>
        <w:t xml:space="preserve">The ledger is hash-chained: each entry carries the hash of the prior sealed line, so any edit is detectable.</w:t>
      </w:r>
    </w:p>
    <w:p>
      <w:pPr>
        <w:pStyle w:val="ListParagraph"/>
        <w:numPr>
          <w:ilvl w:val="0"/>
          <w:numId w:val="2"/>
        </w:numPr>
        <w:spacing w:after="60"/>
      </w:pPr>
      <w:r>
        <w:t xml:space="preserve">Policy changes increment a version and are SHA-256 signed; the policy document is itself the compliance artifact, with each control mapped to a named reference.</w:t>
      </w:r>
    </w:p>
    <w:p>
      <w:pPr>
        <w:pStyle w:val="ListParagraph"/>
        <w:numPr>
          <w:ilvl w:val="0"/>
          <w:numId w:val="2"/>
        </w:numPr>
        <w:spacing w:after="60"/>
      </w:pPr>
      <w:r>
        <w:t xml:space="preserve">Coverage is recorded per decision: which sources ran, which failed and why — so an assessor sees the assessment was informed, not based on a single feed.</w:t>
      </w:r>
    </w:p>
    <w:p>
      <w:pPr>
        <w:pStyle w:val="ListParagraph"/>
        <w:numPr>
          <w:ilvl w:val="0"/>
          <w:numId w:val="2"/>
        </w:numPr>
        <w:spacing w:after="60"/>
      </w:pPr>
      <w:r>
        <w:t xml:space="preserve">Exceptions are time-boxed, attributed to a ticket, and auto-expire with a logged event; the intake queue table is itself an audit record of every package seen.</w:t>
      </w:r>
    </w:p>
    <w:p>
      <w:pPr>
        <w:pStyle w:val="Heading1"/>
      </w:pPr>
      <w:r>
        <w:t xml:space="preserve">7. Recommendation</w:t>
      </w:r>
    </w:p>
    <w:p>
      <w:pPr>
        <w:spacing w:after="120"/>
      </w:pPr>
      <w:r>
        <w:t xml:space="preserve">Approve a pilot in the R&amp;D zone immediately — the detection and audit capability stands up and in places exceeds the commercial tools. In parallel, fund the three gap items (SSO, immutable storage, RBAC) as the defined path to a production, PCI-assessable deployment. Retain the pluggable paid-feed option to close the proprietary-research gap if production risk-tiering demands it.</w:t>
      </w:r>
    </w:p>
    <w:p>
      <w:pPr>
        <w:spacing w:after="120"/>
        <w:rPr>
          <w:i/>
          <w:iCs/>
        </w:rPr>
      </w:pPr>
      <w:r>
        <w:rPr>
          <w:i/>
          <w:iCs/>
        </w:rPr>
        <w:t xml:space="preserve">Suggested claim for sign-off: “Functional parity with commercial tools on detection and audit, at zero licensing, ready to pilot, with a costed three-item path to PCI compliance.”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Confidential — Internal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1F4E79"/>
        <w:sz w:val="16"/>
        <w:szCs w:val="16"/>
      </w:rPr>
      <w:t xml:space="preserve">PkgFirewall — Capability &amp; PCI DSS 4.0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4E79"/>
      <w:sz w:val="48"/>
      <w:szCs w:val="48"/>
    </w:rPr>
  </w:style>
  <w:style w:type="paragraph" w:styleId="Heading1">
    <w:name w:val="Heading 1"/>
    <w:basedOn w:val="Normal"/>
    <w:next w:val="Normal"/>
    <w:qFormat/>
    <w:pPr>
      <w:spacing w:after="140" w:before="2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2026-06-08T20:44:33.123Z</dcterms:created>
  <dcterms:modified xsi:type="dcterms:W3CDTF">2026-06-08T20:44:33.123Z</dcterms:modified>
</cp:coreProperties>
</file>

<file path=docProps/custom.xml><?xml version="1.0" encoding="utf-8"?>
<Properties xmlns="http://schemas.openxmlformats.org/officeDocument/2006/custom-properties" xmlns:vt="http://schemas.openxmlformats.org/officeDocument/2006/docPropsVTypes"/>
</file>