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/>
        <w:ind w:right="119"/>
        <w:jc w:val="right"/>
        <w:rPr>
          <w:rFonts w:hint="default" w:eastAsia="新宋体"/>
          <w:lang w:val="en-US" w:eastAsia="zh-CN"/>
        </w:rPr>
      </w:pPr>
      <w:r>
        <w:rPr>
          <w:rFonts w:hint="eastAsia" w:ascii="新宋体" w:eastAsia="新宋体"/>
          <w:sz w:val="16"/>
        </w:rPr>
        <w:t>敬呈</w:t>
      </w:r>
      <w:r>
        <w:rPr>
          <w:rFonts w:hint="eastAsia" w:ascii="新宋体" w:eastAsia="新宋体"/>
          <w:sz w:val="16"/>
          <w:lang w:val="en-US" w:eastAsia="zh-CN"/>
        </w:rPr>
        <w:t>{{name}}{{sexName}}</w:t>
      </w:r>
      <w:r>
        <w:rPr>
          <w:rFonts w:hint="eastAsia" w:ascii="新宋体" w:eastAsia="新宋体"/>
          <w:sz w:val="16"/>
        </w:rPr>
        <w:t>阳光臻爱倍致保险</w:t>
      </w:r>
      <w:r>
        <w:rPr>
          <w:rFonts w:hint="eastAsia" w:ascii="新宋体" w:eastAsia="新宋体"/>
          <w:sz w:val="16"/>
          <w:lang w:val="en-US" w:eastAsia="zh-CN"/>
        </w:rPr>
        <w:t>计划书</w:t>
      </w:r>
    </w:p>
    <w:p>
      <w:pPr>
        <w:pStyle w:val="5"/>
        <w:spacing w:before="67"/>
        <w:ind w:left="0" w:firstLine="0"/>
        <w:rPr>
          <w:b/>
          <w:bCs/>
        </w:rPr>
      </w:pPr>
      <w:r>
        <w:rPr>
          <w:b/>
          <w:bCs/>
        </w:rPr>
        <w:t>您投保的产品</w:t>
      </w:r>
    </w:p>
    <w:p>
      <w:pPr>
        <w:spacing w:before="183"/>
        <w:ind w:left="145"/>
        <w:rPr>
          <w:rFonts w:ascii="新宋体" w:eastAsia="新宋体"/>
          <w:b/>
          <w:bCs/>
          <w:sz w:val="21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536575</wp:posOffset>
                </wp:positionH>
                <wp:positionV relativeFrom="paragraph">
                  <wp:posOffset>320675</wp:posOffset>
                </wp:positionV>
                <wp:extent cx="6483350" cy="243205"/>
                <wp:effectExtent l="0" t="0" r="8890" b="635"/>
                <wp:wrapTopAndBottom/>
                <wp:docPr id="4" name="文本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0" cy="243205"/>
                        </a:xfrm>
                        <a:prstGeom prst="rect">
                          <a:avLst/>
                        </a:prstGeom>
                        <a:solidFill>
                          <a:srgbClr val="B2E1F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3926"/>
                                <w:tab w:val="left" w:pos="5710"/>
                                <w:tab w:val="left" w:pos="6751"/>
                                <w:tab w:val="left" w:pos="7792"/>
                                <w:tab w:val="left" w:pos="8901"/>
                              </w:tabs>
                              <w:spacing w:before="79"/>
                              <w:ind w:firstLine="904" w:firstLineChars="500"/>
                              <w:rPr>
                                <w:rFonts w:ascii="新宋体" w:eastAsia="新宋体"/>
                                <w:b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产品全称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保险利益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年交保费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交费期间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保险期间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新宋体" w:eastAsia="新宋体"/>
                                <w:b/>
                                <w:bCs/>
                                <w:sz w:val="18"/>
                              </w:rPr>
                              <w:t>基本保险金额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5" o:spid="_x0000_s1026" o:spt="202" type="#_x0000_t202" style="position:absolute;left:0pt;margin-left:42.25pt;margin-top:25.25pt;height:19.15pt;width:510.5pt;mso-position-horizontal-relative:page;mso-wrap-distance-bottom:0pt;mso-wrap-distance-top:0pt;z-index:-251653120;mso-width-relative:page;mso-height-relative:page;" fillcolor="#B2E1FE" filled="t" stroked="f" coordsize="21600,21600" o:gfxdata="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+3f7fXAAAACQEAAA8AAAAAAAAAAQAgAAAAIgAAAGRycy9kb3ducmV2LnhtbFBLAQIU&#10;ABQAAAAIAIdO4kClt7wbuwEAAE8DAAAOAAAAAAAAAAEAIAAAACYBAABkcnMvZTJvRG9jLnhtbFBL&#10;BQYAAAAABgAGAFkBAABT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tabs>
                          <w:tab w:val="left" w:pos="3926"/>
                          <w:tab w:val="left" w:pos="5710"/>
                          <w:tab w:val="left" w:pos="6751"/>
                          <w:tab w:val="left" w:pos="7792"/>
                          <w:tab w:val="left" w:pos="8901"/>
                        </w:tabs>
                        <w:spacing w:before="79"/>
                        <w:ind w:firstLine="904" w:firstLineChars="500"/>
                        <w:rPr>
                          <w:rFonts w:ascii="新宋体" w:eastAsia="新宋体"/>
                          <w:b/>
                          <w:bCs/>
                          <w:sz w:val="18"/>
                        </w:rPr>
                      </w:pP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产品全称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保险利益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年交保费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ab/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交费期间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 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保险期间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新宋体" w:eastAsia="新宋体"/>
                          <w:b/>
                          <w:bCs/>
                          <w:sz w:val="18"/>
                        </w:rPr>
                        <w:t>基本保险金额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被保险人：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{{name}}{{sexName}},{{sex}}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性 ，</w:t>
      </w:r>
      <w:r>
        <w:rPr>
          <w:rFonts w:hint="eastAsia" w:ascii="新宋体" w:eastAsia="新宋体"/>
          <w:b/>
          <w:bCs/>
          <w:w w:val="105"/>
          <w:sz w:val="21"/>
          <w:szCs w:val="28"/>
          <w:lang w:val="en-US" w:eastAsia="zh-CN"/>
        </w:rPr>
        <w:t>{{age}}</w:t>
      </w:r>
      <w:r>
        <w:rPr>
          <w:rFonts w:hint="eastAsia" w:ascii="新宋体" w:eastAsia="新宋体"/>
          <w:b/>
          <w:bCs/>
          <w:w w:val="105"/>
          <w:sz w:val="21"/>
          <w:szCs w:val="28"/>
        </w:rPr>
        <w:t>周岁</w:t>
      </w:r>
    </w:p>
    <w:p>
      <w:pPr>
        <w:tabs>
          <w:tab w:val="left" w:pos="3022"/>
          <w:tab w:val="left" w:pos="5560"/>
          <w:tab w:val="left" w:pos="6961"/>
          <w:tab w:val="left" w:pos="7957"/>
          <w:tab w:val="left" w:pos="9066"/>
        </w:tabs>
        <w:spacing w:before="52"/>
        <w:ind w:right="711" w:firstLine="211" w:firstLineChars="100"/>
        <w:jc w:val="both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阳光人寿臻爱倍致终身寿险</w:t>
      </w:r>
      <w:r>
        <w:rPr>
          <w:rFonts w:hint="eastAsia" w:ascii="新宋体" w:eastAsia="新宋体"/>
          <w:b/>
          <w:bCs/>
          <w:sz w:val="21"/>
          <w:szCs w:val="28"/>
          <w:lang w:val="en-US" w:eastAsia="zh-CN"/>
        </w:rPr>
        <w:t xml:space="preserve">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身故或全残保险金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{{price}}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{{year}}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年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ab/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   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终身</w:t>
      </w: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 xml:space="preserve">     {{basePrice}}</w:t>
      </w:r>
      <w:r>
        <w:rPr>
          <w:rFonts w:hint="eastAsia" w:ascii="新宋体" w:eastAsia="新宋体"/>
          <w:b/>
          <w:bCs/>
          <w:position w:val="1"/>
          <w:sz w:val="21"/>
          <w:szCs w:val="28"/>
        </w:rPr>
        <w:t>元</w:t>
      </w:r>
    </w:p>
    <w:p>
      <w:pPr>
        <w:spacing w:before="121"/>
        <w:ind w:left="2420" w:right="2739"/>
        <w:jc w:val="center"/>
        <w:rPr>
          <w:rFonts w:ascii="新宋体" w:eastAsia="新宋体"/>
          <w:b/>
          <w:bCs/>
          <w:sz w:val="21"/>
          <w:szCs w:val="28"/>
        </w:rPr>
      </w:pPr>
      <w:r>
        <w:rPr>
          <w:rFonts w:hint="eastAsia" w:ascii="新宋体" w:eastAsia="新宋体"/>
          <w:b/>
          <w:bCs/>
          <w:sz w:val="21"/>
          <w:szCs w:val="28"/>
        </w:rPr>
        <w:t>请参阅保险合同</w:t>
      </w:r>
    </w:p>
    <w:p>
      <w:pPr>
        <w:spacing w:before="148"/>
        <w:ind w:right="479"/>
        <w:jc w:val="right"/>
        <w:rPr>
          <w:rFonts w:hint="default" w:ascii="新宋体" w:eastAsia="新宋体"/>
          <w:b/>
          <w:bCs/>
          <w:position w:val="1"/>
          <w:sz w:val="21"/>
          <w:szCs w:val="28"/>
          <w:lang w:val="en-US" w:eastAsia="zh-CN"/>
        </w:rPr>
      </w:pPr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合计保险费：{{tota</w:t>
      </w:r>
      <w:bookmarkStart w:id="0" w:name="_GoBack"/>
      <w:bookmarkEnd w:id="0"/>
      <w:r>
        <w:rPr>
          <w:rFonts w:hint="eastAsia" w:ascii="新宋体" w:eastAsia="新宋体"/>
          <w:b/>
          <w:bCs/>
          <w:position w:val="1"/>
          <w:sz w:val="21"/>
          <w:szCs w:val="28"/>
          <w:lang w:val="en-US" w:eastAsia="zh-CN"/>
        </w:rPr>
        <w:t>lPrice}}</w:t>
      </w:r>
    </w:p>
    <w:p>
      <w:pPr>
        <w:pStyle w:val="4"/>
        <w:spacing w:line="302" w:lineRule="exact"/>
        <w:ind w:left="0"/>
      </w:pPr>
      <w:r>
        <w:t>注: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line="238" w:lineRule="exact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关于保险利益，详细请参阅保险合同中的保险条款。</w:t>
      </w:r>
    </w:p>
    <w:p>
      <w:pPr>
        <w:pStyle w:val="15"/>
        <w:numPr>
          <w:ilvl w:val="0"/>
          <w:numId w:val="1"/>
        </w:numPr>
        <w:tabs>
          <w:tab w:val="left" w:pos="753"/>
        </w:tabs>
        <w:spacing w:before="107"/>
        <w:rPr>
          <w:rFonts w:ascii="新宋体" w:eastAsia="新宋体"/>
          <w:b/>
          <w:bCs/>
          <w:sz w:val="19"/>
        </w:rPr>
      </w:pPr>
      <w:r>
        <w:rPr>
          <w:rFonts w:hint="eastAsia" w:ascii="新宋体" w:eastAsia="新宋体"/>
          <w:b/>
          <w:bCs/>
          <w:w w:val="105"/>
          <w:sz w:val="19"/>
        </w:rPr>
        <w:t>本计划中的产品有责任免除，请参阅保险合同中的保险条款。</w:t>
      </w:r>
    </w:p>
    <w:p>
      <w:pPr>
        <w:pStyle w:val="9"/>
        <w:rPr>
          <w:rFonts w:ascii="新宋体"/>
          <w:sz w:val="20"/>
        </w:rPr>
      </w:pPr>
    </w:p>
    <w:p>
      <w:pPr>
        <w:pStyle w:val="9"/>
        <w:spacing w:before="6"/>
      </w:pPr>
      <w:r>
        <w:drawing>
          <wp:inline distT="0" distB="0" distL="114300" distR="114300">
            <wp:extent cx="6249670" cy="2273935"/>
            <wp:effectExtent l="0" t="0" r="1778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678180</wp:posOffset>
                </wp:positionV>
                <wp:extent cx="1828800" cy="18288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一张保单，一生呵护，从第二个保单年度起，有效保额每年按基本保额以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28"/>
                                <w:szCs w:val="28"/>
                                <w:highlight w:val="yellow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复利3.33%保证递增</w:t>
                            </w: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，为你</w:t>
                            </w:r>
                          </w:p>
                          <w:p>
                            <w:pPr>
                              <w:rPr>
                                <w:rFonts w:hint="default" w:ascii="宋体" w:hAnsi="宋体" w:eastAsia="宋体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cs="宋体"/>
                                <w:b w:val="0"/>
                                <w:bCs w:val="0"/>
                                <w:color w:val="595959" w:themeColor="text1" w:themeTint="A6"/>
                                <w:sz w:val="18"/>
                                <w:szCs w:val="18"/>
                                <w:highlight w:val="none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提供终身长久拿全保障。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.45pt;margin-top:53.4pt;height:144pt;width:144pt;mso-wrap-style:none;z-index:251664384;mso-width-relative:page;mso-height-relative:page;" filled="f" stroked="f" coordsize="21600,21600" o:gfxdata="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W8ZhNgAAAALAQAA&#10;DwAAAAAAAAABACAAAAAiAAAAZHJzL2Rvd25yZXYueG1sUEsBAhQAFAAAAAgAh07iQIVQz7EZAgAA&#10;FwQAAA4AAAAAAAAAAQAgAAAAJ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一张保单，一生呵护，从第二个保单年度起，有效保额每年按基本保额以</w:t>
                      </w:r>
                      <w:r>
                        <w:rPr>
                          <w:rFonts w:hint="eastAsia"/>
                          <w:b/>
                          <w:bCs/>
                          <w:color w:val="FF0000"/>
                          <w:sz w:val="28"/>
                          <w:szCs w:val="28"/>
                          <w:highlight w:val="yellow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复利3.33%保证递增</w:t>
                      </w: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，为你</w:t>
                      </w:r>
                    </w:p>
                    <w:p>
                      <w:pPr>
                        <w:rPr>
                          <w:rFonts w:hint="default" w:ascii="宋体" w:hAnsi="宋体" w:eastAsia="宋体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cs="宋体"/>
                          <w:b w:val="0"/>
                          <w:bCs w:val="0"/>
                          <w:color w:val="595959" w:themeColor="text1" w:themeTint="A6"/>
                          <w:sz w:val="18"/>
                          <w:szCs w:val="18"/>
                          <w:highlight w:val="none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提供终身长久拿全保障。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742950</wp:posOffset>
                </wp:positionV>
                <wp:extent cx="2910205" cy="116205"/>
                <wp:effectExtent l="12700" t="0" r="29845" b="2476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3630295"/>
                          <a:ext cx="2910205" cy="1162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65pt;margin-top:58.5pt;height:9.15pt;width:229.15pt;z-index:251662336;v-text-anchor:middle;mso-width-relative:page;mso-height-relative:page;" fillcolor="#FFFFFF [3212]" filled="t" stroked="t" coordsize="21600,21600" o:gfxdata="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lKau+2gAAAAsBAAAP&#10;AAAAAAAAAAEAIAAAACIAAABkcnMvZG93bnJldi54bWxQSwECFAAUAAAACACHTuJA/2fHIk8CAACb&#10;BAAADgAAAAAAAAABACAAAAAp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>
      <w:pPr>
        <w:pStyle w:val="4"/>
        <w:spacing w:before="66"/>
        <w:ind w:left="175"/>
      </w:pPr>
    </w:p>
    <w:p>
      <w:pPr>
        <w:pStyle w:val="4"/>
        <w:spacing w:before="66"/>
      </w:pPr>
      <w:r>
        <w:t>保险利益测算表</w:t>
      </w:r>
    </w:p>
    <w:p>
      <w:pPr>
        <w:pStyle w:val="9"/>
        <w:tabs>
          <w:tab w:val="left" w:pos="8854"/>
        </w:tabs>
        <w:spacing w:before="132" w:after="46"/>
        <w:rPr>
          <w:rFonts w:ascii="新宋体" w:eastAsia="新宋体"/>
          <w:b/>
          <w:bCs/>
        </w:rPr>
      </w:pPr>
      <w:r>
        <w:rPr>
          <w:rFonts w:hint="eastAsia" w:ascii="新宋体" w:eastAsia="新宋体"/>
        </w:rPr>
        <w:tab/>
      </w:r>
      <w:r>
        <w:rPr>
          <w:rFonts w:hint="eastAsia" w:ascii="新宋体" w:eastAsia="新宋体"/>
          <w:b/>
          <w:bCs/>
        </w:rPr>
        <w:t>单位：人民币元</w:t>
      </w:r>
    </w:p>
    <w:tbl>
      <w:tblPr>
        <w:tblStyle w:val="12"/>
        <w:tblpPr w:leftFromText="180" w:rightFromText="180" w:vertAnchor="text" w:horzAnchor="page" w:tblpX="816" w:tblpY="135"/>
        <w:tblOverlap w:val="never"/>
        <w:tblW w:w="10107" w:type="dxa"/>
        <w:tblInd w:w="0" w:type="dxa"/>
        <w:tblBorders>
          <w:top w:val="single" w:color="92CDDC" w:sz="0" w:space="0"/>
          <w:left w:val="single" w:color="92CDDC" w:sz="0" w:space="0"/>
          <w:bottom w:val="single" w:color="92CDDC" w:sz="0" w:space="0"/>
          <w:right w:val="single" w:color="92CDDC" w:sz="0" w:space="0"/>
          <w:insideH w:val="single" w:color="92CDDC" w:sz="0" w:space="0"/>
          <w:insideV w:val="single" w:color="92CDDC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0"/>
        <w:gridCol w:w="1215"/>
        <w:gridCol w:w="1335"/>
        <w:gridCol w:w="1500"/>
        <w:gridCol w:w="1453"/>
        <w:gridCol w:w="1634"/>
        <w:gridCol w:w="1490"/>
      </w:tblGrid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10107" w:type="dxa"/>
            <w:gridSpan w:val="7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4BACC6" w:fill="4BACC6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b/>
                <w:color w:val="FFFFFF"/>
                <w:sz w:val="36"/>
                <w:szCs w:val="36"/>
              </w:rPr>
            </w:pPr>
            <w:r>
              <w:rPr>
                <w:rFonts w:hint="eastAsia"/>
                <w:b/>
                <w:color w:val="FFFFFF"/>
                <w:sz w:val="36"/>
                <w:szCs w:val="36"/>
                <w:lang w:val="en-US" w:bidi="ar"/>
              </w:rPr>
              <w:t>阳光人寿臻爱倍致终身寿险利益演示</w:t>
            </w:r>
          </w:p>
        </w:tc>
      </w:tr>
      <w:tr>
        <w:tblPrEx>
          <w:tblBorders>
            <w:top w:val="single" w:color="92CDDC" w:sz="0" w:space="0"/>
            <w:left w:val="single" w:color="92CDDC" w:sz="0" w:space="0"/>
            <w:bottom w:val="single" w:color="92CDDC" w:sz="0" w:space="0"/>
            <w:right w:val="single" w:color="92CDDC" w:sz="0" w:space="0"/>
            <w:insideH w:val="single" w:color="92CDDC" w:sz="0" w:space="0"/>
            <w:insideV w:val="single" w:color="92CDDC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80" w:type="dxa"/>
            <w:tcBorders>
              <w:top w:val="single" w:color="92CDDC" w:sz="4" w:space="0"/>
              <w:left w:val="single" w:color="92CDDC" w:sz="4" w:space="0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保单年度</w:t>
            </w:r>
          </w:p>
        </w:tc>
        <w:tc>
          <w:tcPr>
            <w:tcW w:w="121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年末年龄</w:t>
            </w:r>
          </w:p>
        </w:tc>
        <w:tc>
          <w:tcPr>
            <w:tcW w:w="1335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期交保费</w:t>
            </w:r>
          </w:p>
        </w:tc>
        <w:tc>
          <w:tcPr>
            <w:tcW w:w="150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已交保费</w:t>
            </w:r>
          </w:p>
        </w:tc>
        <w:tc>
          <w:tcPr>
            <w:tcW w:w="1453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身故保险金</w:t>
            </w:r>
          </w:p>
        </w:tc>
        <w:tc>
          <w:tcPr>
            <w:tcW w:w="1634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bidi="ar"/>
              </w:rPr>
              <w:t>现金价值</w:t>
            </w:r>
          </w:p>
        </w:tc>
        <w:tc>
          <w:tcPr>
            <w:tcW w:w="1490" w:type="dxa"/>
            <w:tcBorders>
              <w:top w:val="single" w:color="92CDDC" w:sz="4" w:space="0"/>
              <w:left w:val="nil"/>
              <w:bottom w:val="single" w:color="92CDDC" w:sz="4" w:space="0"/>
              <w:right w:val="nil"/>
            </w:tcBorders>
            <w:shd w:val="clear" w:color="DAEEF3" w:fill="DAEEF3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当年单利</w:t>
            </w:r>
          </w:p>
        </w:tc>
      </w:tr>
    </w:tbl>
    <w:p>
      <w:pPr>
        <w:pStyle w:val="15"/>
        <w:tabs>
          <w:tab w:val="left" w:pos="1278"/>
          <w:tab w:val="left" w:pos="1279"/>
          <w:tab w:val="left" w:pos="2694"/>
        </w:tabs>
        <w:spacing w:before="70"/>
        <w:ind w:left="0" w:firstLine="0"/>
        <w:rPr>
          <w:sz w:val="21"/>
        </w:rPr>
      </w:pPr>
    </w:p>
    <w:sectPr>
      <w:type w:val="continuous"/>
      <w:pgSz w:w="11900" w:h="16840"/>
      <w:pgMar w:top="737" w:right="380" w:bottom="340" w:left="7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52" w:hanging="293"/>
      </w:pPr>
      <w:rPr>
        <w:rFonts w:hint="default" w:ascii="新宋体" w:hAnsi="新宋体" w:eastAsia="新宋体" w:cs="新宋体"/>
        <w:w w:val="102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66" w:hanging="293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772" w:hanging="293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778" w:hanging="293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784" w:hanging="293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790" w:hanging="293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796" w:hanging="293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7802" w:hanging="293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8808" w:hanging="293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09"/>
    <w:rsid w:val="00044509"/>
    <w:rsid w:val="000447C1"/>
    <w:rsid w:val="0018697B"/>
    <w:rsid w:val="001F192A"/>
    <w:rsid w:val="00216186"/>
    <w:rsid w:val="002D6B5F"/>
    <w:rsid w:val="002E72D0"/>
    <w:rsid w:val="003346F1"/>
    <w:rsid w:val="0034635D"/>
    <w:rsid w:val="003A778A"/>
    <w:rsid w:val="005E6B63"/>
    <w:rsid w:val="00687352"/>
    <w:rsid w:val="006878C7"/>
    <w:rsid w:val="006B3BA0"/>
    <w:rsid w:val="007A4F1B"/>
    <w:rsid w:val="009B0F2C"/>
    <w:rsid w:val="00AF7F78"/>
    <w:rsid w:val="00B040C2"/>
    <w:rsid w:val="00B053F0"/>
    <w:rsid w:val="00B81F13"/>
    <w:rsid w:val="00D86F63"/>
    <w:rsid w:val="00F670B9"/>
    <w:rsid w:val="02363016"/>
    <w:rsid w:val="0A4E0250"/>
    <w:rsid w:val="14DA39DB"/>
    <w:rsid w:val="157B32AB"/>
    <w:rsid w:val="168330FC"/>
    <w:rsid w:val="171942CC"/>
    <w:rsid w:val="17A023D5"/>
    <w:rsid w:val="180F035A"/>
    <w:rsid w:val="187E74F7"/>
    <w:rsid w:val="18A8189C"/>
    <w:rsid w:val="19741CE1"/>
    <w:rsid w:val="1A4E60EF"/>
    <w:rsid w:val="1AE211EA"/>
    <w:rsid w:val="1BF41A89"/>
    <w:rsid w:val="1C716ED9"/>
    <w:rsid w:val="1F295DAC"/>
    <w:rsid w:val="1FFE7F69"/>
    <w:rsid w:val="203B6BE1"/>
    <w:rsid w:val="21417357"/>
    <w:rsid w:val="21A37624"/>
    <w:rsid w:val="23395CE6"/>
    <w:rsid w:val="239572FB"/>
    <w:rsid w:val="27F952C7"/>
    <w:rsid w:val="28AA4C31"/>
    <w:rsid w:val="2A307A3C"/>
    <w:rsid w:val="2AD10989"/>
    <w:rsid w:val="2B726FF1"/>
    <w:rsid w:val="2CA323C0"/>
    <w:rsid w:val="3107004A"/>
    <w:rsid w:val="330E4D9B"/>
    <w:rsid w:val="3342586A"/>
    <w:rsid w:val="369303EF"/>
    <w:rsid w:val="3AC63036"/>
    <w:rsid w:val="3B7B7407"/>
    <w:rsid w:val="3BDB2733"/>
    <w:rsid w:val="3BE30068"/>
    <w:rsid w:val="3E2938C5"/>
    <w:rsid w:val="405863DF"/>
    <w:rsid w:val="44E570D3"/>
    <w:rsid w:val="45F414C5"/>
    <w:rsid w:val="45F50474"/>
    <w:rsid w:val="48713F36"/>
    <w:rsid w:val="49A41215"/>
    <w:rsid w:val="4B957AFF"/>
    <w:rsid w:val="4BC23A12"/>
    <w:rsid w:val="4E9C3CB4"/>
    <w:rsid w:val="567F44EC"/>
    <w:rsid w:val="569B45BB"/>
    <w:rsid w:val="593327DD"/>
    <w:rsid w:val="5AD44CF4"/>
    <w:rsid w:val="5B1C35BD"/>
    <w:rsid w:val="5C394B94"/>
    <w:rsid w:val="5E253658"/>
    <w:rsid w:val="5E9705A8"/>
    <w:rsid w:val="60C701CF"/>
    <w:rsid w:val="60D33DAB"/>
    <w:rsid w:val="61C24A06"/>
    <w:rsid w:val="620D1150"/>
    <w:rsid w:val="62DA2661"/>
    <w:rsid w:val="63480334"/>
    <w:rsid w:val="64CD2850"/>
    <w:rsid w:val="682529A6"/>
    <w:rsid w:val="695323DF"/>
    <w:rsid w:val="6AC654DB"/>
    <w:rsid w:val="6C0807E8"/>
    <w:rsid w:val="6D6D5586"/>
    <w:rsid w:val="6E746DB3"/>
    <w:rsid w:val="753E4BC5"/>
    <w:rsid w:val="7BFF6AA6"/>
    <w:rsid w:val="7DD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nhideWhenUsed="0" w:uiPriority="1" w:semiHidden="0" w:name="heading 6"/>
    <w:lsdException w:qFormat="1" w:unhideWhenUsed="0" w:uiPriority="1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178" w:right="2759"/>
      <w:jc w:val="center"/>
      <w:outlineLvl w:val="0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3">
    <w:name w:val="heading 2"/>
    <w:basedOn w:val="1"/>
    <w:next w:val="1"/>
    <w:qFormat/>
    <w:uiPriority w:val="1"/>
    <w:pPr>
      <w:ind w:left="1279" w:hanging="852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qFormat/>
    <w:uiPriority w:val="1"/>
    <w:pPr>
      <w:spacing w:before="1"/>
      <w:ind w:left="100"/>
      <w:outlineLvl w:val="2"/>
    </w:pPr>
    <w:rPr>
      <w:rFonts w:ascii="新宋体" w:hAnsi="新宋体" w:eastAsia="新宋体" w:cs="新宋体"/>
      <w:b/>
      <w:bCs/>
      <w:sz w:val="24"/>
      <w:szCs w:val="24"/>
    </w:rPr>
  </w:style>
  <w:style w:type="paragraph" w:styleId="5">
    <w:name w:val="heading 4"/>
    <w:basedOn w:val="1"/>
    <w:next w:val="1"/>
    <w:qFormat/>
    <w:uiPriority w:val="1"/>
    <w:pPr>
      <w:ind w:left="760" w:hanging="360"/>
      <w:outlineLvl w:val="3"/>
    </w:pPr>
    <w:rPr>
      <w:rFonts w:ascii="新宋体" w:hAnsi="新宋体" w:eastAsia="新宋体" w:cs="新宋体"/>
      <w:sz w:val="24"/>
      <w:szCs w:val="24"/>
    </w:rPr>
  </w:style>
  <w:style w:type="paragraph" w:styleId="6">
    <w:name w:val="heading 5"/>
    <w:basedOn w:val="1"/>
    <w:next w:val="1"/>
    <w:qFormat/>
    <w:uiPriority w:val="1"/>
    <w:pPr>
      <w:ind w:left="145" w:right="549" w:firstLine="450"/>
      <w:outlineLvl w:val="4"/>
    </w:pPr>
    <w:rPr>
      <w:rFonts w:ascii="新宋体" w:hAnsi="新宋体" w:eastAsia="新宋体" w:cs="新宋体"/>
    </w:rPr>
  </w:style>
  <w:style w:type="paragraph" w:styleId="7">
    <w:name w:val="heading 6"/>
    <w:basedOn w:val="1"/>
    <w:next w:val="1"/>
    <w:qFormat/>
    <w:uiPriority w:val="1"/>
    <w:pPr>
      <w:spacing w:before="60"/>
      <w:ind w:left="418"/>
      <w:outlineLvl w:val="5"/>
    </w:pPr>
    <w:rPr>
      <w:i/>
    </w:rPr>
  </w:style>
  <w:style w:type="paragraph" w:styleId="8">
    <w:name w:val="heading 7"/>
    <w:basedOn w:val="1"/>
    <w:next w:val="1"/>
    <w:qFormat/>
    <w:uiPriority w:val="1"/>
    <w:pPr>
      <w:spacing w:before="70"/>
      <w:ind w:left="1279" w:hanging="852"/>
      <w:outlineLvl w:val="6"/>
    </w:pPr>
    <w:rPr>
      <w:b/>
      <w:bCs/>
      <w:sz w:val="21"/>
      <w:szCs w:val="21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21"/>
      <w:szCs w:val="21"/>
    </w:r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customStyle="1" w:styleId="1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List Paragraph"/>
    <w:basedOn w:val="1"/>
    <w:qFormat/>
    <w:uiPriority w:val="1"/>
    <w:pPr>
      <w:ind w:left="1279" w:hanging="852"/>
    </w:pPr>
  </w:style>
  <w:style w:type="paragraph" w:customStyle="1" w:styleId="16">
    <w:name w:val="Table Paragraph"/>
    <w:basedOn w:val="1"/>
    <w:qFormat/>
    <w:uiPriority w:val="1"/>
  </w:style>
  <w:style w:type="paragraph" w:customStyle="1" w:styleId="17">
    <w:name w:val="Other|1"/>
    <w:basedOn w:val="1"/>
    <w:qFormat/>
    <w:uiPriority w:val="0"/>
    <w:pPr>
      <w:widowControl w:val="0"/>
      <w:shd w:val="clear" w:color="auto" w:fill="auto"/>
    </w:pPr>
    <w:rPr>
      <w:rFonts w:ascii="Arial" w:hAnsi="Arial" w:eastAsia="Arial" w:cs="Arial"/>
      <w:u w:val="none"/>
      <w:shd w:val="clear" w:color="auto" w:fill="auto"/>
      <w:lang w:val="zh-TW" w:eastAsia="zh-TW" w:bidi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421</Words>
  <Characters>2405</Characters>
  <Lines>20</Lines>
  <Paragraphs>5</Paragraphs>
  <TotalTime>2</TotalTime>
  <ScaleCrop>false</ScaleCrop>
  <LinksUpToDate>false</LinksUpToDate>
  <CharactersWithSpaces>2821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2019-11-18T16:16:00Z</dcterms:created>
  <dc:creator>XIaoM</dc:creator>
  <cp:lastModifiedBy>余秋</cp:lastModifiedBy>
  <dcterms:modified xsi:type="dcterms:W3CDTF">2020-09-17T15:12:13Z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2019-08-21T00:00:00Z</vt:filetime>
  </property>
  <property fmtid="{D5CDD505-2E9C-101B-9397-08002B2CF9AE}" pid="3" name="LastSaved">
    <vt:filetime>2019-08-21T00:00:00Z</vt:filetime>
  </property>
  <property fmtid="{D5CDD505-2E9C-101B-9397-08002B2CF9AE}" pid="4" name="KSOProductBuildVer">
    <vt:lpwstr>2052-11.3.0.9228</vt:lpwstr>
  </property>
</Properties>
</file>