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Rapport de Recherche Approfondi : Modélisation, Évaluation et Architecture des Systèmes Multi-Agents pour la Coordination du Trafic aux Intersections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au Changement de Paradigme dans la Simulation de Trafic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transition d'une ingénierie de développement logiciel classique vers une démarche de recherche et développement (R&amp;D) scientifique nécessite une évolution fondamentale de l'approche conceptuelle. Une simulation de trafic basique, intégrant des véhicules se déplaçant sur des routes avec des règles statiques telles que des panneaux "stop" ou des "cédez le passage", constitue une excellente preuve de concept (Proof of Concept) logicielle. Cependant, pour élever ce travail au rang de preuve de technologie (Proof of Technology) ancrée dans l'état de l'art scientifique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il est impératif de dépasser le cadre déterministe préprogrammé. L'enjeu scientifique contemporain se situe dans l'étude des systèmes multi-agents (SMA), où chaque véhicule est doté d'une autonomie décisionnelle, d'une capacité de perception locale et de protocoles de communication.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L'application rigoureuse de la démarche scientifique exige de formuler une problématique claire : comment des règles de coordination microscopiques, exécutées individuellement par des agents autonomes, engendrent-elles des phénomènes macroscopiques mesurables en termes d'efficacité, de fluidité et de sécurité? L'objectif de ce rapport exhaustif est d'analyser la littérature scientifique existante, d'extraire les algorithmes et protocoles de gestion d'intersection (allant des modèles de suivi de véhicules aux systèmes d'arbitrage par théorie des jeux), de définir un cadre expérimental robuste basé sur des méthodes stochastiques (telles que les simulations de Monte-Carlo), et de caractériser les comportements émergents visuels qui en découlent. Cette analyse exhaustive fournira les fondations théoriques nécessaires pour implémenter une simulation avancée et vérifier des hypothèses complexes.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Modélisation Cinématique et Comportementale : L'Intelligent Driver Model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qu'une simulation multi-agents acquière une validité scientifique, le mouvement longitudinal des entités ne peut reposer sur des accélérations arbitraires ou des freinages instantanés. La littérature s'accorde sur l'utilisation de modèles de suivi de véhicules (car-following models) capables de simuler de manière réaliste et mathématiquement continue la dynamique de conduite. L'Intelligent Driver Model (IDM), introduit par Treiber et Helbing en 2000, demeure le standard incontesté pour modéliser ces comportements dans des environnements mixtes, intégrant à la fois des véhicules conduits par des humains (Human-driven Vehicles - HV) et des véhicules autonomes (Connected Autonomous Vehicles - CAV).</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L'IDM transcende les approches déterministes basiques en garantissant des transitions fluides et différentiables entre les phases d'accélération en flux libre et les phases de décélération à l'approche d'un obstacle ou d'une intersection.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La force de ce modèle réside dans sa capacité à éliminer les à-coups (jerk) irréalistes, en maintenant une dérivée de l'accélération finie.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L'équation différentielle fondamentale régissant l'accélération continue </w:t>
      </w:r>
      <w:r w:rsidDel="00000000" w:rsidR="00000000" w:rsidRPr="00000000">
        <w:rPr>
          <w:rFonts w:ascii="Google Sans" w:cs="Google Sans" w:eastAsia="Google Sans" w:hAnsi="Google Sans"/>
        </w:rPr>
        <w:drawing>
          <wp:inline distB="19050" distT="19050" distL="19050" distR="19050">
            <wp:extent cx="193040" cy="254462"/>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3040" cy="254462"/>
                    </a:xfrm>
                    <a:prstGeom prst="rect"/>
                    <a:ln/>
                  </pic:spPr>
                </pic:pic>
              </a:graphicData>
            </a:graphic>
          </wp:inline>
        </w:drawing>
      </w:r>
      <w:r w:rsidDel="00000000" w:rsidR="00000000" w:rsidRPr="00000000">
        <w:rPr>
          <w:rFonts w:ascii="Google Sans" w:cs="Google Sans" w:eastAsia="Google Sans" w:hAnsi="Google Sans"/>
          <w:rtl w:val="0"/>
        </w:rPr>
        <w:t xml:space="preserve"> d'un véhicule </w:t>
      </w:r>
      <w:r w:rsidDel="00000000" w:rsidR="00000000" w:rsidRPr="00000000">
        <w:rPr>
          <w:rFonts w:ascii="Google Sans" w:cs="Google Sans" w:eastAsia="Google Sans" w:hAnsi="Google Sans"/>
        </w:rPr>
        <w:drawing>
          <wp:inline distB="19050" distT="19050" distL="19050" distR="19050">
            <wp:extent cx="126206" cy="261427"/>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26206" cy="261427"/>
                    </a:xfrm>
                    <a:prstGeom prst="rect"/>
                    <a:ln/>
                  </pic:spPr>
                </pic:pic>
              </a:graphicData>
            </a:graphic>
          </wp:inline>
        </w:drawing>
      </w:r>
      <w:r w:rsidDel="00000000" w:rsidR="00000000" w:rsidRPr="00000000">
        <w:rPr>
          <w:rFonts w:ascii="Google Sans" w:cs="Google Sans" w:eastAsia="Google Sans" w:hAnsi="Google Sans"/>
          <w:rtl w:val="0"/>
        </w:rPr>
        <w:t xml:space="preserve"> s'exprime ainsi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162041"/>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05500" cy="16204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Dans cette formulation, </w:t>
      </w:r>
      <w:r w:rsidDel="00000000" w:rsidR="00000000" w:rsidRPr="00000000">
        <w:rPr>
          <w:rFonts w:ascii="Google Sans" w:cs="Google Sans" w:eastAsia="Google Sans" w:hAnsi="Google Sans"/>
        </w:rPr>
        <w:drawing>
          <wp:inline distB="19050" distT="19050" distL="19050" distR="19050">
            <wp:extent cx="103663" cy="25052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03663" cy="250520"/>
                    </a:xfrm>
                    <a:prstGeom prst="rect"/>
                    <a:ln/>
                  </pic:spPr>
                </pic:pic>
              </a:graphicData>
            </a:graphic>
          </wp:inline>
        </w:drawing>
      </w:r>
      <w:r w:rsidDel="00000000" w:rsidR="00000000" w:rsidRPr="00000000">
        <w:rPr>
          <w:rFonts w:ascii="Google Sans" w:cs="Google Sans" w:eastAsia="Google Sans" w:hAnsi="Google Sans"/>
          <w:rtl w:val="0"/>
        </w:rPr>
        <w:t xml:space="preserve"> représente l'accélération maximale confortable, </w:t>
      </w:r>
      <w:r w:rsidDel="00000000" w:rsidR="00000000" w:rsidRPr="00000000">
        <w:rPr>
          <w:rFonts w:ascii="Google Sans" w:cs="Google Sans" w:eastAsia="Google Sans" w:hAnsi="Google Sans"/>
        </w:rPr>
        <w:drawing>
          <wp:inline distB="19050" distT="19050" distL="19050" distR="19050">
            <wp:extent cx="193040" cy="254462"/>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3040" cy="254462"/>
                    </a:xfrm>
                    <a:prstGeom prst="rect"/>
                    <a:ln/>
                  </pic:spPr>
                </pic:pic>
              </a:graphicData>
            </a:graphic>
          </wp:inline>
        </w:drawing>
      </w:r>
      <w:r w:rsidDel="00000000" w:rsidR="00000000" w:rsidRPr="00000000">
        <w:rPr>
          <w:rFonts w:ascii="Google Sans" w:cs="Google Sans" w:eastAsia="Google Sans" w:hAnsi="Google Sans"/>
          <w:rtl w:val="0"/>
        </w:rPr>
        <w:t xml:space="preserve"> indique la vitesse instantanée, </w:t>
      </w:r>
      <w:r w:rsidDel="00000000" w:rsidR="00000000" w:rsidRPr="00000000">
        <w:rPr>
          <w:rFonts w:ascii="Google Sans" w:cs="Google Sans" w:eastAsia="Google Sans" w:hAnsi="Google Sans"/>
        </w:rPr>
        <w:drawing>
          <wp:inline distB="19050" distT="19050" distL="19050" distR="19050">
            <wp:extent cx="152876" cy="220821"/>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52876" cy="220821"/>
                    </a:xfrm>
                    <a:prstGeom prst="rect"/>
                    <a:ln/>
                  </pic:spPr>
                </pic:pic>
              </a:graphicData>
            </a:graphic>
          </wp:inline>
        </w:drawing>
      </w:r>
      <w:r w:rsidDel="00000000" w:rsidR="00000000" w:rsidRPr="00000000">
        <w:rPr>
          <w:rFonts w:ascii="Google Sans" w:cs="Google Sans" w:eastAsia="Google Sans" w:hAnsi="Google Sans"/>
          <w:rtl w:val="0"/>
        </w:rPr>
        <w:t xml:space="preserve"> correspond à la vitesse désirée en condition de flux libre, et </w:t>
      </w:r>
      <w:r w:rsidDel="00000000" w:rsidR="00000000" w:rsidRPr="00000000">
        <w:rPr>
          <w:rFonts w:ascii="Google Sans" w:cs="Google Sans" w:eastAsia="Google Sans" w:hAnsi="Google Sans"/>
        </w:rPr>
        <w:drawing>
          <wp:inline distB="19050" distT="19050" distL="19050" distR="19050">
            <wp:extent cx="94456" cy="249021"/>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94456" cy="249021"/>
                    </a:xfrm>
                    <a:prstGeom prst="rect"/>
                    <a:ln/>
                  </pic:spPr>
                </pic:pic>
              </a:graphicData>
            </a:graphic>
          </wp:inline>
        </w:drawing>
      </w:r>
      <w:r w:rsidDel="00000000" w:rsidR="00000000" w:rsidRPr="00000000">
        <w:rPr>
          <w:rFonts w:ascii="Google Sans" w:cs="Google Sans" w:eastAsia="Google Sans" w:hAnsi="Google Sans"/>
          <w:rtl w:val="0"/>
        </w:rPr>
        <w:t xml:space="preserve"> est l'exposant d'accélération qui module la douceur avec laquelle le véhicule atteint sa vitesse de croisière.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L'élément adaptatif central du modèle est la distance de sécurité désirée </w:t>
      </w:r>
      <w:r w:rsidDel="00000000" w:rsidR="00000000" w:rsidRPr="00000000">
        <w:rPr>
          <w:rFonts w:ascii="Google Sans" w:cs="Google Sans" w:eastAsia="Google Sans" w:hAnsi="Google Sans"/>
        </w:rPr>
        <w:drawing>
          <wp:inline distB="19050" distT="19050" distL="19050" distR="19050">
            <wp:extent cx="170338" cy="246991"/>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70338" cy="246991"/>
                    </a:xfrm>
                    <a:prstGeom prst="rect"/>
                    <a:ln/>
                  </pic:spPr>
                </pic:pic>
              </a:graphicData>
            </a:graphic>
          </wp:inline>
        </w:drawing>
      </w:r>
      <w:r w:rsidDel="00000000" w:rsidR="00000000" w:rsidRPr="00000000">
        <w:rPr>
          <w:rFonts w:ascii="Google Sans" w:cs="Google Sans" w:eastAsia="Google Sans" w:hAnsi="Google Sans"/>
          <w:rtl w:val="0"/>
        </w:rPr>
        <w:t xml:space="preserve">, qui évolue dynamiquement en fonction de la vitesse actuelle et du différentiel de vitesse </w:t>
      </w:r>
      <w:r w:rsidDel="00000000" w:rsidR="00000000" w:rsidRPr="00000000">
        <w:rPr>
          <w:rFonts w:ascii="Google Sans" w:cs="Google Sans" w:eastAsia="Google Sans" w:hAnsi="Google Sans"/>
        </w:rPr>
        <w:drawing>
          <wp:inline distB="19050" distT="19050" distL="19050" distR="19050">
            <wp:extent cx="356235" cy="251971"/>
            <wp:effectExtent b="0" l="0" r="0" t="0"/>
            <wp:docPr id="1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56235" cy="251971"/>
                    </a:xfrm>
                    <a:prstGeom prst="rect"/>
                    <a:ln/>
                  </pic:spPr>
                </pic:pic>
              </a:graphicData>
            </a:graphic>
          </wp:inline>
        </w:drawing>
      </w:r>
      <w:r w:rsidDel="00000000" w:rsidR="00000000" w:rsidRPr="00000000">
        <w:rPr>
          <w:rFonts w:ascii="Google Sans" w:cs="Google Sans" w:eastAsia="Google Sans" w:hAnsi="Google Sans"/>
          <w:rtl w:val="0"/>
        </w:rPr>
        <w:t xml:space="preserve"> avec le véhicule ou l'obstacle qui précède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96177"/>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05500" cy="69617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 paramètres de cette sous-fonction incluent </w:t>
      </w:r>
      <w:r w:rsidDel="00000000" w:rsidR="00000000" w:rsidRPr="00000000">
        <w:rPr>
          <w:rFonts w:ascii="Google Sans" w:cs="Google Sans" w:eastAsia="Google Sans" w:hAnsi="Google Sans"/>
        </w:rPr>
        <w:drawing>
          <wp:inline distB="19050" distT="19050" distL="19050" distR="19050">
            <wp:extent cx="170338" cy="246991"/>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170338" cy="246991"/>
                    </a:xfrm>
                    <a:prstGeom prst="rect"/>
                    <a:ln/>
                  </pic:spPr>
                </pic:pic>
              </a:graphicData>
            </a:graphic>
          </wp:inline>
        </w:drawing>
      </w:r>
      <w:r w:rsidDel="00000000" w:rsidR="00000000" w:rsidRPr="00000000">
        <w:rPr>
          <w:rFonts w:ascii="Google Sans" w:cs="Google Sans" w:eastAsia="Google Sans" w:hAnsi="Google Sans"/>
          <w:rtl w:val="0"/>
        </w:rPr>
        <w:t xml:space="preserve">, la distance d'arrêt minimale (jam distance), </w:t>
      </w:r>
      <w:r w:rsidDel="00000000" w:rsidR="00000000" w:rsidRPr="00000000">
        <w:rPr>
          <w:rFonts w:ascii="Google Sans" w:cs="Google Sans" w:eastAsia="Google Sans" w:hAnsi="Google Sans"/>
        </w:rPr>
        <w:drawing>
          <wp:inline distB="19050" distT="19050" distL="19050" distR="19050">
            <wp:extent cx="141605" cy="256660"/>
            <wp:effectExtent b="0" l="0" r="0" t="0"/>
            <wp:docPr id="2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41605" cy="256660"/>
                    </a:xfrm>
                    <a:prstGeom prst="rect"/>
                    <a:ln/>
                  </pic:spPr>
                </pic:pic>
              </a:graphicData>
            </a:graphic>
          </wp:inline>
        </w:drawing>
      </w:r>
      <w:r w:rsidDel="00000000" w:rsidR="00000000" w:rsidRPr="00000000">
        <w:rPr>
          <w:rFonts w:ascii="Google Sans" w:cs="Google Sans" w:eastAsia="Google Sans" w:hAnsi="Google Sans"/>
          <w:rtl w:val="0"/>
        </w:rPr>
        <w:t xml:space="preserve">, l'intervalle temporel inter-véhiculaire de sécurité (time headway), et </w:t>
      </w:r>
      <w:r w:rsidDel="00000000" w:rsidR="00000000" w:rsidRPr="00000000">
        <w:rPr>
          <w:rFonts w:ascii="Google Sans" w:cs="Google Sans" w:eastAsia="Google Sans" w:hAnsi="Google Sans"/>
        </w:rPr>
        <w:drawing>
          <wp:inline distB="19050" distT="19050" distL="19050" distR="19050">
            <wp:extent cx="83979" cy="243539"/>
            <wp:effectExtent b="0" l="0" r="0" t="0"/>
            <wp:docPr id="27"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83979" cy="243539"/>
                    </a:xfrm>
                    <a:prstGeom prst="rect"/>
                    <a:ln/>
                  </pic:spPr>
                </pic:pic>
              </a:graphicData>
            </a:graphic>
          </wp:inline>
        </w:drawing>
      </w:r>
      <w:r w:rsidDel="00000000" w:rsidR="00000000" w:rsidRPr="00000000">
        <w:rPr>
          <w:rFonts w:ascii="Google Sans" w:cs="Google Sans" w:eastAsia="Google Sans" w:hAnsi="Google Sans"/>
          <w:rtl w:val="0"/>
        </w:rPr>
        <w:t xml:space="preserve">, la décélération confortable maximale.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L'analyse approfondie de ce modèle révèle une propriété essentielle pour la simulation de trafic : la stabilité de la chaîne (string stability). Cette caractéristique prévient l'amplification des ondes de choc fantômes, un phénomène où un léger freinage du premier véhicule provoque un arrêt complet plusieurs kilomètres en amont.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Dans le contexte spécifique d'une simulation d'intersection pour la recherche, l'IDM joue un rôle crucial en tant que contrôleur de bas niveau. Lorsqu'un agent autonome se voit refuser l'accès à une intersection par un protocole de négociation de plus haut niveau, la ligne d'arrêt virtuelle de l'intersection agit mathématiquement comme un véhicule stationnaire (vitesse nulle) positionné à la coordonnée de la ligne.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L'IDM génère alors automatiquement une courbe de décélération asymptotiquement sûre, permettant à l'agent de s'arrêter exactement à la ligne sans nécessiter d'instructions de freinage explicites de la part du programmeur. Bien que l'IDM soit déterministe, des recherches récentes suggèrent d'introduire une variabilité stochastique dans ses paramètres (par exemple, en modifiant aléatoirement le temps de réaction </w:t>
      </w:r>
      <w:r w:rsidDel="00000000" w:rsidR="00000000" w:rsidRPr="00000000">
        <w:rPr>
          <w:rFonts w:ascii="Google Sans" w:cs="Google Sans" w:eastAsia="Google Sans" w:hAnsi="Google Sans"/>
        </w:rPr>
        <w:drawing>
          <wp:inline distB="19050" distT="19050" distL="19050" distR="19050">
            <wp:extent cx="141605" cy="256660"/>
            <wp:effectExtent b="0" l="0" r="0" t="0"/>
            <wp:docPr id="2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41605" cy="256660"/>
                    </a:xfrm>
                    <a:prstGeom prst="rect"/>
                    <a:ln/>
                  </pic:spPr>
                </pic:pic>
              </a:graphicData>
            </a:graphic>
          </wp:inline>
        </w:drawing>
      </w:r>
      <w:r w:rsidDel="00000000" w:rsidR="00000000" w:rsidRPr="00000000">
        <w:rPr>
          <w:rFonts w:ascii="Google Sans" w:cs="Google Sans" w:eastAsia="Google Sans" w:hAnsi="Google Sans"/>
          <w:rtl w:val="0"/>
        </w:rPr>
        <w:t xml:space="preserve"> selon une distribution gaussienne) pour simuler l'hétérogénéité des conducteurs humains face aux agents autonomes.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Mécanismes de Gestion d'Intersection : De la Centralisation à la Décentralisation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Une fois le modèle de mouvement de base établi, la dimension de recherche exige d'implémenter et de comparer différents algorithmes de résolution de conflits spatio-temporels. L'état de l'art divise ces approches en trois paradigmes distincts : centralisé, décentralisé pair-à-pair, et géométrique continu.</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Gestion Autonome par Réservation Centralisée (AIM)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concept fondateur de la gestion moderne des intersections autonomes est le système AIM (Autonomous Intersection Management), formalisé par Kurt Dresner et Peter Stone. Leurs recherches partent du postulat que les feux de signalisation traditionnels, optimisés pour le temps de réaction visuel et cognitif humain, constituent le principal goulot d'étranglement de l'efficacité routière urbaine.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Le protocole AIM transfère la responsabilité de la coordination à un agent centralisé, l'Intersection Manager (IM), qui agit comme un arbitre omniscient.</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Lorsqu'un agent véhicule approche de la zone de communication de l'intersection, il initie une négociation en transmettant un message de requête. Ce message encapsule ses vecteurs d'état complets : vitesse actuelle, accélération, dimensions physiques du véhicule, heure d'arrivée estimée à la ligne d'arrêt, et trajectoire prévue à travers le carrefour.</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Le gestionnaire d'intersection discrétise l'espace interne du carrefour en une grille matricielle de cellules ou tuiles (tiles) spatio-temporelles. En employant une politique stricte de "Premier Arrivé, Premier Servi" (First-Come-First-Served - FCFS), le gestionnaire simule virtuellement la trajectoire requise.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Si aucune des cellules matricielles requises n'est réservée par un autre agent durant la fenêtre temporelle spécifiée, la requête est approuvée et confirmée au véhicule, qui s'engage alors à maintenir son profil cinématique. Dans l'éventualité d'un chevauchement spatio-temporel, la requête est rejetée. Le véhicule doit alors utiliser son contrôleur IDM pour ralentir tout en soumettant itérativement de nouvelles requêtes modifiées jusqu'à l'obtention d'une clairance.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 données empiriques issues de ces travaux démontrent que le protocole AIM engendre des améliorations spectaculaires, réduisant les temps d'attente à des valeurs proches de zéro sous des densités de trafic modérées, et permettant à des véhicules de se croiser à haute vitesse avec des marges d'erreur minimales.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Le système prévoit également des extensions pour gérer des priorités asymétriques, notamment en modifiant la grille de réservation pour accorder un accès inconditionnel aux véhicules d'urgence (ambulances, pompiers), forçant les autres agents à avorter leurs manœuvres.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Toutefois, l'analyse critique de cette architecture centralisée soulève deux problèmes majeurs : elle crée un point de défaillance unique (single point of failure) particulièrement vulnérable aux cyberattaques, et elle requiert le déploiement d'une infrastructure physique onéreuse au niveau de chaque carrefour, rendant son adoption irréaliste pour les petites intersections ou les zones rurales.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Protocole Pair-à-Pair pour les Intersections Non Gérées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pallier les contraintes infrastructurelles de l'AIM, VanMiddlesworth, Dresner et Stone ont développé un mécanisme de contrôle purement décentralisé, détaillé dans leur publication séminale "Replacing the Stop Sign: Unmanaged Intersection Control for Autonomous Vehicles".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Cette approche substitue l'arbitre central par une négociation directe en pair-à-pair (P2P) via des réseaux sans fil ad-hoc (VANETs), exploitant le paradigme de l'intelligence distribuée.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protocole repose sur la diffusion asynchrone (broadcast) de messages, éliminant le besoin de poignées de main (handshakes) complexes ou d'acquittements bilatéraux qui pourraient saturer la bande passante. La modélisation comportementale de l'agent véhicule sous ce protocole se décompose en trois phases d'état strictement séquentielles : la phase d'observation (Lurking), la phase de réservation (Making a reservation ou Claiming), et la phase de traversée (Traversal).</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Lorsqu'un agent pénètre dans le rayon de communication de l'intersection (environ 200 mètres), il entre dans l'état de </w:t>
      </w:r>
      <w:r w:rsidDel="00000000" w:rsidR="00000000" w:rsidRPr="00000000">
        <w:rPr>
          <w:rFonts w:ascii="Google Sans" w:cs="Google Sans" w:eastAsia="Google Sans" w:hAnsi="Google Sans"/>
          <w:i w:val="1"/>
          <w:iCs w:val="1"/>
          <w:rtl w:val="0"/>
        </w:rPr>
        <w:t xml:space="preserve">Lurking</w:t>
      </w:r>
      <w:r w:rsidDel="00000000" w:rsidR="00000000" w:rsidRPr="00000000">
        <w:rPr>
          <w:rFonts w:ascii="Google Sans" w:cs="Google Sans" w:eastAsia="Google Sans" w:hAnsi="Google Sans"/>
          <w:rtl w:val="0"/>
        </w:rPr>
        <w:t xml:space="preserve">. Durant cette phase critique, le véhicule agit en mode furtif : il ne transmet aucune donnée mais agrège continuellement les messages diffusés par ses pairs pour construire une représentation mentale exhaustive de l'état de l'intersection.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Cette période de latence intentionnelle prévient l'effondrement du réseau par tempête de diffusion (broadcast storm) et garantit que l'agent ne formule pas de revendications basées sur des informations obsolètes.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Une fois la distance d'engagement seuil atteinte, l'agent transite vers l'état de </w:t>
      </w:r>
      <w:r w:rsidDel="00000000" w:rsidR="00000000" w:rsidRPr="00000000">
        <w:rPr>
          <w:rFonts w:ascii="Google Sans" w:cs="Google Sans" w:eastAsia="Google Sans" w:hAnsi="Google Sans"/>
          <w:i w:val="1"/>
          <w:iCs w:val="1"/>
          <w:rtl w:val="0"/>
        </w:rPr>
        <w:t xml:space="preserve">Claiming</w:t>
      </w:r>
      <w:r w:rsidDel="00000000" w:rsidR="00000000" w:rsidRPr="00000000">
        <w:rPr>
          <w:rFonts w:ascii="Google Sans" w:cs="Google Sans" w:eastAsia="Google Sans" w:hAnsi="Google Sans"/>
          <w:rtl w:val="0"/>
        </w:rPr>
        <w:t xml:space="preserve">. Il émet alors répétitivement un message de type Claim. Ce paquet de données annonce publiquement la volonté de l'agent d'occuper un sous-espace de l'intersection. La structure formelle du message Claim inclut l'identifiant unique du véhicule (VIN), un identifiant de message incrémenté uniquement lors d'un changement d'intention, un indicateur booléen stipulant si le véhicule a marqué un arrêt complet à la ligne, l'index absolu de la voie d'origine, et la direction de la manœuvre (gauche, droite, tout droit).</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L'absence d'autorité centrale impose à chaque agent d'exécuter localement un algorithme de résolution de conflits déterministe en comparant son propre Claim à la matrice des Claims reçus. La littérature stipule que cette comparaison doit s'opérer selon une hiérarchie stricte de règles de dominance pour éviter les blocages (deadlocks) </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Priorité Temporelle :</w:t>
      </w:r>
      <w:r w:rsidDel="00000000" w:rsidR="00000000" w:rsidRPr="00000000">
        <w:rPr>
          <w:rFonts w:ascii="Google Sans" w:cs="Google Sans" w:eastAsia="Google Sans" w:hAnsi="Google Sans"/>
          <w:rtl w:val="0"/>
        </w:rPr>
        <w:t xml:space="preserve"> Si les véhicules en conflit sont tous deux en mouvement (l'indicateur d'arrêt est faux), le véhicule prévoyant de libérer l'intersection (exit time) le plus tôt acquiert la priorité absolue.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Priorité Spatiale (Droite) :</w:t>
      </w:r>
      <w:r w:rsidDel="00000000" w:rsidR="00000000" w:rsidRPr="00000000">
        <w:rPr>
          <w:rFonts w:ascii="Google Sans" w:cs="Google Sans" w:eastAsia="Google Sans" w:hAnsi="Google Sans"/>
          <w:rtl w:val="0"/>
        </w:rPr>
        <w:t xml:space="preserve"> Si les véhicules conflictuels ont tous deux marqué l'arrêt complet (indicateur d'arrêt vrai), le système mime le code de la route humain en accordant la priorité au véhicule situé géométriquement sur la droite.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Priorité de Manœuvre :</w:t>
      </w:r>
      <w:r w:rsidDel="00000000" w:rsidR="00000000" w:rsidRPr="00000000">
        <w:rPr>
          <w:rFonts w:ascii="Google Sans" w:cs="Google Sans" w:eastAsia="Google Sans" w:hAnsi="Google Sans"/>
          <w:rtl w:val="0"/>
        </w:rPr>
        <w:t xml:space="preserve"> Si la règle de la droite s'avère inapplicable (en cas d'impasse cyclique où quatre véhicules arrivent simultanément), le véhicule dont la trajectoire est rectiligne a la priorité sur les véhicules effectuant un virage.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Priorité Asymétrique Arbitraire :</w:t>
      </w:r>
      <w:r w:rsidDel="00000000" w:rsidR="00000000" w:rsidRPr="00000000">
        <w:rPr>
          <w:rFonts w:ascii="Google Sans" w:cs="Google Sans" w:eastAsia="Google Sans" w:hAnsi="Google Sans"/>
          <w:rtl w:val="0"/>
        </w:rPr>
        <w:t xml:space="preserve"> En ultime recours, si toutes les symétries persistent, le véhicule possédant le Numéro d'Identification (VIN) le plus bas l'emporte de facto, brisant ainsi le cycle.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 l'algorithme local de l'agent conclut que son propre Claim est dominé par celui d'un pair, il doit invalider son intention, utiliser son contrôleur IDM pour initier un freinage d'urgence, et diffuser un message de type Cancel pour informer le réseau de sa reddition.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Cette négociation locale hautement réactive permet des temps d'attente virtuellement nuls à faible densité. Cependant, les recherches indiquent que lorsque le flux dépasse environ 0.35 véhicules par seconde, la fréquence des conflits contraint les véhicules à s'arrêter systématiquement, rétrogradant le comportement global du système à celui d'un carrefour classique à quatre panneaux stop (four-way stop).</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Évitement Réciproque de Collision (ORCA) et Navigation Continue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les scénarios où l'intersection n'est pas strictement canalisée par des voies (par exemple, de vastes esplanades ou des espaces partagés), les approches basées sur des files d'attente se révèlent inadaptées. La littérature recommande l'intégration d'algorithmes géométriques continus, dont le plus abouti est l'Optimal Reciprocal Collision Avoidance (ORCA).</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ORCA est une méthode décentralisée qui modélise chaque agent comme une entité spatiale (un disque) opérant dans un espace de vélocité bidimensionnel. Au lieu de planifier des trajectoires absolues, ORCA calcule de manière réactive un "Obstacle de Vélocité" (Velocity Obstacle - VO) pour chaque paire d'agents risquant une collision.</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La singularité conceptuelle d'ORCA repose sur son axiome de réciprocité : l'algorithme garantit mathématiquement l'évitement de collision en supposant que l'autre agent va également modifier sa vitesse de manière coopérative. Ainsi, chaque agent ne prend en charge que la moitié de la responsabilité de l'évitement.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D'un point de vue calculatoire, cette approche réduit le problème d'évitement à la résolution d'un programme linéaire de basse dimension. Chaque agent détermine un demi-plan de vitesses sécurisées par rapport à chaque obstacle mobile. L'agent sélectionne ensuite le vecteur de vitesse optimal—celui qui se rapproche le plus de sa vitesse désirée initiale—qui se situe à l'intersection géométrique de tous les demi-plans de sécurité générés par ses pairs.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Les expérimentations démontrent qu'ORCA possède une scalabilité exceptionnelle, capable de résoudre les interactions de milliers d'agents en quelques millisecondes (par exemple, 8 ms pour 5000 agents), tout en générant des comportements d'évitement très fluides et esthétiques.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Bien qu'initialement conçu pour la foule ou la robotique holonome, des extensions récentes adaptent les principes d'ORCA aux contraintes cinématiques non holonomes des véhicules routiers, offrant une piste de recherche prometteuse pour les intersections ouvertes.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Peloton Virtuel (Virtual Platooning) et Coordination Spatio-temporelle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Une approche alternative, visant à maximiser l'efficacité des intersections multi-voies tout en conservant une structure décentralisée, est la technique du peloton virtuel (Virtual Platooning), largement explorée par Medina et ses collaborateurs.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Le "platooning" traditionnel implique des véhicules roulant en file indienne très rapprochée sur une même voie. Le "Virtual Platooning" étend ce concept en projetant mathématiquement la position, la vitesse et l'accélération de véhicules provenant de multiples voies physiques distinctes sur une ligne unidimensionnelle fictive (la voie virtuelle) traversant l'intersection.</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Cette projection spatio-temporelle permet de traiter un problème géométrique complexe en 2D comme un simple problème de suivi de véhicule en 1D. En cartographiant les distances jusqu'aux points de conflits géométriques, l'algorithme détermine si l'espacement virtuel entre les entités respecte les marges critiques de sécurité.</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Lorsqu'un chevauchement est anticipé sur la ligne de projection, l'algorithme établit dynamiquement des paires de meneur-suiveur (leader-follower) entre des véhicules qui évoluent pourtant sur des routes orthogonales.</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véhicule assigné au rôle de "suiveur" adapte alors son profil de vitesse via son contrôleur longitudinal IDM, non pas pour suivre le véhicule physiquement devant lui, mais pour maintenir une distance virtuelle sécuritaire avec son "meneur" assigné sur une autre voie.</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Cette synchronisation subtile permet aux véhicules de s'entrelacer à haute vitesse, créant un effet de fermeture éclair (zipping effect) particulièrement fluide, sans jamais nécessiter d'arrêt total.</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Cette méthode requiert néanmoins une puissance de calcul embarquée significative pour actualiser en temps réel la matrice de projection spatio-temporelle.</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Planification Avancée : Algorithmes Multi-Agent Path Finding (MAPF)</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L'implémentation d'une dimension de recherche nécessite souvent de comparer des approches réactives (comme P2P ou ORCA) avec des méthodes de planification préalable strictes, catégorisées sous le terme Multi-Agent Path Finding (MAPF). Le problème MAPF classique cherche à acheminer de multiples agents de leur point de départ à leur destination en minimisant une fonction de coût (souvent le temps total de trajet, ou makespan) sans aucune collision.</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tableau ci-dessous résume les familles d'algorithmes MAPF identifiées dans l'état de l'art, fournissant une taxonomie claire pour d'éventuelles implémentations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Algorithme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Paradigme de Recherche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Résolution de Conflits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Qualité de la 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Prioritized Planning (PP)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Découplée Séquentielle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L'agent de priorité inférieure évite l'agent supérieur (traité comme obstacle dynamique).</w:t>
            </w:r>
            <w:r w:rsidDel="00000000" w:rsidR="00000000" w:rsidRPr="00000000">
              <w:rPr>
                <w:rFonts w:ascii="Google Sans" w:cs="Google Sans" w:eastAsia="Google Sans" w:hAnsi="Google Sans"/>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Sous-optimale, rapide. Très sensible à l'ordre initial.</w:t>
            </w:r>
            <w:r w:rsidDel="00000000" w:rsidR="00000000" w:rsidRPr="00000000">
              <w:rPr>
                <w:rFonts w:ascii="Google Sans" w:cs="Google Sans" w:eastAsia="Google Sans" w:hAnsi="Google Sans"/>
                <w:sz w:val="24"/>
                <w:szCs w:val="24"/>
                <w:vertAlign w:val="superscript"/>
                <w:rtl w:val="0"/>
              </w:rPr>
              <w:t xml:space="preserve">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Priority-Based Search (PBS)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Recherche Arborescente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Explore l'espace des ordres de priorité partiels. Crée des branches de recherche lors d'un conflit.</w:t>
            </w:r>
            <w:r w:rsidDel="00000000" w:rsidR="00000000" w:rsidRPr="00000000">
              <w:rPr>
                <w:rFonts w:ascii="Google Sans" w:cs="Google Sans" w:eastAsia="Google Sans" w:hAnsi="Google Sans"/>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Quasi-optimale. Succès massif (600 agents &lt; 1 min).</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Conflict-Based Search (CBS)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Arbre de Contraintes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Ajoute des contraintes de localisation spatio-temporelle au lieu de relations d'agents.</w:t>
            </w:r>
            <w:r w:rsidDel="00000000" w:rsidR="00000000" w:rsidRPr="00000000">
              <w:rPr>
                <w:rFonts w:ascii="Google Sans" w:cs="Google Sans" w:eastAsia="Google Sans" w:hAnsi="Google Sans"/>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Optimale, mais coût computationnel très élevé.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Token Passing (TP)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Séquentiel par Jeton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L'agent possédant le jeton choisit sa tâche et réserve son chemin spatio-temporel complet.</w:t>
            </w:r>
            <w:r w:rsidDel="00000000" w:rsidR="00000000" w:rsidRPr="00000000">
              <w:rPr>
                <w:rFonts w:ascii="Google Sans" w:cs="Google Sans" w:eastAsia="Google Sans" w:hAnsi="Google Sans"/>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Incomplète mais extrêmement rapide pour les environnements de type entrepôt.</w:t>
            </w:r>
            <w:r w:rsidDel="00000000" w:rsidR="00000000" w:rsidRPr="00000000">
              <w:rPr>
                <w:rFonts w:ascii="Google Sans" w:cs="Google Sans" w:eastAsia="Google Sans" w:hAnsi="Google Sans"/>
                <w:sz w:val="24"/>
                <w:szCs w:val="24"/>
                <w:vertAlign w:val="superscript"/>
                <w:rtl w:val="0"/>
              </w:rPr>
              <w:t xml:space="preserve">43</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comparaison entre la planification basée sur une priorité fixe (Fixed Priority) et la négociation dynamique révèle une dichotomie importante. Dans un système à priorité fixe (analogue à un réseau avec voies principales et secondaires absolues), si l'agent prioritaire prend une décision sous-optimale ou est bloqué, l'ensemble du système subit une dégradation exponentielle, forçant les agents subordonnés à exécuter des recherches exhaustives pour contourner le problème.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Les recherches montrent que de nombreuses configurations d'intersections symétriques ne sont tout simplement pas résolubles avec un ordre de priorité fixe, conduisant invariablement à des situations d'étreinte fatale (deadlock).</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C'est pourquoi des variantes asynchrones, telles que l'algorithme </w:t>
      </w:r>
      <w:r w:rsidDel="00000000" w:rsidR="00000000" w:rsidRPr="00000000">
        <w:rPr>
          <w:rFonts w:ascii="Google Sans" w:cs="Google Sans" w:eastAsia="Google Sans" w:hAnsi="Google Sans"/>
          <w:i w:val="1"/>
          <w:iCs w:val="1"/>
          <w:rtl w:val="0"/>
        </w:rPr>
        <w:t xml:space="preserve">Asynchronous Weak-Commitment</w:t>
      </w:r>
      <w:r w:rsidDel="00000000" w:rsidR="00000000" w:rsidRPr="00000000">
        <w:rPr>
          <w:rFonts w:ascii="Google Sans" w:cs="Google Sans" w:eastAsia="Google Sans" w:hAnsi="Google Sans"/>
          <w:rtl w:val="0"/>
        </w:rPr>
        <w:t xml:space="preserve"> (AWC), introduisent des priorités dynamiques. Dans AWC, tous les agents initient la simulation avec une priorité équivalente. Cependant, lorsqu'un agent rencontre une impasse et est forcé de faire marche arrière algorithmiquement (backtrack), il incrémente dynamiquement sa valeur de priorité, forçant les autres agents à s'adapter à lui lors des itérations suivantes.</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L'intégration de telles heuristiques dans une simulation confère aux véhicules une capacité d'apprentissage adaptatif, rapprochant le système des dynamiques de trafic réelles.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Théorie des Jeux et Apprentissage par Renforcement Multi-Agents (MARL)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pousser la dimension de recherche vers les frontières actuelles de l'intelligence artificielle, l'intégration de la théorie des jeux et de l'apprentissage par renforcement s'impose. La coordination aux intersections est intrinsèquement un jeu à somme non nulle, où chaque agent cherche à minimiser son propre délai (comportement égoïste) tout en cherchant à éviter une collision catastrophique (intérêt commun).</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théorie des jeux formalise les protocoles de négociation sous forme de processus de marchandage (bargaining). Un protocole de négociation définit l'espace des mouvements valides, tel que la concession monotone, où l'utilité désirée par un agent doit obligatoirement décroître au fil des échanges pour garantir la convergence.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Toutefois, l'application stricte des équilibres de Nash aux environnements cinématiques est complexe en raison des contraintes temps-réel critiques.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C'est pourquoi la conception de mécanismes (mechanism design) assistée par l'intelligence artificielle devient prééminente, utilisant des algorithmes pour définir les incitations qui guideront les agents égoïstes vers un optimum social.</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L'approche contemporaine la plus prometteuse réside dans l'Apprentissage par Renforcement Multi-Agents (MARL). Les algorithmes MARL modernes s'appuient fréquemment sur le paradigme CTDE (Centralized Training, Decentralized Execution).</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Durant la phase d'entraînement, le système dispose d'un accès complet et omniscient aux fonctions de récompense, aux observations de tous les agents et à l'état global de l'intersection, ce qui permet d'accélérer la convergence et d'éviter les optimums locaux.</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Une fois déployés dans la simulation, les agents exécutent leurs politiques (policies) de manière strictement décentralisée, ne se basant que sur leurs capteurs locaux et les communications P2P à courte portée.</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garantir que ces algorithmes respectent les normes de sécurité absolues des intersections, la littérature récente, telle que les travaux sur le MACPO (Multi-Agent Constrained Policy Optimization), formalise le contrôle d'intersection comme un Jeu de Markov sous Contrainte (Constrained Markov Game - CMG).</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MACPO restreint l'espace d'exploration des agents (la région de confiance mesurée par la divergence de Kullback-Leibler) pour s'assurer que les mises à jour de la politique d'apprentissage n'induisent jamais d'actions violant les règles de sécurité physiques.</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Les expérimentations démontrent que cette hybridation d'apprentissage profond et de contraintes déterministes réduit les temps de calcul de manière exponentielle par rapport aux méthodes de programmation linéaire mixte (MIP), tout en affichant un taux de collision nul, une prouesse inaccessible pour le RL classique non conscient de la sécurité.</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L'implémentation de modèles de base de MARL ou l'intégration d'agents pilotés par de Grands Modèles de Langage (LLMs) pour le raisonnement stratégique représente un axe de recherche majeur pour simuler des comportements quasi-humains de négociation.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Cadre Expérimental et Méthodologie d'Analyse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Afin d'ancrer le projet dans une rigueur scientifique absolue, le simulateur développé doit transcender son statut d'outil de visualisation pour devenir un banc d'essai quantitatif (testbed). La méthodologie consiste à exécuter le code en mode silencieux (headless) des milliers de fois (méthode de Monte-Carlo) en injectant de la variabilité stochastique dans les paramètres initiaux pour évaluer la robustesse des algorithmes.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Formulation des Hypothèses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L'hypothèse centrale de recherche peut s'énoncer comme suit : </w:t>
      </w:r>
      <w:r w:rsidDel="00000000" w:rsidR="00000000" w:rsidRPr="00000000">
        <w:rPr>
          <w:rFonts w:ascii="Google Sans" w:cs="Google Sans" w:eastAsia="Google Sans" w:hAnsi="Google Sans"/>
          <w:i w:val="1"/>
          <w:iCs w:val="1"/>
          <w:rtl w:val="0"/>
        </w:rPr>
        <w:t xml:space="preserve">La performance relative d'un protocole de coordination décentralisée (P2P) par rapport à une approche à priorité fixe (Feux ou Priorités de Voies) présente un point d'inflexion corrélé à la densité du flux de trafic.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théorie sous-jacente prédit que la négociation P2P décentralisée est asymptotiquement optimale à faible densité, car elle élimine les attentes inutiles imposées par les feux ou les stops fixes.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Cependant, à mesure que le réseau approche de sa capacité maximale, l'explosion combinatoire des conflits, associée à l'overhead des communications (et aux pertes de paquets potentielles), sature le processus de résolution. L'hypothèse postule qu'au-delà d'un seuil critique (historiquement identifié autour de 0.35 véhicules/seconde/voie), le rendement de la négociation P2P s'effondre pour s'assimiler à celui d'un arrêt à quatre voies (four-way stop), rendant la coordination par priorité fixe paradoxalement supérieure.</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Métriques d'Évaluation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Pour valider cette hypothèse, la collecte de métriques spécifiques, reconnues par les institutions de standardisation des transports, est indispensable. Le tableau suivant présente les indicateurs clés à extraire lors de chaque itération de la simulation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Indicateur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Définition Mathématique / Conceptuelle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Objectif d'Évaluation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Throughput (Débit)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flux </w:t>
            </w:r>
            <w:r w:rsidDel="00000000" w:rsidR="00000000" w:rsidRPr="00000000">
              <w:rPr>
                <w:rFonts w:ascii="Google Sans" w:cs="Google Sans" w:eastAsia="Google Sans" w:hAnsi="Google Sans"/>
              </w:rPr>
              <w:drawing>
                <wp:inline distB="19050" distT="19050" distL="19050" distR="19050">
                  <wp:extent cx="868363" cy="219198"/>
                  <wp:effectExtent b="0" l="0" r="0" t="0"/>
                  <wp:docPr id="29"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868363" cy="219198"/>
                          </a:xfrm>
                          <a:prstGeom prst="rect"/>
                          <a:ln/>
                        </pic:spPr>
                      </pic:pic>
                    </a:graphicData>
                  </a:graphic>
                </wp:inline>
              </w:drawing>
            </w:r>
            <w:r w:rsidDel="00000000" w:rsidR="00000000" w:rsidRPr="00000000">
              <w:rPr>
                <w:rFonts w:ascii="Google Sans" w:cs="Google Sans" w:eastAsia="Google Sans" w:hAnsi="Google Sans"/>
                <w:rtl w:val="0"/>
              </w:rPr>
              <w:t xml:space="preserve">, où </w:t>
            </w:r>
            <w:r w:rsidDel="00000000" w:rsidR="00000000" w:rsidRPr="00000000">
              <w:rPr>
                <w:rFonts w:ascii="Google Sans" w:cs="Google Sans" w:eastAsia="Google Sans" w:hAnsi="Google Sans"/>
              </w:rPr>
              <w:drawing>
                <wp:inline distB="19050" distT="19050" distL="19050" distR="19050">
                  <wp:extent cx="157639" cy="215716"/>
                  <wp:effectExtent b="0" l="0" r="0" t="0"/>
                  <wp:docPr id="3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57639" cy="215716"/>
                          </a:xfrm>
                          <a:prstGeom prst="rect"/>
                          <a:ln/>
                        </pic:spPr>
                      </pic:pic>
                    </a:graphicData>
                  </a:graphic>
                </wp:inline>
              </w:drawing>
            </w:r>
            <w:r w:rsidDel="00000000" w:rsidR="00000000" w:rsidRPr="00000000">
              <w:rPr>
                <w:rFonts w:ascii="Google Sans" w:cs="Google Sans" w:eastAsia="Google Sans" w:hAnsi="Google Sans"/>
                <w:rtl w:val="0"/>
              </w:rPr>
              <w:t xml:space="preserve"> est le nombre total de véhicules ayant quitté l'intersection avec succès durant la fenêtre temporelle </w:t>
            </w:r>
            <w:r w:rsidDel="00000000" w:rsidR="00000000" w:rsidRPr="00000000">
              <w:rPr>
                <w:rFonts w:ascii="Google Sans" w:cs="Google Sans" w:eastAsia="Google Sans" w:hAnsi="Google Sans"/>
              </w:rPr>
              <w:drawing>
                <wp:inline distB="19050" distT="19050" distL="19050" distR="19050">
                  <wp:extent cx="268922" cy="225548"/>
                  <wp:effectExtent b="0" l="0" r="0" t="0"/>
                  <wp:docPr id="31"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268922" cy="225548"/>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Mesurer la capacité globale de traitement de l'algorithme sous contrainte de densité maximale.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Delay (Temps d'attente)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différence temporelle </w:t>
            </w:r>
            <w:r w:rsidDel="00000000" w:rsidR="00000000" w:rsidRPr="00000000">
              <w:rPr>
                <w:rFonts w:ascii="Google Sans" w:cs="Google Sans" w:eastAsia="Google Sans" w:hAnsi="Google Sans"/>
              </w:rPr>
              <w:drawing>
                <wp:inline distB="19050" distT="19050" distL="19050" distR="19050">
                  <wp:extent cx="1532734" cy="218962"/>
                  <wp:effectExtent b="0" l="0" r="0" t="0"/>
                  <wp:docPr id="32"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1532734" cy="218962"/>
                          </a:xfrm>
                          <a:prstGeom prst="rect"/>
                          <a:ln/>
                        </pic:spPr>
                      </pic:pic>
                    </a:graphicData>
                  </a:graphic>
                </wp:inline>
              </w:drawing>
            </w:r>
            <w:r w:rsidDel="00000000" w:rsidR="00000000" w:rsidRPr="00000000">
              <w:rPr>
                <w:rFonts w:ascii="Google Sans" w:cs="Google Sans" w:eastAsia="Google Sans" w:hAnsi="Google Sans"/>
                <w:rtl w:val="0"/>
              </w:rPr>
              <w:t xml:space="preserve">, où </w:t>
            </w:r>
            <w:r w:rsidDel="00000000" w:rsidR="00000000" w:rsidRPr="00000000">
              <w:rPr>
                <w:rFonts w:ascii="Google Sans" w:cs="Google Sans" w:eastAsia="Google Sans" w:hAnsi="Google Sans"/>
              </w:rPr>
              <w:drawing>
                <wp:inline distB="19050" distT="19050" distL="19050" distR="19050">
                  <wp:extent cx="314008" cy="220654"/>
                  <wp:effectExtent b="0" l="0" r="0" t="0"/>
                  <wp:docPr id="33"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314008" cy="220654"/>
                          </a:xfrm>
                          <a:prstGeom prst="rect"/>
                          <a:ln/>
                        </pic:spPr>
                      </pic:pic>
                    </a:graphicData>
                  </a:graphic>
                </wp:inline>
              </w:drawing>
            </w:r>
            <w:r w:rsidDel="00000000" w:rsidR="00000000" w:rsidRPr="00000000">
              <w:rPr>
                <w:rFonts w:ascii="Google Sans" w:cs="Google Sans" w:eastAsia="Google Sans" w:hAnsi="Google Sans"/>
                <w:rtl w:val="0"/>
              </w:rPr>
              <w:t xml:space="preserve"> est le temps de traversée théorique si l'agent naviguait seul à sa vitesse désirée </w:t>
            </w:r>
            <w:r w:rsidDel="00000000" w:rsidR="00000000" w:rsidRPr="00000000">
              <w:rPr>
                <w:rFonts w:ascii="Google Sans" w:cs="Google Sans" w:eastAsia="Google Sans" w:hAnsi="Google Sans"/>
              </w:rPr>
              <w:drawing>
                <wp:inline distB="19050" distT="19050" distL="19050" distR="19050">
                  <wp:extent cx="152876" cy="220821"/>
                  <wp:effectExtent b="0" l="0" r="0" t="0"/>
                  <wp:docPr id="3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52876" cy="220821"/>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Évaluer la pénalité imposée par la stratégie de coordination sur la performance individuelle.</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Jerk Accumulé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L'intégrale temporelle de la dérivée de l'accélération </w:t>
            </w:r>
            <w:r w:rsidDel="00000000" w:rsidR="00000000" w:rsidRPr="00000000">
              <w:rPr>
                <w:rFonts w:ascii="Google Sans" w:cs="Google Sans" w:eastAsia="Google Sans" w:hAnsi="Google Sans"/>
              </w:rPr>
              <w:drawing>
                <wp:inline distB="19050" distT="19050" distL="19050" distR="19050">
                  <wp:extent cx="990438" cy="220097"/>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90438" cy="220097"/>
                          </a:xfrm>
                          <a:prstGeom prst="rect"/>
                          <a:ln/>
                        </pic:spPr>
                      </pic:pic>
                    </a:graphicData>
                  </a:graphic>
                </wp:inline>
              </w:drawing>
            </w:r>
            <w:r w:rsidDel="00000000" w:rsidR="00000000" w:rsidRPr="00000000">
              <w:rPr>
                <w:rFonts w:ascii="Google Sans" w:cs="Google Sans" w:eastAsia="Google Sans" w:hAnsi="Google Sans"/>
                <w:rtl w:val="0"/>
              </w:rPr>
              <w:t xml:space="preserve"> sur la durée du trajet.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Quantifier la rudesse des transitions de vitesse, servant de proxy pour le confort passager et la consommation de carburant.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Time-to-Collision (TTC)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temps restant avant l'impact si deux véhicules maintiennent leur cap et vitesse actuels.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Servir de métrique de sécurité primaire ; un TTC inférieur à 1.5s est considéré comme un incident critique.</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Post-Encroachment Time (PET)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L'écart temporel entre le départ du premier véhicule d'une zone de conflit et l'entrée du second véhicule dans cette même zone géométrique.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Évaluer la sécurité de manière plus robuste que le taux de collision, en mesurant la marge de sécurité (near-misses). L'objectif est de minimiser les violations de PET sans créer de collisions.</w:t>
            </w:r>
            <w:r w:rsidDel="00000000" w:rsidR="00000000" w:rsidRPr="00000000">
              <w:rPr>
                <w:rFonts w:ascii="Google Sans" w:cs="Google Sans" w:eastAsia="Google Sans" w:hAnsi="Google Sans"/>
                <w:sz w:val="24"/>
                <w:szCs w:val="24"/>
                <w:vertAlign w:val="superscript"/>
                <w:rtl w:val="0"/>
              </w:rPr>
              <w:t xml:space="preserve">13</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dispositif expérimental doit manipuler systématiquement les variables indépendantes : la proportion de pénétration de chaque type d'algorithme (par exemple, 100% de Priorité Fixe, puis 100% P2P VanMiddlesworth), ainsi que la densité d'injection du trafic, variant de 0.05 v/s (fluide) à 0.8 v/s (saturé).</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Les résultats, agrégés sous forme de tableaux ou de DataFrames, permettront de générer des courbes d'efficacité (Delay vs. Traffic Level) prouvant statistiquement les mérites de chaque approche.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Phénoménologie et Comportements Émergents Visuels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Outre l'analyse statistique, l'implémentation de la dimension de recherche doit se manifester par l'observation de comportements émergents—des motifs spatio-temporels qui se forment spontanément à l'écran sans avoir été explicitement programmés, résultant uniquement de l'interaction microscopique des agents.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premier comportement notable est l'</w:t>
      </w:r>
      <w:r w:rsidDel="00000000" w:rsidR="00000000" w:rsidRPr="00000000">
        <w:rPr>
          <w:rFonts w:ascii="Google Sans" w:cs="Google Sans" w:eastAsia="Google Sans" w:hAnsi="Google Sans"/>
          <w:b w:val="1"/>
          <w:bCs w:val="1"/>
          <w:rtl w:val="0"/>
        </w:rPr>
        <w:t xml:space="preserve">effet d'accordéon dynamique</w:t>
      </w:r>
      <w:r w:rsidDel="00000000" w:rsidR="00000000" w:rsidRPr="00000000">
        <w:rPr>
          <w:rFonts w:ascii="Google Sans" w:cs="Google Sans" w:eastAsia="Google Sans" w:hAnsi="Google Sans"/>
          <w:rtl w:val="0"/>
        </w:rPr>
        <w:t xml:space="preserve">. Dans un environnement implémentant le protocole P2P combiné à l'Intelligent Driver Model (IDM), lorsqu'une chaîne de véhicules approche de l'intersection et que le leader se voit refuser la priorité, son IDM initie une décélération progressive. L'onde de freinage se propage aux suiveurs de manière fluide. Contrairement aux modèles déterministes basiques, si la voie se libère brusquement, le leader réaccélère avant même d'avoir atteint l'arrêt complet. Visuellement, la colonne de véhicules se contracte puis se dilate de manière organique, démontrant la stabilité de la chaîne (string stability) de l'IDM.</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second comportement est l'effet de </w:t>
      </w:r>
      <w:r w:rsidDel="00000000" w:rsidR="00000000" w:rsidRPr="00000000">
        <w:rPr>
          <w:rFonts w:ascii="Google Sans" w:cs="Google Sans" w:eastAsia="Google Sans" w:hAnsi="Google Sans"/>
          <w:b w:val="1"/>
          <w:bCs w:val="1"/>
          <w:rtl w:val="0"/>
        </w:rPr>
        <w:t xml:space="preserve">fermeture éclair (Zipping Effect)</w:t>
      </w:r>
      <w:r w:rsidDel="00000000" w:rsidR="00000000" w:rsidRPr="00000000">
        <w:rPr>
          <w:rFonts w:ascii="Google Sans" w:cs="Google Sans" w:eastAsia="Google Sans" w:hAnsi="Google Sans"/>
          <w:rtl w:val="0"/>
        </w:rPr>
        <w:t xml:space="preserve">. Hautement visible avec des approches de Virtual Platooning ou d'AIM, ce phénomène survient sous de fortes densités avec des algorithmes hautement performants. Les véhicules des flux perpendiculaires s'entrelacent à vitesse quasi constante, traversant le point de conflit avec des marges d'erreur infimes, créant une chorégraphie d'évitement fluide qui serait totalement impossible (et terrifiante) pour des conducteurs humains.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Dans le cas de l'algorithme ORCA, cet entrelacement prend la forme de magnifiques spirales convergentes et divergentes au centre géométrique du carrefour.</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Enfin, il est crucial de chercher à reproduire le </w:t>
      </w:r>
      <w:r w:rsidDel="00000000" w:rsidR="00000000" w:rsidRPr="00000000">
        <w:rPr>
          <w:rFonts w:ascii="Google Sans" w:cs="Google Sans" w:eastAsia="Google Sans" w:hAnsi="Google Sans"/>
          <w:b w:val="1"/>
          <w:bCs w:val="1"/>
          <w:rtl w:val="0"/>
        </w:rPr>
        <w:t xml:space="preserve">Paradoxe de Braess</w:t>
      </w:r>
      <w:r w:rsidDel="00000000" w:rsidR="00000000" w:rsidRPr="00000000">
        <w:rPr>
          <w:rFonts w:ascii="Google Sans" w:cs="Google Sans" w:eastAsia="Google Sans" w:hAnsi="Google Sans"/>
          <w:rtl w:val="0"/>
        </w:rPr>
        <w:t xml:space="preserve"> et les impasses de rendement (gridlocks). Le Paradoxe de Braess stipule qu'une augmentation théorique de la capacité de flux (par exemple, en permettant aux véhicules de négocier librement au lieu d'obéir à un feu) peut paradoxalement réduire la performance globale du réseau. Lors des simulations à forte densité avec le protocole P2P, l'observateur verra les véhicules hésiter, avancer par à-coups, et finalement s'arrêter massivement à la ligne d'intersection (mimant un four-way stop) en raison de la constante invalidation mutuelle de leurs revendications de priorité.</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L'observation de ce comportement dégradé, suivi de la quantification de ce phénomène par les métriques (Delay), constitue la quintessence de l'expérimentation scientifique dans ce projet.</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Détaillé pour l'Agent d'Implémentation Architecturale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Afin de traduire l'ensemble de ces concepts théoriques, mathématiques et méthodologiques en un code fonctionnel, modulaire et aligné avec les exigences de la recherche, le prompt suivant a été rédigé. Il est conçu pour être transmis à un assistant IA chargé du développement, agissant comme un cahier des charges technique ultra-spécifique.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Agis en tant qu'Ingénieur Chercheur Principal spécialisé en Systèmes Multi-Agents (SMA), Simulation de Trafic et Intelligence Artificielle. Je possède actuellement une preuve de concept (PoC) logicielle basique simulant un carrefour 2D avec des véhicules cinématiques, des voies et des points d'apparition/disparition. Mon objectif est d'élever ce projet au statut de Preuve de Technologie (PoT) scientifique, répondant aux exigences strictes de la recherche académique en comparant statistiquement des stratégies décentralisées et centralisées de résolution de conflits spatio-temporels.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Ton rôle exclusif est de rédiger l'architecture logicielle complète, le code algorithmique structuré (de préférence en Python orienté objet) et la boucle d'expérimentation stochastique, en t'appuyant rigoureusement sur les concepts de l'état de l'art détaillés ci-dessous. Tu ne dois fournir aucune interface graphique (GUI) dans ton code ; le système doit être conçu pour une exécution en mode </w:t>
      </w:r>
      <w:r w:rsidDel="00000000" w:rsidR="00000000" w:rsidRPr="00000000">
        <w:rPr>
          <w:rFonts w:ascii="Google Sans" w:cs="Google Sans" w:eastAsia="Google Sans" w:hAnsi="Google Sans"/>
          <w:i w:val="1"/>
          <w:iCs w:val="1"/>
          <w:rtl w:val="0"/>
        </w:rPr>
        <w:t xml:space="preserve">headless</w:t>
      </w:r>
      <w:r w:rsidDel="00000000" w:rsidR="00000000" w:rsidRPr="00000000">
        <w:rPr>
          <w:rFonts w:ascii="Google Sans" w:cs="Google Sans" w:eastAsia="Google Sans" w:hAnsi="Google Sans"/>
          <w:rtl w:val="0"/>
        </w:rPr>
        <w:t xml:space="preserve"> pour le traitement par lots (batch processing).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Voici le cahier des charges algorithmique à implémenter de manière séquentielle et modulaire :</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Modélisation Longitudinale : Intelligent Driver Model (IDM)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Remplace toute logique d'accélération arbitraire par le modèle IDM de Treiber et Helbing.</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 :</w:t>
      </w:r>
      <w:r w:rsidDel="00000000" w:rsidR="00000000" w:rsidRPr="00000000">
        <w:rPr>
          <w:rFonts w:ascii="Google Sans" w:cs="Google Sans" w:eastAsia="Google Sans" w:hAnsi="Google Sans"/>
          <w:rtl w:val="0"/>
        </w:rPr>
        <w:t xml:space="preserve"> Crée un module CarFollowingModel intégrant la classe IDMController.</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Équations à coder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55470" cy="278321"/>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855470" cy="2783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367439" cy="463378"/>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367439" cy="46337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Paramètres par défaut :</w:t>
      </w:r>
      <w:r w:rsidDel="00000000" w:rsidR="00000000" w:rsidRPr="00000000">
        <w:rPr>
          <w:rFonts w:ascii="Google Sans" w:cs="Google Sans" w:eastAsia="Google Sans" w:hAnsi="Google Sans"/>
          <w:rtl w:val="0"/>
        </w:rPr>
        <w:t xml:space="preserve"> Vitesse libre </w:t>
      </w:r>
      <w:r w:rsidDel="00000000" w:rsidR="00000000" w:rsidRPr="00000000">
        <w:rPr>
          <w:rFonts w:ascii="Google Sans" w:cs="Google Sans" w:eastAsia="Google Sans" w:hAnsi="Google Sans"/>
        </w:rPr>
        <w:drawing>
          <wp:inline distB="19050" distT="19050" distL="19050" distR="19050">
            <wp:extent cx="782955" cy="246801"/>
            <wp:effectExtent b="0" l="0" r="0" t="0"/>
            <wp:docPr id="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782955" cy="246801"/>
                    </a:xfrm>
                    <a:prstGeom prst="rect"/>
                    <a:ln/>
                  </pic:spPr>
                </pic:pic>
              </a:graphicData>
            </a:graphic>
          </wp:inline>
        </w:drawing>
      </w:r>
      <w:r w:rsidDel="00000000" w:rsidR="00000000" w:rsidRPr="00000000">
        <w:rPr>
          <w:rFonts w:ascii="Google Sans" w:cs="Google Sans" w:eastAsia="Google Sans" w:hAnsi="Google Sans"/>
          <w:rtl w:val="0"/>
        </w:rPr>
        <w:t xml:space="preserve"> m/s, headway </w:t>
      </w:r>
      <w:r w:rsidDel="00000000" w:rsidR="00000000" w:rsidRPr="00000000">
        <w:rPr>
          <w:rFonts w:ascii="Google Sans" w:cs="Google Sans" w:eastAsia="Google Sans" w:hAnsi="Google Sans"/>
        </w:rPr>
        <w:drawing>
          <wp:inline distB="19050" distT="19050" distL="19050" distR="19050">
            <wp:extent cx="653256" cy="242877"/>
            <wp:effectExtent b="0" l="0" r="0" t="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53256" cy="242877"/>
                    </a:xfrm>
                    <a:prstGeom prst="rect"/>
                    <a:ln/>
                  </pic:spPr>
                </pic:pic>
              </a:graphicData>
            </a:graphic>
          </wp:inline>
        </w:drawing>
      </w:r>
      <w:r w:rsidDel="00000000" w:rsidR="00000000" w:rsidRPr="00000000">
        <w:rPr>
          <w:rFonts w:ascii="Google Sans" w:cs="Google Sans" w:eastAsia="Google Sans" w:hAnsi="Google Sans"/>
          <w:rtl w:val="0"/>
        </w:rPr>
        <w:t xml:space="preserve"> s, jam distance </w:t>
      </w:r>
      <w:r w:rsidDel="00000000" w:rsidR="00000000" w:rsidRPr="00000000">
        <w:rPr>
          <w:rFonts w:ascii="Google Sans" w:cs="Google Sans" w:eastAsia="Google Sans" w:hAnsi="Google Sans"/>
        </w:rPr>
        <w:drawing>
          <wp:inline distB="19050" distT="19050" distL="19050" distR="19050">
            <wp:extent cx="681990" cy="244169"/>
            <wp:effectExtent b="0" l="0" r="0" t="0"/>
            <wp:docPr id="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81990" cy="244169"/>
                    </a:xfrm>
                    <a:prstGeom prst="rect"/>
                    <a:ln/>
                  </pic:spPr>
                </pic:pic>
              </a:graphicData>
            </a:graphic>
          </wp:inline>
        </w:drawing>
      </w:r>
      <w:r w:rsidDel="00000000" w:rsidR="00000000" w:rsidRPr="00000000">
        <w:rPr>
          <w:rFonts w:ascii="Google Sans" w:cs="Google Sans" w:eastAsia="Google Sans" w:hAnsi="Google Sans"/>
          <w:rtl w:val="0"/>
        </w:rPr>
        <w:t xml:space="preserve"> m, accélération </w:t>
      </w:r>
      <w:r w:rsidDel="00000000" w:rsidR="00000000" w:rsidRPr="00000000">
        <w:rPr>
          <w:rFonts w:ascii="Google Sans" w:cs="Google Sans" w:eastAsia="Google Sans" w:hAnsi="Google Sans"/>
        </w:rPr>
        <w:drawing>
          <wp:inline distB="19050" distT="19050" distL="19050" distR="19050">
            <wp:extent cx="615315" cy="244440"/>
            <wp:effectExtent b="0" l="0" r="0" t="0"/>
            <wp:docPr id="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15315" cy="244440"/>
                    </a:xfrm>
                    <a:prstGeom prst="rect"/>
                    <a:ln/>
                  </pic:spPr>
                </pic:pic>
              </a:graphicData>
            </a:graphic>
          </wp:inline>
        </w:drawing>
      </w:r>
      <w:r w:rsidDel="00000000" w:rsidR="00000000" w:rsidRPr="00000000">
        <w:rPr>
          <w:rFonts w:ascii="Google Sans" w:cs="Google Sans" w:eastAsia="Google Sans" w:hAnsi="Google Sans"/>
          <w:rtl w:val="0"/>
        </w:rPr>
        <w:t xml:space="preserve"> m/s², décélération </w:t>
      </w:r>
      <w:r w:rsidDel="00000000" w:rsidR="00000000" w:rsidRPr="00000000">
        <w:rPr>
          <w:rFonts w:ascii="Google Sans" w:cs="Google Sans" w:eastAsia="Google Sans" w:hAnsi="Google Sans"/>
        </w:rPr>
        <w:drawing>
          <wp:inline distB="19050" distT="19050" distL="19050" distR="19050">
            <wp:extent cx="595630" cy="243285"/>
            <wp:effectExtent b="0" l="0" r="0" t="0"/>
            <wp:docPr id="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5630" cy="243285"/>
                    </a:xfrm>
                    <a:prstGeom prst="rect"/>
                    <a:ln/>
                  </pic:spPr>
                </pic:pic>
              </a:graphicData>
            </a:graphic>
          </wp:inline>
        </w:drawing>
      </w:r>
      <w:r w:rsidDel="00000000" w:rsidR="00000000" w:rsidRPr="00000000">
        <w:rPr>
          <w:rFonts w:ascii="Google Sans" w:cs="Google Sans" w:eastAsia="Google Sans" w:hAnsi="Google Sans"/>
          <w:rtl w:val="0"/>
        </w:rPr>
        <w:t xml:space="preserve"> m/s², </w:t>
      </w:r>
      <w:r w:rsidDel="00000000" w:rsidR="00000000" w:rsidRPr="00000000">
        <w:rPr>
          <w:rFonts w:ascii="Google Sans" w:cs="Google Sans" w:eastAsia="Google Sans" w:hAnsi="Google Sans"/>
        </w:rPr>
        <w:drawing>
          <wp:inline distB="19050" distT="19050" distL="19050" distR="19050">
            <wp:extent cx="606107" cy="244127"/>
            <wp:effectExtent b="0" l="0" r="0" t="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606107" cy="244127"/>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Contrainte Spécifique :</w:t>
      </w:r>
      <w:r w:rsidDel="00000000" w:rsidR="00000000" w:rsidRPr="00000000">
        <w:rPr>
          <w:rFonts w:ascii="Google Sans" w:cs="Google Sans" w:eastAsia="Google Sans" w:hAnsi="Google Sans"/>
          <w:rtl w:val="0"/>
        </w:rPr>
        <w:t xml:space="preserve"> Le système doit gérer l'intersection (ou la perte de priorité) comme un obstacle dynamique. Si l'accès est refusé, génère un véhicule virtuel stationnaire (vitesse = 0) exactement sur la ligne d'arrêt pour déclencher une décélération asymptotique naturelle.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Architecture Stratégique 1 : Contrôle par Priorité Fixe (Fixed Priority)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Implémente une ligne de base algorithmique s'apparentant à un mécanisme de planification séquentielle.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 :</w:t>
      </w:r>
      <w:r w:rsidDel="00000000" w:rsidR="00000000" w:rsidRPr="00000000">
        <w:rPr>
          <w:rFonts w:ascii="Google Sans" w:cs="Google Sans" w:eastAsia="Google Sans" w:hAnsi="Google Sans"/>
          <w:rtl w:val="0"/>
        </w:rPr>
        <w:t xml:space="preserve"> Crée un contrôleur FixedPriorityCoordinator.</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Logique :</w:t>
      </w:r>
      <w:r w:rsidDel="00000000" w:rsidR="00000000" w:rsidRPr="00000000">
        <w:rPr>
          <w:rFonts w:ascii="Google Sans" w:cs="Google Sans" w:eastAsia="Google Sans" w:hAnsi="Google Sans"/>
          <w:rtl w:val="0"/>
        </w:rPr>
        <w:t xml:space="preserve"> Attribue un poids de priorité statique aux routes (ex: Nord-Sud = Priorité 1, Est-Ouest = Priorité 2). Lorsqu'un conflit géométrique est détecté, le véhicule appartenant à la voie de priorité inférieure voit la position de la ligne d'arrêt envoyée à son contrôleur IDM comme un obstacle infranchissable, jusqu'à ce que le véhicule prioritaire libère la zone de conflit (mesurée par la validation spatiale).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Architecture Stratégique 2 : Négociation Locale P2P (Inspirée de VanMiddlesworth)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Implémente le protocole pair-à-pair asynchrone sans autorité centrale.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 :</w:t>
      </w:r>
      <w:r w:rsidDel="00000000" w:rsidR="00000000" w:rsidRPr="00000000">
        <w:rPr>
          <w:rFonts w:ascii="Google Sans" w:cs="Google Sans" w:eastAsia="Google Sans" w:hAnsi="Google Sans"/>
          <w:rtl w:val="0"/>
        </w:rPr>
        <w:t xml:space="preserve"> Conçois un CommunicationBus simulant le réseau VANET, et dote la classe AgentVéhicule d'une machine à états finis (State Machine) à 3 états :</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Lurking State :</w:t>
      </w:r>
      <w:r w:rsidDel="00000000" w:rsidR="00000000" w:rsidRPr="00000000">
        <w:rPr>
          <w:rFonts w:ascii="Google Sans" w:cs="Google Sans" w:eastAsia="Google Sans" w:hAnsi="Google Sans"/>
          <w:rtl w:val="0"/>
        </w:rPr>
        <w:t xml:space="preserve"> À </w:t>
      </w:r>
      <w:r w:rsidDel="00000000" w:rsidR="00000000" w:rsidRPr="00000000">
        <w:rPr>
          <w:rFonts w:ascii="Google Sans" w:cs="Google Sans" w:eastAsia="Google Sans" w:hAnsi="Google Sans"/>
        </w:rPr>
        <w:drawing>
          <wp:inline distB="19050" distT="19050" distL="19050" distR="19050">
            <wp:extent cx="657066" cy="244294"/>
            <wp:effectExtent b="0" l="0" r="0" t="0"/>
            <wp:docPr id="1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57066" cy="244294"/>
                    </a:xfrm>
                    <a:prstGeom prst="rect"/>
                    <a:ln/>
                  </pic:spPr>
                </pic:pic>
              </a:graphicData>
            </a:graphic>
          </wp:inline>
        </w:drawing>
      </w:r>
      <w:r w:rsidDel="00000000" w:rsidR="00000000" w:rsidRPr="00000000">
        <w:rPr>
          <w:rFonts w:ascii="Google Sans" w:cs="Google Sans" w:eastAsia="Google Sans" w:hAnsi="Google Sans"/>
          <w:rtl w:val="0"/>
        </w:rPr>
        <w:t xml:space="preserve">m de l'intersection, l'agent écoute le bus, agrège les données, mais reste silencieux.</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Claiming State :</w:t>
      </w:r>
      <w:r w:rsidDel="00000000" w:rsidR="00000000" w:rsidRPr="00000000">
        <w:rPr>
          <w:rFonts w:ascii="Google Sans" w:cs="Google Sans" w:eastAsia="Google Sans" w:hAnsi="Google Sans"/>
          <w:rtl w:val="0"/>
        </w:rPr>
        <w:t xml:space="preserve"> À </w:t>
      </w:r>
      <w:r w:rsidDel="00000000" w:rsidR="00000000" w:rsidRPr="00000000">
        <w:rPr>
          <w:rFonts w:ascii="Google Sans" w:cs="Google Sans" w:eastAsia="Google Sans" w:hAnsi="Google Sans"/>
        </w:rPr>
        <w:drawing>
          <wp:inline distB="19050" distT="19050" distL="19050" distR="19050">
            <wp:extent cx="657066" cy="244294"/>
            <wp:effectExtent b="0" l="0" r="0" t="0"/>
            <wp:docPr id="1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657066" cy="244294"/>
                    </a:xfrm>
                    <a:prstGeom prst="rect"/>
                    <a:ln/>
                  </pic:spPr>
                </pic:pic>
              </a:graphicData>
            </a:graphic>
          </wp:inline>
        </w:drawing>
      </w:r>
      <w:r w:rsidDel="00000000" w:rsidR="00000000" w:rsidRPr="00000000">
        <w:rPr>
          <w:rFonts w:ascii="Google Sans" w:cs="Google Sans" w:eastAsia="Google Sans" w:hAnsi="Google Sans"/>
          <w:rtl w:val="0"/>
        </w:rPr>
        <w:t xml:space="preserve">m, l'agent publie itérativement un objet Claim (Structure : vehicle_id, lane_index, trajectory_intent, estimated_exit_time, is_stopped_boolean).</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Traversal State :</w:t>
      </w:r>
      <w:r w:rsidDel="00000000" w:rsidR="00000000" w:rsidRPr="00000000">
        <w:rPr>
          <w:rFonts w:ascii="Google Sans" w:cs="Google Sans" w:eastAsia="Google Sans" w:hAnsi="Google Sans"/>
          <w:rtl w:val="0"/>
        </w:rPr>
        <w:t xml:space="preserve"> Passage actif du point de conflit, suivi du retrait du Claim du bus.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Moteur de Résolution Décentralisé :</w:t>
      </w:r>
      <w:r w:rsidDel="00000000" w:rsidR="00000000" w:rsidRPr="00000000">
        <w:rPr>
          <w:rFonts w:ascii="Google Sans" w:cs="Google Sans" w:eastAsia="Google Sans" w:hAnsi="Google Sans"/>
          <w:rtl w:val="0"/>
        </w:rPr>
        <w:t xml:space="preserve"> À chaque tick (pas de temps), chaque agent exécute l'algorithme suivant sur son propre thread/processus :</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Lis tous les Claims sur le bus. Filtre les Claims dont la trajectory_intent présente un conflit géométrique avec sa propre trajectoire.</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Applique la hiérarchie de dominance de VanMiddlesworth :</w:t>
      </w:r>
    </w:p>
    <w:p w:rsidR="00000000" w:rsidDel="00000000" w:rsidP="00000000" w:rsidRDefault="00000000" w:rsidRPr="00000000" w14:paraId="0000007D">
      <w:pPr>
        <w:numPr>
          <w:ilvl w:val="2"/>
          <w:numId w:val="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b w:val="1"/>
          <w:bCs w:val="1"/>
          <w:rtl w:val="0"/>
        </w:rPr>
        <w:t xml:space="preserve">Règle 1 :</w:t>
      </w:r>
      <w:r w:rsidDel="00000000" w:rsidR="00000000" w:rsidRPr="00000000">
        <w:rPr>
          <w:rFonts w:ascii="Google Sans" w:cs="Google Sans" w:eastAsia="Google Sans" w:hAnsi="Google Sans"/>
          <w:rtl w:val="0"/>
        </w:rPr>
        <w:t xml:space="preserve"> Si les deux véhicules sont en mouvement (is_stopped = False), l'agent avec le plus petit estimated_exit_time l'emporte.</w:t>
      </w:r>
    </w:p>
    <w:p w:rsidR="00000000" w:rsidDel="00000000" w:rsidP="00000000" w:rsidRDefault="00000000" w:rsidRPr="00000000" w14:paraId="0000007E">
      <w:pPr>
        <w:numPr>
          <w:ilvl w:val="2"/>
          <w:numId w:val="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b w:val="1"/>
          <w:bCs w:val="1"/>
          <w:rtl w:val="0"/>
        </w:rPr>
        <w:t xml:space="preserve">Règle 2 :</w:t>
      </w:r>
      <w:r w:rsidDel="00000000" w:rsidR="00000000" w:rsidRPr="00000000">
        <w:rPr>
          <w:rFonts w:ascii="Google Sans" w:cs="Google Sans" w:eastAsia="Google Sans" w:hAnsi="Google Sans"/>
          <w:rtl w:val="0"/>
        </w:rPr>
        <w:t xml:space="preserve"> Si les deux sont à l'arrêt, l'agent situé géométriquement à droite l'emporte.</w:t>
      </w:r>
    </w:p>
    <w:p w:rsidR="00000000" w:rsidDel="00000000" w:rsidP="00000000" w:rsidRDefault="00000000" w:rsidRPr="00000000" w14:paraId="0000007F">
      <w:pPr>
        <w:numPr>
          <w:ilvl w:val="2"/>
          <w:numId w:val="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b w:val="1"/>
          <w:bCs w:val="1"/>
          <w:rtl w:val="0"/>
        </w:rPr>
        <w:t xml:space="preserve">Règle 3 :</w:t>
      </w:r>
      <w:r w:rsidDel="00000000" w:rsidR="00000000" w:rsidRPr="00000000">
        <w:rPr>
          <w:rFonts w:ascii="Google Sans" w:cs="Google Sans" w:eastAsia="Google Sans" w:hAnsi="Google Sans"/>
          <w:rtl w:val="0"/>
        </w:rPr>
        <w:t xml:space="preserve"> Si l'impasse persiste, une trajectoire rectiligne l'emporte sur un virage.</w:t>
      </w:r>
    </w:p>
    <w:p w:rsidR="00000000" w:rsidDel="00000000" w:rsidP="00000000" w:rsidRDefault="00000000" w:rsidRPr="00000000" w14:paraId="00000080">
      <w:pPr>
        <w:numPr>
          <w:ilvl w:val="2"/>
          <w:numId w:val="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b w:val="1"/>
          <w:bCs w:val="1"/>
          <w:rtl w:val="0"/>
        </w:rPr>
        <w:t xml:space="preserve">Règle 4 :</w:t>
      </w:r>
      <w:r w:rsidDel="00000000" w:rsidR="00000000" w:rsidRPr="00000000">
        <w:rPr>
          <w:rFonts w:ascii="Google Sans" w:cs="Google Sans" w:eastAsia="Google Sans" w:hAnsi="Google Sans"/>
          <w:rtl w:val="0"/>
        </w:rPr>
        <w:t xml:space="preserve"> Si symétrie absolue, le plus petit vehicle_id l'emporte.</w:t>
      </w:r>
    </w:p>
    <w:p w:rsidR="00000000" w:rsidDel="00000000" w:rsidP="00000000" w:rsidRDefault="00000000" w:rsidRPr="00000000" w14:paraId="00000081">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Si l'agent est dominé, il maintient l'obstacle virtuel à la ligne d'arrêt pour son IDM. S'il l'emporte, l'obstacle est retiré.</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Cadre d'Expérimentation Stochastique (Monte-Carlo) et Logging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Construis le pipeline scientifique pour valider l'hypothèse d'inversion d'efficacité liée à la densité.</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 :</w:t>
      </w:r>
      <w:r w:rsidDel="00000000" w:rsidR="00000000" w:rsidRPr="00000000">
        <w:rPr>
          <w:rFonts w:ascii="Google Sans" w:cs="Google Sans" w:eastAsia="Google Sans" w:hAnsi="Google Sans"/>
          <w:rtl w:val="0"/>
        </w:rPr>
        <w:t xml:space="preserve"> Développe un ExperimentRunner capable de boucler la simulation </w:t>
      </w:r>
      <w:r w:rsidDel="00000000" w:rsidR="00000000" w:rsidRPr="00000000">
        <w:rPr>
          <w:rFonts w:ascii="Google Sans" w:cs="Google Sans" w:eastAsia="Google Sans" w:hAnsi="Google Sans"/>
        </w:rPr>
        <w:drawing>
          <wp:inline distB="19050" distT="19050" distL="19050" distR="19050">
            <wp:extent cx="177641" cy="245314"/>
            <wp:effectExtent b="0" l="0" r="0" t="0"/>
            <wp:docPr id="20"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177641" cy="245314"/>
                    </a:xfrm>
                    <a:prstGeom prst="rect"/>
                    <a:ln/>
                  </pic:spPr>
                </pic:pic>
              </a:graphicData>
            </a:graphic>
          </wp:inline>
        </w:drawing>
      </w:r>
      <w:r w:rsidDel="00000000" w:rsidR="00000000" w:rsidRPr="00000000">
        <w:rPr>
          <w:rFonts w:ascii="Google Sans" w:cs="Google Sans" w:eastAsia="Google Sans" w:hAnsi="Google Sans"/>
          <w:rtl w:val="0"/>
        </w:rPr>
        <w:t xml:space="preserve"> fois.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Design Expérimental :</w:t>
      </w:r>
    </w:p>
    <w:p w:rsidR="00000000" w:rsidDel="00000000" w:rsidP="00000000" w:rsidRDefault="00000000" w:rsidRPr="00000000" w14:paraId="00000086">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Fais varier la variable indépendante : Densité d'injection </w:t>
      </w:r>
      <w:r w:rsidDel="00000000" w:rsidR="00000000" w:rsidRPr="00000000">
        <w:rPr>
          <w:rFonts w:ascii="Google Sans" w:cs="Google Sans" w:eastAsia="Google Sans" w:hAnsi="Google Sans"/>
        </w:rPr>
        <w:drawing>
          <wp:inline distB="19050" distT="19050" distL="19050" distR="19050">
            <wp:extent cx="114141" cy="254622"/>
            <wp:effectExtent b="0" l="0" r="0" t="0"/>
            <wp:docPr id="2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114141" cy="254622"/>
                    </a:xfrm>
                    <a:prstGeom prst="rect"/>
                    <a:ln/>
                  </pic:spPr>
                </pic:pic>
              </a:graphicData>
            </a:graphic>
          </wp:inline>
        </w:drawing>
      </w:r>
      <w:r w:rsidDel="00000000" w:rsidR="00000000" w:rsidRPr="00000000">
        <w:rPr>
          <w:rFonts w:ascii="Google Sans" w:cs="Google Sans" w:eastAsia="Google Sans" w:hAnsi="Google Sans"/>
          <w:rtl w:val="0"/>
        </w:rPr>
        <w:t xml:space="preserve"> (de 0.1 v/s à 0.8 v/s, par pas de 0.1).</w:t>
      </w:r>
    </w:p>
    <w:p w:rsidR="00000000" w:rsidDel="00000000" w:rsidP="00000000" w:rsidRDefault="00000000" w:rsidRPr="00000000" w14:paraId="00000087">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Exécute chaque scénario </w:t>
      </w:r>
      <w:r w:rsidDel="00000000" w:rsidR="00000000" w:rsidRPr="00000000">
        <w:rPr>
          <w:rFonts w:ascii="Google Sans" w:cs="Google Sans" w:eastAsia="Google Sans" w:hAnsi="Google Sans"/>
        </w:rPr>
        <w:drawing>
          <wp:inline distB="19050" distT="19050" distL="19050" distR="19050">
            <wp:extent cx="114141" cy="254622"/>
            <wp:effectExtent b="0" l="0" r="0" t="0"/>
            <wp:docPr id="25"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114141" cy="254622"/>
                    </a:xfrm>
                    <a:prstGeom prst="rect"/>
                    <a:ln/>
                  </pic:spPr>
                </pic:pic>
              </a:graphicData>
            </a:graphic>
          </wp:inline>
        </w:drawing>
      </w:r>
      <w:r w:rsidDel="00000000" w:rsidR="00000000" w:rsidRPr="00000000">
        <w:rPr>
          <w:rFonts w:ascii="Google Sans" w:cs="Google Sans" w:eastAsia="Google Sans" w:hAnsi="Google Sans"/>
          <w:rtl w:val="0"/>
        </w:rPr>
        <w:t xml:space="preserve"> avec le FixedPriorityCoordinator puis avec le P2PCoordinator.</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Collecte de Données (Metrics) :</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À l'aide de structures pandas.DataFrame, collecte pour chaque agent et chaque run :</w:t>
      </w:r>
    </w:p>
    <w:p w:rsidR="00000000" w:rsidDel="00000000" w:rsidP="00000000" w:rsidRDefault="00000000" w:rsidRPr="00000000" w14:paraId="0000008A">
      <w:pPr>
        <w:numPr>
          <w:ilvl w:val="2"/>
          <w:numId w:val="1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i w:val="1"/>
          <w:iCs w:val="1"/>
          <w:rtl w:val="0"/>
        </w:rPr>
        <w:t xml:space="preserve">Delay :</w:t>
      </w:r>
      <w:r w:rsidDel="00000000" w:rsidR="00000000" w:rsidRPr="00000000">
        <w:rPr>
          <w:rFonts w:ascii="Google Sans" w:cs="Google Sans" w:eastAsia="Google Sans" w:hAnsi="Google Sans"/>
          <w:rtl w:val="0"/>
        </w:rPr>
        <w:t xml:space="preserve"> Différence entre le temps de trajet réel et le temps en vitesse libre absolue.</w:t>
      </w:r>
    </w:p>
    <w:p w:rsidR="00000000" w:rsidDel="00000000" w:rsidP="00000000" w:rsidRDefault="00000000" w:rsidRPr="00000000" w14:paraId="0000008B">
      <w:pPr>
        <w:numPr>
          <w:ilvl w:val="2"/>
          <w:numId w:val="1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i w:val="1"/>
          <w:iCs w:val="1"/>
          <w:rtl w:val="0"/>
        </w:rPr>
        <w:t xml:space="preserve">Throughput Global :</w:t>
      </w:r>
      <w:r w:rsidDel="00000000" w:rsidR="00000000" w:rsidRPr="00000000">
        <w:rPr>
          <w:rFonts w:ascii="Google Sans" w:cs="Google Sans" w:eastAsia="Google Sans" w:hAnsi="Google Sans"/>
          <w:rtl w:val="0"/>
        </w:rPr>
        <w:t xml:space="preserve"> Entités évacuées par minute.</w:t>
      </w:r>
    </w:p>
    <w:p w:rsidR="00000000" w:rsidDel="00000000" w:rsidP="00000000" w:rsidRDefault="00000000" w:rsidRPr="00000000" w14:paraId="0000008C">
      <w:pPr>
        <w:numPr>
          <w:ilvl w:val="2"/>
          <w:numId w:val="1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i w:val="1"/>
          <w:iCs w:val="1"/>
          <w:rtl w:val="0"/>
        </w:rPr>
        <w:t xml:space="preserve">TTC (Time-To-Collision) Minimum :</w:t>
      </w:r>
      <w:r w:rsidDel="00000000" w:rsidR="00000000" w:rsidRPr="00000000">
        <w:rPr>
          <w:rFonts w:ascii="Google Sans" w:cs="Google Sans" w:eastAsia="Google Sans" w:hAnsi="Google Sans"/>
          <w:rtl w:val="0"/>
        </w:rPr>
        <w:t xml:space="preserve"> Historise la valeur critique pour prouver l'absence de crash.</w:t>
      </w:r>
    </w:p>
    <w:p w:rsidR="00000000" w:rsidDel="00000000" w:rsidP="00000000" w:rsidRDefault="00000000" w:rsidRPr="00000000" w14:paraId="0000008D">
      <w:pPr>
        <w:numPr>
          <w:ilvl w:val="2"/>
          <w:numId w:val="1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i w:val="1"/>
          <w:iCs w:val="1"/>
          <w:rtl w:val="0"/>
        </w:rPr>
        <w:t xml:space="preserve">PET (Post-Encroachment Time) :</w:t>
      </w:r>
      <w:r w:rsidDel="00000000" w:rsidR="00000000" w:rsidRPr="00000000">
        <w:rPr>
          <w:rFonts w:ascii="Google Sans" w:cs="Google Sans" w:eastAsia="Google Sans" w:hAnsi="Google Sans"/>
          <w:rtl w:val="0"/>
        </w:rPr>
        <w:t xml:space="preserve"> Évalue les near-misses (quasi-accidents) à l'intersection.</w:t>
      </w:r>
    </w:p>
    <w:p w:rsidR="00000000" w:rsidDel="00000000" w:rsidP="00000000" w:rsidRDefault="00000000" w:rsidRPr="00000000" w14:paraId="0000008E">
      <w:pPr>
        <w:numPr>
          <w:ilvl w:val="2"/>
          <w:numId w:val="11"/>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i w:val="1"/>
          <w:iCs w:val="1"/>
          <w:rtl w:val="0"/>
        </w:rPr>
        <w:t xml:space="preserve">Jerk Accumulé :</w:t>
      </w:r>
      <w:r w:rsidDel="00000000" w:rsidR="00000000" w:rsidRPr="00000000">
        <w:rPr>
          <w:rFonts w:ascii="Google Sans" w:cs="Google Sans" w:eastAsia="Google Sans" w:hAnsi="Google Sans"/>
          <w:rtl w:val="0"/>
        </w:rPr>
        <w:t xml:space="preserve"> Intégrale temporelle des variations de l'accélération (indicateur de l'effet d'accordéon).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Fournis le code modulaire complet, abondamment commenté, en séparant la physique, les contrôleurs décisionnels et l'orchestrateur de la recherche. Explique mathématiquement la logique implémentée dans les commentaires du code IDM.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 du Prompt]</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fiches_projets.odt</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an autonomous multi-agent system using Proximal Policy Optimisation for tactical deconfliction within the urban airspace - IEEE Xplore, consulté le mai 26, 2026, </w:t>
      </w:r>
      <w:hyperlink r:id="rId37">
        <w:r w:rsidDel="00000000" w:rsidR="00000000" w:rsidRPr="00000000">
          <w:rPr>
            <w:rFonts w:ascii="Google Sans" w:cs="Google Sans" w:eastAsia="Google Sans" w:hAnsi="Google Sans"/>
            <w:color w:val="0000ee"/>
            <w:sz w:val="24"/>
            <w:szCs w:val="24"/>
            <w:u w:val="single"/>
            <w:rtl w:val="0"/>
          </w:rPr>
          <w:t xml:space="preserve">https://ieeexplore.ieee.org/document/9925730/</w:t>
        </w:r>
      </w:hyperlink>
      <w:r w:rsidDel="00000000" w:rsidR="00000000" w:rsidRPr="00000000">
        <w:rPr>
          <w:rtl w:val="0"/>
        </w:rPr>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Survey on Multi-Agent Cooperative Decision-Making: Scenarios, Approaches, Challenges and Perspectives - arXiv, consulté le mai 26, 2026, </w:t>
      </w:r>
      <w:hyperlink r:id="rId38">
        <w:r w:rsidDel="00000000" w:rsidR="00000000" w:rsidRPr="00000000">
          <w:rPr>
            <w:rFonts w:ascii="Google Sans" w:cs="Google Sans" w:eastAsia="Google Sans" w:hAnsi="Google Sans"/>
            <w:color w:val="0000ee"/>
            <w:sz w:val="24"/>
            <w:szCs w:val="24"/>
            <w:u w:val="single"/>
            <w:rtl w:val="0"/>
          </w:rPr>
          <w:t xml:space="preserve">https://arxiv.org/html/2503.13415v1</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multi-agent systems enable decentralized decision-making? - Milvus, consulté le mai 26, 2026, </w:t>
      </w:r>
      <w:hyperlink r:id="rId39">
        <w:r w:rsidDel="00000000" w:rsidR="00000000" w:rsidRPr="00000000">
          <w:rPr>
            <w:rFonts w:ascii="Google Sans" w:cs="Google Sans" w:eastAsia="Google Sans" w:hAnsi="Google Sans"/>
            <w:color w:val="0000ee"/>
            <w:sz w:val="24"/>
            <w:szCs w:val="24"/>
            <w:u w:val="single"/>
            <w:rtl w:val="0"/>
          </w:rPr>
          <w:t xml:space="preserve">https://milvus.io/ai-quick-reference/how-do-multiagent-systems-enable-decentralized-decisionmaking</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Planning and Control for Multi-Agent Robotic Systems - UC Berkeley, consulté le mai 26, 2026, </w:t>
      </w:r>
      <w:hyperlink r:id="rId40">
        <w:r w:rsidDel="00000000" w:rsidR="00000000" w:rsidRPr="00000000">
          <w:rPr>
            <w:rFonts w:ascii="Google Sans" w:cs="Google Sans" w:eastAsia="Google Sans" w:hAnsi="Google Sans"/>
            <w:color w:val="0000ee"/>
            <w:sz w:val="24"/>
            <w:szCs w:val="24"/>
            <w:u w:val="single"/>
            <w:rtl w:val="0"/>
          </w:rPr>
          <w:t xml:space="preserve">https://escholarship.org/content/qt4r520469/qt4r520469.pdf</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Large-Scale Mixed-Traffic and Intersection Control using Multi-agent Reinforcement Learning - arXiv, consulté le mai 26, 2026, </w:t>
      </w:r>
      <w:hyperlink r:id="rId41">
        <w:r w:rsidDel="00000000" w:rsidR="00000000" w:rsidRPr="00000000">
          <w:rPr>
            <w:rFonts w:ascii="Google Sans" w:cs="Google Sans" w:eastAsia="Google Sans" w:hAnsi="Google Sans"/>
            <w:color w:val="0000ee"/>
            <w:sz w:val="24"/>
            <w:szCs w:val="24"/>
            <w:u w:val="single"/>
            <w:rtl w:val="0"/>
          </w:rPr>
          <w:t xml:space="preserve">https://arxiv.org/html/2504.04691v2</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Twenty-Five Years of the Intelligent Driver Model: Foundations, Extensions, Applications, and Future Directions - arXiv, consulté le mai 26, 2026, </w:t>
      </w:r>
      <w:hyperlink r:id="rId42">
        <w:r w:rsidDel="00000000" w:rsidR="00000000" w:rsidRPr="00000000">
          <w:rPr>
            <w:rFonts w:ascii="Google Sans" w:cs="Google Sans" w:eastAsia="Google Sans" w:hAnsi="Google Sans"/>
            <w:color w:val="0000ee"/>
            <w:sz w:val="24"/>
            <w:szCs w:val="24"/>
            <w:u w:val="single"/>
            <w:rtl w:val="0"/>
          </w:rPr>
          <w:t xml:space="preserve">https://arxiv.org/html/2506.05909v1</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Vehicle Conflict Risk Identification Method Based on an Improved Intelligent Driver Model, consulté le mai 26, 2026, </w:t>
      </w:r>
      <w:hyperlink r:id="rId43">
        <w:r w:rsidDel="00000000" w:rsidR="00000000" w:rsidRPr="00000000">
          <w:rPr>
            <w:rFonts w:ascii="Google Sans" w:cs="Google Sans" w:eastAsia="Google Sans" w:hAnsi="Google Sans"/>
            <w:color w:val="0000ee"/>
            <w:sz w:val="24"/>
            <w:szCs w:val="24"/>
            <w:u w:val="single"/>
            <w:rtl w:val="0"/>
          </w:rPr>
          <w:t xml:space="preserve">https://www.mdpi.com/2076-3417/15/6/3240</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Twenty-Five Years of the Intelligent Driver Model: Foundations, Extensions, Applications, and Future Directions - arXiv, consulté le mai 26, 2026, </w:t>
      </w:r>
      <w:hyperlink r:id="rId44">
        <w:r w:rsidDel="00000000" w:rsidR="00000000" w:rsidRPr="00000000">
          <w:rPr>
            <w:rFonts w:ascii="Google Sans" w:cs="Google Sans" w:eastAsia="Google Sans" w:hAnsi="Google Sans"/>
            <w:color w:val="0000ee"/>
            <w:sz w:val="24"/>
            <w:szCs w:val="24"/>
            <w:u w:val="single"/>
            <w:rtl w:val="0"/>
          </w:rPr>
          <w:t xml:space="preserve">https://arxiv.org/html/2506.05909v2</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Decision-Making for CAVs at Unsignalized Intersections: A MARL Approach with Attention and Hierarchical Game Priors - arXiv, consulté le mai 26, 2026, </w:t>
      </w:r>
      <w:hyperlink r:id="rId45">
        <w:r w:rsidDel="00000000" w:rsidR="00000000" w:rsidRPr="00000000">
          <w:rPr>
            <w:rFonts w:ascii="Google Sans" w:cs="Google Sans" w:eastAsia="Google Sans" w:hAnsi="Google Sans"/>
            <w:color w:val="0000ee"/>
            <w:sz w:val="24"/>
            <w:szCs w:val="24"/>
            <w:u w:val="single"/>
            <w:rtl w:val="0"/>
          </w:rPr>
          <w:t xml:space="preserve">https://arxiv.org/html/2409.05712v1</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Traffic Negotiation at Intersections - MATLAB &amp; Simulink - MathWorks, consulté le mai 26, 2026, </w:t>
      </w:r>
      <w:hyperlink r:id="rId46">
        <w:r w:rsidDel="00000000" w:rsidR="00000000" w:rsidRPr="00000000">
          <w:rPr>
            <w:rFonts w:ascii="Google Sans" w:cs="Google Sans" w:eastAsia="Google Sans" w:hAnsi="Google Sans"/>
            <w:color w:val="0000ee"/>
            <w:sz w:val="24"/>
            <w:szCs w:val="24"/>
            <w:u w:val="single"/>
            <w:rtl w:val="0"/>
          </w:rPr>
          <w:t xml:space="preserve">https://www.mathworks.com/help/driving/traffic-negotiation-at-intersections.html</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Large-Scale Mixed-Traffic and Intersection Control using Multi-agent Reinforcement Learning - arXiv, consulté le mai 26, 2026, </w:t>
      </w:r>
      <w:hyperlink r:id="rId47">
        <w:r w:rsidDel="00000000" w:rsidR="00000000" w:rsidRPr="00000000">
          <w:rPr>
            <w:rFonts w:ascii="Google Sans" w:cs="Google Sans" w:eastAsia="Google Sans" w:hAnsi="Google Sans"/>
            <w:color w:val="0000ee"/>
            <w:sz w:val="24"/>
            <w:szCs w:val="24"/>
            <w:u w:val="single"/>
            <w:rtl w:val="0"/>
          </w:rPr>
          <w:t xml:space="preserve">https://arxiv.org/html/2504.04691v1</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Safety-Critical Multi-Agent MCTS for Mixed Traffic Coordination at Unsignalized Intersections - IEEE Xplore, consulté le mai 26, 2026, </w:t>
      </w:r>
      <w:hyperlink r:id="rId48">
        <w:r w:rsidDel="00000000" w:rsidR="00000000" w:rsidRPr="00000000">
          <w:rPr>
            <w:rFonts w:ascii="Google Sans" w:cs="Google Sans" w:eastAsia="Google Sans" w:hAnsi="Google Sans"/>
            <w:color w:val="0000ee"/>
            <w:sz w:val="24"/>
            <w:szCs w:val="24"/>
            <w:u w:val="single"/>
            <w:rtl w:val="0"/>
          </w:rPr>
          <w:t xml:space="preserve">https://ieeexplore.ieee.org/document/11130528/</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Intersection Management - DTIC, consulté le mai 26, 2026, </w:t>
      </w:r>
      <w:hyperlink r:id="rId49">
        <w:r w:rsidDel="00000000" w:rsidR="00000000" w:rsidRPr="00000000">
          <w:rPr>
            <w:rFonts w:ascii="Google Sans" w:cs="Google Sans" w:eastAsia="Google Sans" w:hAnsi="Google Sans"/>
            <w:color w:val="0000ee"/>
            <w:sz w:val="24"/>
            <w:szCs w:val="24"/>
            <w:u w:val="single"/>
            <w:rtl w:val="0"/>
          </w:rPr>
          <w:t xml:space="preserve">https://apps.dtic.mil/sti/trecms/pdf/AD1024611.pdf</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Multiagent Approach to Autonomous Intersection Management, consulté le mai 26, 2026, </w:t>
      </w:r>
      <w:hyperlink r:id="rId50">
        <w:r w:rsidDel="00000000" w:rsidR="00000000" w:rsidRPr="00000000">
          <w:rPr>
            <w:rFonts w:ascii="Google Sans" w:cs="Google Sans" w:eastAsia="Google Sans" w:hAnsi="Google Sans"/>
            <w:color w:val="0000ee"/>
            <w:sz w:val="24"/>
            <w:szCs w:val="24"/>
            <w:u w:val="single"/>
            <w:rtl w:val="0"/>
          </w:rPr>
          <w:t xml:space="preserve">https://jair.org/index.php/jair/article/view/10542</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Replacing the Stop Sign: Unmanaged Intersection Control for Autonomous Vehicles (Short Paper) - IFAAMAS, consulté le mai 26, 2026, </w:t>
      </w:r>
      <w:hyperlink r:id="rId51">
        <w:r w:rsidDel="00000000" w:rsidR="00000000" w:rsidRPr="00000000">
          <w:rPr>
            <w:rFonts w:ascii="Google Sans" w:cs="Google Sans" w:eastAsia="Google Sans" w:hAnsi="Google Sans"/>
            <w:color w:val="0000ee"/>
            <w:sz w:val="24"/>
            <w:szCs w:val="24"/>
            <w:u w:val="single"/>
            <w:rtl w:val="0"/>
          </w:rPr>
          <w:t xml:space="preserve">https://www.ifaamas.org/Proceedings/aamas08/proceedings/pdf/paper/AAMAS08_0324.pdf</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Replacing the Stop Sign: Unmanaged Intersection Control for Autonomous Vehicles - UT Austin Computer Science, consulté le mai 26, 2026, </w:t>
      </w:r>
      <w:hyperlink r:id="rId52">
        <w:r w:rsidDel="00000000" w:rsidR="00000000" w:rsidRPr="00000000">
          <w:rPr>
            <w:rFonts w:ascii="Google Sans" w:cs="Google Sans" w:eastAsia="Google Sans" w:hAnsi="Google Sans"/>
            <w:color w:val="0000ee"/>
            <w:sz w:val="24"/>
            <w:szCs w:val="24"/>
            <w:u w:val="single"/>
            <w:rtl w:val="0"/>
          </w:rPr>
          <w:t xml:space="preserve">https://www.cs.utexas.edu/~aim/papers/ATT08-vanmiddlesworth.pdf</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Multiagent Approach to Autonomous Intersection Management - UT Austin Computer Science, consulté le mai 26, 2026, </w:t>
      </w:r>
      <w:hyperlink r:id="rId53">
        <w:r w:rsidDel="00000000" w:rsidR="00000000" w:rsidRPr="00000000">
          <w:rPr>
            <w:rFonts w:ascii="Google Sans" w:cs="Google Sans" w:eastAsia="Google Sans" w:hAnsi="Google Sans"/>
            <w:color w:val="0000ee"/>
            <w:sz w:val="24"/>
            <w:szCs w:val="24"/>
            <w:u w:val="single"/>
            <w:rtl w:val="0"/>
          </w:rPr>
          <w:t xml:space="preserve">https://www.cs.utexas.edu/~aim/papers/JAIR08-dresner.pdf</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scheduling control for coordinated passing of multiple autonomous trucks at intersections in open-pit coal mines via enhanced multi-agent reinforcement learning - Oxford Academic, consulté le mai 26, 2026, </w:t>
      </w:r>
      <w:hyperlink r:id="rId54">
        <w:r w:rsidDel="00000000" w:rsidR="00000000" w:rsidRPr="00000000">
          <w:rPr>
            <w:rFonts w:ascii="Google Sans" w:cs="Google Sans" w:eastAsia="Google Sans" w:hAnsi="Google Sans"/>
            <w:color w:val="0000ee"/>
            <w:sz w:val="24"/>
            <w:szCs w:val="24"/>
            <w:u w:val="single"/>
            <w:rtl w:val="0"/>
          </w:rPr>
          <w:t xml:space="preserve">https://academic.oup.com/jcde/article/13/1/352/8404161</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Intersection Management: Multi-intersection optimization - IEEE Xplore, consulté le mai 26, 2026, </w:t>
      </w:r>
      <w:hyperlink r:id="rId55">
        <w:r w:rsidDel="00000000" w:rsidR="00000000" w:rsidRPr="00000000">
          <w:rPr>
            <w:rFonts w:ascii="Google Sans" w:cs="Google Sans" w:eastAsia="Google Sans" w:hAnsi="Google Sans"/>
            <w:color w:val="0000ee"/>
            <w:sz w:val="24"/>
            <w:szCs w:val="24"/>
            <w:u w:val="single"/>
            <w:rtl w:val="0"/>
          </w:rPr>
          <w:t xml:space="preserve">https://ieeexplore.ieee.org/document/6094668</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Intersection Management: Optimal Trajectories and Efficient Scheduling - Semantic Scholar, consulté le mai 26, 2026, </w:t>
      </w:r>
      <w:hyperlink r:id="rId56">
        <w:r w:rsidDel="00000000" w:rsidR="00000000" w:rsidRPr="00000000">
          <w:rPr>
            <w:rFonts w:ascii="Google Sans" w:cs="Google Sans" w:eastAsia="Google Sans" w:hAnsi="Google Sans"/>
            <w:color w:val="0000ee"/>
            <w:sz w:val="24"/>
            <w:szCs w:val="24"/>
            <w:u w:val="single"/>
            <w:rtl w:val="0"/>
          </w:rPr>
          <w:t xml:space="preserve">https://pdfs.semanticscholar.org/d6a0/f2cc4e78219c37db366d4a04edbfed50bc8b.pdf</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Assisting Drivers at Stop Signs in a Connected Vehicle Environment - MDPI, consulté le mai 26, 2026, </w:t>
      </w:r>
      <w:hyperlink r:id="rId57">
        <w:r w:rsidDel="00000000" w:rsidR="00000000" w:rsidRPr="00000000">
          <w:rPr>
            <w:rFonts w:ascii="Google Sans" w:cs="Google Sans" w:eastAsia="Google Sans" w:hAnsi="Google Sans"/>
            <w:color w:val="0000ee"/>
            <w:sz w:val="24"/>
            <w:szCs w:val="24"/>
            <w:u w:val="single"/>
            <w:rtl w:val="0"/>
          </w:rPr>
          <w:t xml:space="preserve">https://www.mdpi.com/1999-5903/15/7/238</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Replacing the stop sign: unmanaged intersection control for autonomous vehicles., consulté le mai 26,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https://www.researchgate.net/publication/221455135_Replacing_the_stop_sign_unmanaged_intersection_control_for_autonomous_vehicles</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 2008, consulté le mai 26, 2026, </w:t>
      </w:r>
      <w:hyperlink r:id="rId59">
        <w:r w:rsidDel="00000000" w:rsidR="00000000" w:rsidRPr="00000000">
          <w:rPr>
            <w:rFonts w:ascii="Google Sans" w:cs="Google Sans" w:eastAsia="Google Sans" w:hAnsi="Google Sans"/>
            <w:color w:val="0000ee"/>
            <w:sz w:val="24"/>
            <w:szCs w:val="24"/>
            <w:u w:val="single"/>
            <w:rtl w:val="0"/>
          </w:rPr>
          <w:t xml:space="preserve">http://www.ia.urjc.es/ATT/documents/WS14ATT_2008.pdf</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Velocity obstacle approaches for multi-agent collision avoidance - White Rose Research Online, consulté le mai 26, 2026, </w:t>
      </w:r>
      <w:hyperlink r:id="rId60">
        <w:r w:rsidDel="00000000" w:rsidR="00000000" w:rsidRPr="00000000">
          <w:rPr>
            <w:rFonts w:ascii="Google Sans" w:cs="Google Sans" w:eastAsia="Google Sans" w:hAnsi="Google Sans"/>
            <w:color w:val="0000ee"/>
            <w:sz w:val="24"/>
            <w:szCs w:val="24"/>
            <w:u w:val="single"/>
            <w:rtl w:val="0"/>
          </w:rPr>
          <w:t xml:space="preserve">https://eprints.whiterose.ac.uk/id/eprint/141072/1/Manuscript.pdf%3B</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Reciprocal Collision Avoidance for Multi-Agent Navigation - e-Motion, consulté le mai 26, 2026, </w:t>
      </w:r>
      <w:hyperlink r:id="rId61">
        <w:r w:rsidDel="00000000" w:rsidR="00000000" w:rsidRPr="00000000">
          <w:rPr>
            <w:rFonts w:ascii="Google Sans" w:cs="Google Sans" w:eastAsia="Google Sans" w:hAnsi="Google Sans"/>
            <w:color w:val="0000ee"/>
            <w:sz w:val="24"/>
            <w:szCs w:val="24"/>
            <w:u w:val="single"/>
            <w:rtl w:val="0"/>
          </w:rPr>
          <w:t xml:space="preserve">https://emotion.inrialpes.fr/fraichard/safety2010/10-vandenberg-etal-icraw.pdf</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Obstacle Avoidance for Autonomous Robots with ORCA-FLC - arXiv, consulté le mai 26, 2026, </w:t>
      </w:r>
      <w:hyperlink r:id="rId62">
        <w:r w:rsidDel="00000000" w:rsidR="00000000" w:rsidRPr="00000000">
          <w:rPr>
            <w:rFonts w:ascii="Google Sans" w:cs="Google Sans" w:eastAsia="Google Sans" w:hAnsi="Google Sans"/>
            <w:color w:val="0000ee"/>
            <w:sz w:val="24"/>
            <w:szCs w:val="24"/>
            <w:u w:val="single"/>
            <w:rtl w:val="0"/>
          </w:rPr>
          <w:t xml:space="preserve">https://arxiv.org/html/2508.06722</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Reciprocal n-body Collision Avoidance - The University of North Carolina at Chapel Hill, consulté le mai 26, 2026, </w:t>
      </w:r>
      <w:hyperlink r:id="rId63">
        <w:r w:rsidDel="00000000" w:rsidR="00000000" w:rsidRPr="00000000">
          <w:rPr>
            <w:rFonts w:ascii="Google Sans" w:cs="Google Sans" w:eastAsia="Google Sans" w:hAnsi="Google Sans"/>
            <w:color w:val="0000ee"/>
            <w:sz w:val="24"/>
            <w:szCs w:val="24"/>
            <w:u w:val="single"/>
            <w:rtl w:val="0"/>
          </w:rPr>
          <w:t xml:space="preserve">https://gamma.cs.unc.edu/ORCA/publications/ORCA.pdf</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ORCA-A* : A Hybrid Reciprocal Collision Avoidance and Route Planning Algorithm for UAS in Dense Urban Areas, consulté le mai 26, 2026, </w:t>
      </w:r>
      <w:hyperlink r:id="rId64">
        <w:r w:rsidDel="00000000" w:rsidR="00000000" w:rsidRPr="00000000">
          <w:rPr>
            <w:rFonts w:ascii="Google Sans" w:cs="Google Sans" w:eastAsia="Google Sans" w:hAnsi="Google Sans"/>
            <w:color w:val="0000ee"/>
            <w:sz w:val="24"/>
            <w:szCs w:val="24"/>
            <w:u w:val="single"/>
            <w:rtl w:val="0"/>
          </w:rPr>
          <w:t xml:space="preserve">https://www.sesarju.eu/sites/default/files/documents/sid/2024/papers/SIDs_2024_paper_059%20final.pdf</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Intersection Management: Optimal Trajectories and Efficient Scheduling - PMC, consulté le mai 26,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https://pmc.ncbi.nlm.nih.gov/articles/PMC9919423/</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Optimal Vehicle-Scheduling Model for Signal-Free Intersections Considering Bus Priority in a Connected and Automated Vehicle Environment - PMC, consulté le mai 26,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https://pmc.ncbi.nlm.nih.gov/articles/PMC12431144/</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Intersection Control Based on Virtual Platooning, consulté le mai 26,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https://www.researchgate.net/publication/319225612_Cooperative_Intersection_Control_Based_on_Virtual_Platooning</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Pairing Algorithm for Conflict-Free Crossings of Automated Vehicles at Lightless Intersections - MDPI, consulté le mai 26, 2026, </w:t>
      </w:r>
      <w:hyperlink r:id="rId68">
        <w:r w:rsidDel="00000000" w:rsidR="00000000" w:rsidRPr="00000000">
          <w:rPr>
            <w:rFonts w:ascii="Google Sans" w:cs="Google Sans" w:eastAsia="Google Sans" w:hAnsi="Google Sans"/>
            <w:color w:val="0000ee"/>
            <w:sz w:val="24"/>
            <w:szCs w:val="24"/>
            <w:u w:val="single"/>
            <w:rtl w:val="0"/>
          </w:rPr>
          <w:t xml:space="preserve">https://www.mdpi.com/2079-9292/10/14/1702</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intersection control based on virtual platooning - Pure, consulté le mai 26, 2026, </w:t>
      </w:r>
      <w:hyperlink r:id="rId69">
        <w:r w:rsidDel="00000000" w:rsidR="00000000" w:rsidRPr="00000000">
          <w:rPr>
            <w:rFonts w:ascii="Google Sans" w:cs="Google Sans" w:eastAsia="Google Sans" w:hAnsi="Google Sans"/>
            <w:color w:val="0000ee"/>
            <w:sz w:val="24"/>
            <w:szCs w:val="24"/>
            <w:u w:val="single"/>
            <w:rtl w:val="0"/>
          </w:rPr>
          <w:t xml:space="preserve">https://pure.tue.nl/ws/files/79592698/FINAL_VERSION.pdf</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Intersection Crossing Over 5G - research.chalmers.se, consulté le mai 26, 2026, </w:t>
      </w:r>
      <w:hyperlink r:id="rId70">
        <w:r w:rsidDel="00000000" w:rsidR="00000000" w:rsidRPr="00000000">
          <w:rPr>
            <w:rFonts w:ascii="Google Sans" w:cs="Google Sans" w:eastAsia="Google Sans" w:hAnsi="Google Sans"/>
            <w:color w:val="0000ee"/>
            <w:sz w:val="24"/>
            <w:szCs w:val="24"/>
            <w:u w:val="single"/>
            <w:rtl w:val="0"/>
          </w:rPr>
          <w:t xml:space="preserve">https://research.chalmers.se/publication/521353/file/521353_Fulltext.pdf</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Pairing Algorithm for Conflict-Free Crossings of Automated Vehicles at Lightless Intersections - ETH Research Collection, consulté le mai 26, 2026, </w:t>
      </w:r>
      <w:hyperlink r:id="rId71">
        <w:r w:rsidDel="00000000" w:rsidR="00000000" w:rsidRPr="00000000">
          <w:rPr>
            <w:rFonts w:ascii="Google Sans" w:cs="Google Sans" w:eastAsia="Google Sans" w:hAnsi="Google Sans"/>
            <w:color w:val="0000ee"/>
            <w:sz w:val="24"/>
            <w:szCs w:val="24"/>
            <w:u w:val="single"/>
            <w:rtl w:val="0"/>
          </w:rPr>
          <w:t xml:space="preserve">https://www.research-collection.ethz.ch/server/api/core/bitstreams/797bb08d-12fb-4394-89bb-da7d006c1fdc/content</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Cooperative Intersection Control for Autonomous Vehicles - nathan van de wouw - Eindhoven University of Technology, consulté le mai 26, 2026, </w:t>
      </w:r>
      <w:hyperlink r:id="rId72">
        <w:r w:rsidDel="00000000" w:rsidR="00000000" w:rsidRPr="00000000">
          <w:rPr>
            <w:rFonts w:ascii="Google Sans" w:cs="Google Sans" w:eastAsia="Google Sans" w:hAnsi="Google Sans"/>
            <w:color w:val="0000ee"/>
            <w:sz w:val="24"/>
            <w:szCs w:val="24"/>
            <w:u w:val="single"/>
            <w:rtl w:val="0"/>
          </w:rPr>
          <w:t xml:space="preserve">https://vandewouw.dc.tue.nl/phdthesismorales2019.pdf</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 Platoon Control Method for CAVs at Urban Intersections | Journal of Transportation Engineering, Part A: Systems - ASCE Library, consulté le mai 26, 2026, </w:t>
      </w:r>
      <w:hyperlink r:id="rId73">
        <w:r w:rsidDel="00000000" w:rsidR="00000000" w:rsidRPr="00000000">
          <w:rPr>
            <w:rFonts w:ascii="Google Sans" w:cs="Google Sans" w:eastAsia="Google Sans" w:hAnsi="Google Sans"/>
            <w:color w:val="0000ee"/>
            <w:sz w:val="24"/>
            <w:szCs w:val="24"/>
            <w:u w:val="single"/>
            <w:rtl w:val="0"/>
          </w:rPr>
          <w:t xml:space="preserve">https://ascelibrary.org/doi/10.1061/JTEPBS.TEENG-7917</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Large-Scale Vehicle Platooning: Advances and Challenges in Scheduling and Planning Techniques - Engineering, consulté le mai 26, 2026, </w:t>
      </w:r>
      <w:hyperlink r:id="rId74">
        <w:r w:rsidDel="00000000" w:rsidR="00000000" w:rsidRPr="00000000">
          <w:rPr>
            <w:rFonts w:ascii="Google Sans" w:cs="Google Sans" w:eastAsia="Google Sans" w:hAnsi="Google Sans"/>
            <w:color w:val="0000ee"/>
            <w:sz w:val="24"/>
            <w:szCs w:val="24"/>
            <w:u w:val="single"/>
            <w:rtl w:val="0"/>
          </w:rPr>
          <w:t xml:space="preserve">https://www.engineering.org.cn/engi/EN/10.1016/j.eng.2023.01.012</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Searching with Consistent Prioritization for Multi-Agent Path Finding, consulté le mai 26, 2026, </w:t>
      </w:r>
      <w:hyperlink r:id="rId75">
        <w:r w:rsidDel="00000000" w:rsidR="00000000" w:rsidRPr="00000000">
          <w:rPr>
            <w:rFonts w:ascii="Google Sans" w:cs="Google Sans" w:eastAsia="Google Sans" w:hAnsi="Google Sans"/>
            <w:color w:val="0000ee"/>
            <w:sz w:val="24"/>
            <w:szCs w:val="24"/>
            <w:u w:val="single"/>
            <w:rtl w:val="0"/>
          </w:rPr>
          <w:t xml:space="preserve">https://people.eng.unimelb.edu.au/pstuckey/papers/mapf-pri.pdf</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Learning-guided Prioritized Planning for Lifelong Multi-Agent Path Finding in Warehouse Automation - Journal of Artificial Intelligence Research, consulté le mai 26, 2026, </w:t>
      </w:r>
      <w:hyperlink r:id="rId76">
        <w:r w:rsidDel="00000000" w:rsidR="00000000" w:rsidRPr="00000000">
          <w:rPr>
            <w:rFonts w:ascii="Google Sans" w:cs="Google Sans" w:eastAsia="Google Sans" w:hAnsi="Google Sans"/>
            <w:color w:val="0000ee"/>
            <w:sz w:val="24"/>
            <w:szCs w:val="24"/>
            <w:u w:val="single"/>
            <w:rtl w:val="0"/>
          </w:rPr>
          <w:t xml:space="preserve">https://www.jair.org/index.php/jair/article/download/20611/27283/53774</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Learning-guided Prioritized Planning for Lifelong Multi-Agent Path Finding in Warehouse Automation - arXiv, consulté le mai 26, 2026, </w:t>
      </w:r>
      <w:hyperlink r:id="rId77">
        <w:r w:rsidDel="00000000" w:rsidR="00000000" w:rsidRPr="00000000">
          <w:rPr>
            <w:rFonts w:ascii="Google Sans" w:cs="Google Sans" w:eastAsia="Google Sans" w:hAnsi="Google Sans"/>
            <w:color w:val="0000ee"/>
            <w:sz w:val="24"/>
            <w:szCs w:val="24"/>
            <w:u w:val="single"/>
            <w:rtl w:val="0"/>
          </w:rPr>
          <w:t xml:space="preserve">https://arxiv.org/html/2603.23838v1</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Multi-Agent Path Finding - research.chalmers.se, consulté le mai 26, 2026, </w:t>
      </w:r>
      <w:hyperlink r:id="rId78">
        <w:r w:rsidDel="00000000" w:rsidR="00000000" w:rsidRPr="00000000">
          <w:rPr>
            <w:rFonts w:ascii="Google Sans" w:cs="Google Sans" w:eastAsia="Google Sans" w:hAnsi="Google Sans"/>
            <w:color w:val="0000ee"/>
            <w:sz w:val="24"/>
            <w:szCs w:val="24"/>
            <w:u w:val="single"/>
            <w:rtl w:val="0"/>
          </w:rPr>
          <w:t xml:space="preserve">https://research.chalmers.se/publication/549458/file/549458_Fulltext.pdf</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Greedy Priority-Based Search for Suboptimal Multi-Agent Path Finding, consulté le mai 26, 2026, </w:t>
      </w:r>
      <w:hyperlink r:id="rId79">
        <w:r w:rsidDel="00000000" w:rsidR="00000000" w:rsidRPr="00000000">
          <w:rPr>
            <w:rFonts w:ascii="Google Sans" w:cs="Google Sans" w:eastAsia="Google Sans" w:hAnsi="Google Sans"/>
            <w:color w:val="0000ee"/>
            <w:sz w:val="24"/>
            <w:szCs w:val="24"/>
            <w:u w:val="single"/>
            <w:rtl w:val="0"/>
          </w:rPr>
          <w:t xml:space="preserve">https://ojs.aaai.org/index.php/SOCS/article/download/27278/27051/31322</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Fundamentals of Multiagent Systems - Jose M. Vidal, consulté le mai 26, 2026, </w:t>
      </w:r>
      <w:hyperlink r:id="rId80">
        <w:r w:rsidDel="00000000" w:rsidR="00000000" w:rsidRPr="00000000">
          <w:rPr>
            <w:rFonts w:ascii="Google Sans" w:cs="Google Sans" w:eastAsia="Google Sans" w:hAnsi="Google Sans"/>
            <w:color w:val="0000ee"/>
            <w:sz w:val="24"/>
            <w:szCs w:val="24"/>
            <w:u w:val="single"/>
            <w:rtl w:val="0"/>
          </w:rPr>
          <w:t xml:space="preserve">https://jmvidal.cse.sc.edu/papers/mas.pdf</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Negotiation: Prospects, Methods and Challenges - NR JENNINGS - ePrints Soton - University of Southampton, consulté le mai 26, 2026, </w:t>
      </w:r>
      <w:hyperlink r:id="rId81">
        <w:r w:rsidDel="00000000" w:rsidR="00000000" w:rsidRPr="00000000">
          <w:rPr>
            <w:rFonts w:ascii="Google Sans" w:cs="Google Sans" w:eastAsia="Google Sans" w:hAnsi="Google Sans"/>
            <w:color w:val="0000ee"/>
            <w:sz w:val="24"/>
            <w:szCs w:val="24"/>
            <w:u w:val="single"/>
            <w:rtl w:val="0"/>
          </w:rPr>
          <w:t xml:space="preserve">https://eprints.soton.ac.uk/254231/1/gdn01.pdf</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Argumentation- vs. Proposal-based Negotiation: An Empirical Case Study on the Basis of Game-Theoretic Solution Concepts, consulté le mai 26, 2026, </w:t>
      </w:r>
      <w:hyperlink r:id="rId82">
        <w:r w:rsidDel="00000000" w:rsidR="00000000" w:rsidRPr="00000000">
          <w:rPr>
            <w:rFonts w:ascii="Google Sans" w:cs="Google Sans" w:eastAsia="Google Sans" w:hAnsi="Google Sans"/>
            <w:color w:val="0000ee"/>
            <w:sz w:val="24"/>
            <w:szCs w:val="24"/>
            <w:u w:val="single"/>
            <w:rtl w:val="0"/>
          </w:rPr>
          <w:t xml:space="preserve">https://www.uni-trier.de/fileadmin/fb2/LDV/Rettinger/publications/Foerst_argmas08_CSoAaPbN.pdf</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Based Control for Multi-agent System with Interaction by Cheng Peng - eScholarship.org, consulté le mai 26, 2026, </w:t>
      </w:r>
      <w:hyperlink r:id="rId83">
        <w:r w:rsidDel="00000000" w:rsidR="00000000" w:rsidRPr="00000000">
          <w:rPr>
            <w:rFonts w:ascii="Google Sans" w:cs="Google Sans" w:eastAsia="Google Sans" w:hAnsi="Google Sans"/>
            <w:color w:val="0000ee"/>
            <w:sz w:val="24"/>
            <w:szCs w:val="24"/>
            <w:u w:val="single"/>
            <w:rtl w:val="0"/>
          </w:rPr>
          <w:t xml:space="preserve">https://escholarship.org/content/qt9687416m/qt9687416m_noSplash_71ba4fae940158197fe38214f8d55b93.pdf</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the traditional: a survey of algorithmic mechanism design applied to economic and complex environments - PMC, consulté le mai 26, 2026,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https://pmc.ncbi.nlm.nih.gov/articles/PMC10199671/</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Intersection of Game Theory and Chess - Temple Sites, consulté le mai 26, 2026, </w:t>
      </w:r>
      <w:hyperlink r:id="rId85">
        <w:r w:rsidDel="00000000" w:rsidR="00000000" w:rsidRPr="00000000">
          <w:rPr>
            <w:rFonts w:ascii="Google Sans" w:cs="Google Sans" w:eastAsia="Google Sans" w:hAnsi="Google Sans"/>
            <w:color w:val="0000ee"/>
            <w:sz w:val="24"/>
            <w:szCs w:val="24"/>
            <w:u w:val="single"/>
            <w:rtl w:val="0"/>
          </w:rPr>
          <w:t xml:space="preserve">https://sites.temple.edu/gametheory/</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Reinforcement Learning in Intelligent Transportation Systems: A Comprehensive Survey - arXiv, consulté le mai 26, 2026, </w:t>
      </w:r>
      <w:hyperlink r:id="rId86">
        <w:r w:rsidDel="00000000" w:rsidR="00000000" w:rsidRPr="00000000">
          <w:rPr>
            <w:rFonts w:ascii="Google Sans" w:cs="Google Sans" w:eastAsia="Google Sans" w:hAnsi="Google Sans"/>
            <w:color w:val="0000ee"/>
            <w:sz w:val="24"/>
            <w:szCs w:val="24"/>
            <w:u w:val="single"/>
            <w:rtl w:val="0"/>
          </w:rPr>
          <w:t xml:space="preserve">https://arxiv.org/html/2508.20315v1</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Large-Scale Urban Traffic Management Using Zero-Shot Knowledge Transfer in Multi-Agent Reinforcement Learning for Intersection Patterns - MDPI, consulté le mai 26, 2026, </w:t>
      </w:r>
      <w:hyperlink r:id="rId87">
        <w:r w:rsidDel="00000000" w:rsidR="00000000" w:rsidRPr="00000000">
          <w:rPr>
            <w:rFonts w:ascii="Google Sans" w:cs="Google Sans" w:eastAsia="Google Sans" w:hAnsi="Google Sans"/>
            <w:color w:val="0000ee"/>
            <w:sz w:val="24"/>
            <w:szCs w:val="24"/>
            <w:u w:val="single"/>
            <w:rtl w:val="0"/>
          </w:rPr>
          <w:t xml:space="preserve">https://www.mdpi.com/2218-6581/13/7/109</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Constrained Policy Optimization for Conflict-Free Management of Connected Autonomous Vehicles at Unsignalized Intersections | IEEE Journals &amp; Magazine, consulté le mai 26, 2026, </w:t>
      </w:r>
      <w:hyperlink r:id="rId88">
        <w:r w:rsidDel="00000000" w:rsidR="00000000" w:rsidRPr="00000000">
          <w:rPr>
            <w:rFonts w:ascii="Google Sans" w:cs="Google Sans" w:eastAsia="Google Sans" w:hAnsi="Google Sans"/>
            <w:color w:val="0000ee"/>
            <w:sz w:val="24"/>
            <w:szCs w:val="24"/>
            <w:u w:val="single"/>
            <w:rtl w:val="0"/>
          </w:rPr>
          <w:t xml:space="preserve">https://ieeexplore.ieee.org/document/10323216/</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Game-theoretic LLM: Agent Workflow for Negotiation Games - arXiv, consulté le mai 26, 2026, </w:t>
      </w:r>
      <w:hyperlink r:id="rId89">
        <w:r w:rsidDel="00000000" w:rsidR="00000000" w:rsidRPr="00000000">
          <w:rPr>
            <w:rFonts w:ascii="Google Sans" w:cs="Google Sans" w:eastAsia="Google Sans" w:hAnsi="Google Sans"/>
            <w:color w:val="0000ee"/>
            <w:sz w:val="24"/>
            <w:szCs w:val="24"/>
            <w:u w:val="single"/>
            <w:rtl w:val="0"/>
          </w:rPr>
          <w:t xml:space="preserve">https://arxiv.org/html/2411.05990v1</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Subsumption to Semantic Mediation: A Generative Orchestration Architecture for Autonomous Systems - MDPI, consulté le mai 26, 2026, </w:t>
      </w:r>
      <w:hyperlink r:id="rId90">
        <w:r w:rsidDel="00000000" w:rsidR="00000000" w:rsidRPr="00000000">
          <w:rPr>
            <w:rFonts w:ascii="Google Sans" w:cs="Google Sans" w:eastAsia="Google Sans" w:hAnsi="Google Sans"/>
            <w:color w:val="0000ee"/>
            <w:sz w:val="24"/>
            <w:szCs w:val="24"/>
            <w:u w:val="single"/>
            <w:rtl w:val="0"/>
          </w:rPr>
          <w:t xml:space="preserve">https://www.mdpi.com/1999-4893/18/12/773</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Connected and Autonomous Vehicles on Nontraditional Intersection Design: Superstreets - ROSA P, consulté le mai 26, 2026, </w:t>
      </w:r>
      <w:hyperlink r:id="rId91">
        <w:r w:rsidDel="00000000" w:rsidR="00000000" w:rsidRPr="00000000">
          <w:rPr>
            <w:rFonts w:ascii="Google Sans" w:cs="Google Sans" w:eastAsia="Google Sans" w:hAnsi="Google Sans"/>
            <w:color w:val="0000ee"/>
            <w:sz w:val="24"/>
            <w:szCs w:val="24"/>
            <w:u w:val="single"/>
            <w:rtl w:val="0"/>
          </w:rPr>
          <w:t xml:space="preserve">https://rosap.ntl.bts.gov/view/dot/58262/dot_58262_DS1.pdf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cholarship.org/content/qt4r520469/qt4r520469.pdf" TargetMode="External"/><Relationship Id="rId84" Type="http://schemas.openxmlformats.org/officeDocument/2006/relationships/hyperlink" Target="https://pmc.ncbi.nlm.nih.gov/articles/PMC10199671/" TargetMode="External"/><Relationship Id="rId83" Type="http://schemas.openxmlformats.org/officeDocument/2006/relationships/hyperlink" Target="https://escholarship.org/content/qt9687416m/qt9687416m_noSplash_71ba4fae940158197fe38214f8d55b93.pdf" TargetMode="External"/><Relationship Id="rId42" Type="http://schemas.openxmlformats.org/officeDocument/2006/relationships/hyperlink" Target="https://arxiv.org/html/2506.05909v1" TargetMode="External"/><Relationship Id="rId86" Type="http://schemas.openxmlformats.org/officeDocument/2006/relationships/hyperlink" Target="https://arxiv.org/html/2508.20315v1" TargetMode="External"/><Relationship Id="rId41" Type="http://schemas.openxmlformats.org/officeDocument/2006/relationships/hyperlink" Target="https://arxiv.org/html/2504.04691v2" TargetMode="External"/><Relationship Id="rId85" Type="http://schemas.openxmlformats.org/officeDocument/2006/relationships/hyperlink" Target="https://sites.temple.edu/gametheory/" TargetMode="External"/><Relationship Id="rId44" Type="http://schemas.openxmlformats.org/officeDocument/2006/relationships/hyperlink" Target="https://arxiv.org/html/2506.05909v2" TargetMode="External"/><Relationship Id="rId88" Type="http://schemas.openxmlformats.org/officeDocument/2006/relationships/hyperlink" Target="https://ieeexplore.ieee.org/document/10323216/" TargetMode="External"/><Relationship Id="rId43" Type="http://schemas.openxmlformats.org/officeDocument/2006/relationships/hyperlink" Target="https://www.mdpi.com/2076-3417/15/6/3240" TargetMode="External"/><Relationship Id="rId87" Type="http://schemas.openxmlformats.org/officeDocument/2006/relationships/hyperlink" Target="https://www.mdpi.com/2218-6581/13/7/109" TargetMode="External"/><Relationship Id="rId46" Type="http://schemas.openxmlformats.org/officeDocument/2006/relationships/hyperlink" Target="https://www.mathworks.com/help/driving/traffic-negotiation-at-intersections.html" TargetMode="External"/><Relationship Id="rId45" Type="http://schemas.openxmlformats.org/officeDocument/2006/relationships/hyperlink" Target="https://arxiv.org/html/2409.05712v1" TargetMode="External"/><Relationship Id="rId89" Type="http://schemas.openxmlformats.org/officeDocument/2006/relationships/hyperlink" Target="https://arxiv.org/html/2411.05990v1" TargetMode="External"/><Relationship Id="rId80" Type="http://schemas.openxmlformats.org/officeDocument/2006/relationships/hyperlink" Target="https://jmvidal.cse.sc.edu/papers/mas.pdf" TargetMode="External"/><Relationship Id="rId82" Type="http://schemas.openxmlformats.org/officeDocument/2006/relationships/hyperlink" Target="https://www.uni-trier.de/fileadmin/fb2/LDV/Rettinger/publications/Foerst_argmas08_CSoAaPbN.pdf" TargetMode="External"/><Relationship Id="rId81" Type="http://schemas.openxmlformats.org/officeDocument/2006/relationships/hyperlink" Target="https://eprints.soton.ac.uk/254231/1/gdn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yperlink" Target="https://ieeexplore.ieee.org/document/11130528/" TargetMode="External"/><Relationship Id="rId47" Type="http://schemas.openxmlformats.org/officeDocument/2006/relationships/hyperlink" Target="https://arxiv.org/html/2504.04691v1" TargetMode="External"/><Relationship Id="rId49" Type="http://schemas.openxmlformats.org/officeDocument/2006/relationships/hyperlink" Target="https://apps.dtic.mil/sti/trecms/pdf/AD1024611.pdf"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13.png"/><Relationship Id="rId73" Type="http://schemas.openxmlformats.org/officeDocument/2006/relationships/hyperlink" Target="https://ascelibrary.org/doi/10.1061/JTEPBS.TEENG-7917" TargetMode="External"/><Relationship Id="rId72" Type="http://schemas.openxmlformats.org/officeDocument/2006/relationships/hyperlink" Target="https://vandewouw.dc.tue.nl/phdthesismorales2019.pdf" TargetMode="External"/><Relationship Id="rId31" Type="http://schemas.openxmlformats.org/officeDocument/2006/relationships/image" Target="media/image8.png"/><Relationship Id="rId75" Type="http://schemas.openxmlformats.org/officeDocument/2006/relationships/hyperlink" Target="https://people.eng.unimelb.edu.au/pstuckey/papers/mapf-pri.pdf" TargetMode="External"/><Relationship Id="rId30" Type="http://schemas.openxmlformats.org/officeDocument/2006/relationships/image" Target="media/image5.png"/><Relationship Id="rId74" Type="http://schemas.openxmlformats.org/officeDocument/2006/relationships/hyperlink" Target="https://www.engineering.org.cn/engi/EN/10.1016/j.eng.2023.01.012" TargetMode="External"/><Relationship Id="rId33" Type="http://schemas.openxmlformats.org/officeDocument/2006/relationships/image" Target="media/image10.png"/><Relationship Id="rId77" Type="http://schemas.openxmlformats.org/officeDocument/2006/relationships/hyperlink" Target="https://arxiv.org/html/2603.23838v1" TargetMode="External"/><Relationship Id="rId32" Type="http://schemas.openxmlformats.org/officeDocument/2006/relationships/image" Target="media/image9.png"/><Relationship Id="rId76" Type="http://schemas.openxmlformats.org/officeDocument/2006/relationships/hyperlink" Target="https://www.jair.org/index.php/jair/article/download/20611/27283/53774" TargetMode="External"/><Relationship Id="rId35" Type="http://schemas.openxmlformats.org/officeDocument/2006/relationships/image" Target="media/image20.png"/><Relationship Id="rId79" Type="http://schemas.openxmlformats.org/officeDocument/2006/relationships/hyperlink" Target="https://ojs.aaai.org/index.php/SOCS/article/download/27278/27051/31322" TargetMode="External"/><Relationship Id="rId34" Type="http://schemas.openxmlformats.org/officeDocument/2006/relationships/image" Target="media/image19.png"/><Relationship Id="rId78" Type="http://schemas.openxmlformats.org/officeDocument/2006/relationships/hyperlink" Target="https://research.chalmers.se/publication/549458/file/549458_Fulltext.pdf" TargetMode="External"/><Relationship Id="rId71" Type="http://schemas.openxmlformats.org/officeDocument/2006/relationships/hyperlink" Target="https://www.research-collection.ethz.ch/server/api/core/bitstreams/797bb08d-12fb-4394-89bb-da7d006c1fdc/content" TargetMode="External"/><Relationship Id="rId70" Type="http://schemas.openxmlformats.org/officeDocument/2006/relationships/hyperlink" Target="https://research.chalmers.se/publication/521353/file/521353_Fulltext.pdf" TargetMode="External"/><Relationship Id="rId37" Type="http://schemas.openxmlformats.org/officeDocument/2006/relationships/hyperlink" Target="https://ieeexplore.ieee.org/document/9925730/" TargetMode="External"/><Relationship Id="rId36" Type="http://schemas.openxmlformats.org/officeDocument/2006/relationships/image" Target="media/image23.png"/><Relationship Id="rId39" Type="http://schemas.openxmlformats.org/officeDocument/2006/relationships/hyperlink" Target="https://milvus.io/ai-quick-reference/how-do-multiagent-systems-enable-decentralized-decisionmaking" TargetMode="External"/><Relationship Id="rId38" Type="http://schemas.openxmlformats.org/officeDocument/2006/relationships/hyperlink" Target="https://arxiv.org/html/2503.13415v1" TargetMode="External"/><Relationship Id="rId62" Type="http://schemas.openxmlformats.org/officeDocument/2006/relationships/hyperlink" Target="https://arxiv.org/html/2508.06722" TargetMode="External"/><Relationship Id="rId61" Type="http://schemas.openxmlformats.org/officeDocument/2006/relationships/hyperlink" Target="https://emotion.inrialpes.fr/fraichard/safety2010/10-vandenberg-etal-icraw.pdf" TargetMode="External"/><Relationship Id="rId20" Type="http://schemas.openxmlformats.org/officeDocument/2006/relationships/image" Target="media/image27.png"/><Relationship Id="rId64" Type="http://schemas.openxmlformats.org/officeDocument/2006/relationships/hyperlink" Target="https://www.sesarju.eu/sites/default/files/documents/sid/2024/papers/SIDs_2024_paper_059%20final.pdf" TargetMode="External"/><Relationship Id="rId63" Type="http://schemas.openxmlformats.org/officeDocument/2006/relationships/hyperlink" Target="https://gamma.cs.unc.edu/ORCA/publications/ORCA.pdf" TargetMode="External"/><Relationship Id="rId22" Type="http://schemas.openxmlformats.org/officeDocument/2006/relationships/image" Target="media/image28.png"/><Relationship Id="rId66" Type="http://schemas.openxmlformats.org/officeDocument/2006/relationships/hyperlink" Target="https://pmc.ncbi.nlm.nih.gov/articles/PMC12431144/" TargetMode="External"/><Relationship Id="rId21" Type="http://schemas.openxmlformats.org/officeDocument/2006/relationships/image" Target="media/image29.png"/><Relationship Id="rId65" Type="http://schemas.openxmlformats.org/officeDocument/2006/relationships/hyperlink" Target="https://pmc.ncbi.nlm.nih.gov/articles/PMC9919423/" TargetMode="External"/><Relationship Id="rId24" Type="http://schemas.openxmlformats.org/officeDocument/2006/relationships/image" Target="media/image1.png"/><Relationship Id="rId68" Type="http://schemas.openxmlformats.org/officeDocument/2006/relationships/hyperlink" Target="https://www.mdpi.com/2079-9292/10/14/1702" TargetMode="External"/><Relationship Id="rId23" Type="http://schemas.openxmlformats.org/officeDocument/2006/relationships/image" Target="media/image31.png"/><Relationship Id="rId67" Type="http://schemas.openxmlformats.org/officeDocument/2006/relationships/hyperlink" Target="https://www.researchgate.net/publication/319225612_Cooperative_Intersection_Control_Based_on_Virtual_Platooning" TargetMode="External"/><Relationship Id="rId60" Type="http://schemas.openxmlformats.org/officeDocument/2006/relationships/hyperlink" Target="https://eprints.whiterose.ac.uk/id/eprint/141072/1/Manuscript.pdf%3B" TargetMode="External"/><Relationship Id="rId26" Type="http://schemas.openxmlformats.org/officeDocument/2006/relationships/image" Target="media/image3.png"/><Relationship Id="rId25" Type="http://schemas.openxmlformats.org/officeDocument/2006/relationships/image" Target="media/image2.png"/><Relationship Id="rId69" Type="http://schemas.openxmlformats.org/officeDocument/2006/relationships/hyperlink" Target="https://pure.tue.nl/ws/files/79592698/FINAL_VERSION.pdf" TargetMode="External"/><Relationship Id="rId28" Type="http://schemas.openxmlformats.org/officeDocument/2006/relationships/image" Target="media/image6.png"/><Relationship Id="rId27" Type="http://schemas.openxmlformats.org/officeDocument/2006/relationships/image" Target="media/image4.png"/><Relationship Id="rId29" Type="http://schemas.openxmlformats.org/officeDocument/2006/relationships/image" Target="media/image7.png"/><Relationship Id="rId51" Type="http://schemas.openxmlformats.org/officeDocument/2006/relationships/hyperlink" Target="https://www.ifaamas.org/Proceedings/aamas08/proceedings/pdf/paper/AAMAS08_0324.pdf" TargetMode="External"/><Relationship Id="rId50" Type="http://schemas.openxmlformats.org/officeDocument/2006/relationships/hyperlink" Target="https://jair.org/index.php/jair/article/view/10542" TargetMode="External"/><Relationship Id="rId53" Type="http://schemas.openxmlformats.org/officeDocument/2006/relationships/hyperlink" Target="https://www.cs.utexas.edu/~aim/papers/JAIR08-dresner.pdf" TargetMode="External"/><Relationship Id="rId52" Type="http://schemas.openxmlformats.org/officeDocument/2006/relationships/hyperlink" Target="https://www.cs.utexas.edu/~aim/papers/ATT08-vanmiddlesworth.pdf" TargetMode="External"/><Relationship Id="rId11" Type="http://schemas.openxmlformats.org/officeDocument/2006/relationships/image" Target="media/image17.png"/><Relationship Id="rId55" Type="http://schemas.openxmlformats.org/officeDocument/2006/relationships/hyperlink" Target="https://ieeexplore.ieee.org/document/6094668" TargetMode="External"/><Relationship Id="rId10" Type="http://schemas.openxmlformats.org/officeDocument/2006/relationships/image" Target="media/image14.png"/><Relationship Id="rId54" Type="http://schemas.openxmlformats.org/officeDocument/2006/relationships/hyperlink" Target="https://academic.oup.com/jcde/article/13/1/352/8404161" TargetMode="External"/><Relationship Id="rId13" Type="http://schemas.openxmlformats.org/officeDocument/2006/relationships/image" Target="media/image21.png"/><Relationship Id="rId57" Type="http://schemas.openxmlformats.org/officeDocument/2006/relationships/hyperlink" Target="https://www.mdpi.com/1999-5903/15/7/238" TargetMode="External"/><Relationship Id="rId12" Type="http://schemas.openxmlformats.org/officeDocument/2006/relationships/image" Target="media/image16.png"/><Relationship Id="rId56" Type="http://schemas.openxmlformats.org/officeDocument/2006/relationships/hyperlink" Target="https://pdfs.semanticscholar.org/d6a0/f2cc4e78219c37db366d4a04edbfed50bc8b.pdf" TargetMode="External"/><Relationship Id="rId91" Type="http://schemas.openxmlformats.org/officeDocument/2006/relationships/hyperlink" Target="https://rosap.ntl.bts.gov/view/dot/58262/dot_58262_DS1.pdf" TargetMode="External"/><Relationship Id="rId90" Type="http://schemas.openxmlformats.org/officeDocument/2006/relationships/hyperlink" Target="https://www.mdpi.com/1999-4893/18/12/773" TargetMode="External"/><Relationship Id="rId15" Type="http://schemas.openxmlformats.org/officeDocument/2006/relationships/image" Target="media/image26.png"/><Relationship Id="rId59" Type="http://schemas.openxmlformats.org/officeDocument/2006/relationships/hyperlink" Target="http://www.ia.urjc.es/ATT/documents/WS14ATT_2008.pdf" TargetMode="External"/><Relationship Id="rId14" Type="http://schemas.openxmlformats.org/officeDocument/2006/relationships/image" Target="media/image18.png"/><Relationship Id="rId58" Type="http://schemas.openxmlformats.org/officeDocument/2006/relationships/hyperlink" Target="https://www.researchgate.net/publication/221455135_Replacing_the_stop_sign_unmanaged_intersection_control_for_autonomous_vehicles" TargetMode="External"/><Relationship Id="rId17" Type="http://schemas.openxmlformats.org/officeDocument/2006/relationships/image" Target="media/image25.png"/><Relationship Id="rId16" Type="http://schemas.openxmlformats.org/officeDocument/2006/relationships/image" Target="media/image22.png"/><Relationship Id="rId19" Type="http://schemas.openxmlformats.org/officeDocument/2006/relationships/image" Target="media/image30.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