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9D51CC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5D0F0D" w:rsidP="009D51CC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5955FB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. Из этого следует что достаточно изучить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свойства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proofErr w:type="gramStart"/>
      <w:r w:rsidRPr="00B23D4A">
        <w:rPr>
          <w:rFonts w:ascii="Times New Roman" w:hAnsi="Times New Roman" w:cs="Times New Roman"/>
          <w:sz w:val="22"/>
          <w:szCs w:val="22"/>
        </w:rPr>
        <w:t>: Если</w:t>
      </w:r>
      <w:proofErr w:type="gramEnd"/>
      <w:r w:rsidRPr="00B23D4A">
        <w:rPr>
          <w:rFonts w:ascii="Times New Roman" w:hAnsi="Times New Roman" w:cs="Times New Roman"/>
          <w:sz w:val="22"/>
          <w:szCs w:val="22"/>
        </w:rPr>
        <w:t xml:space="preserve">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proofErr w:type="gramStart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: Пусть</w:t>
      </w:r>
      <w:proofErr w:type="gramEnd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F80EF3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3E0B7A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3E0B7A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</w:rPr>
        <w:t xml:space="preserve"> – </w:t>
      </w:r>
      <w:r w:rsidRPr="00B23D4A">
        <w:rPr>
          <w:rFonts w:ascii="Times New Roman" w:eastAsiaTheme="minorEastAsia" w:hAnsi="Times New Roman" w:cs="Times New Roman"/>
        </w:rPr>
        <w:t>нижний</w:t>
      </w:r>
      <w:r w:rsidRPr="00B23D4A">
        <w:rPr>
          <w:rFonts w:ascii="Times New Roman" w:eastAsiaTheme="minorEastAsia" w:hAnsi="Times New Roman" w:cs="Times New Roman"/>
        </w:rPr>
        <w:t xml:space="preserve"> интеграл функции </w:t>
      </w:r>
      <w:r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 xml:space="preserve">(т.е. самая точная) </w:t>
      </w:r>
      <w:r w:rsidRPr="00B23D4A">
        <w:rPr>
          <w:rFonts w:ascii="Times New Roman" w:eastAsiaTheme="minorEastAsia" w:hAnsi="Times New Roman" w:cs="Times New Roman"/>
        </w:rPr>
        <w:t>из всевозможных нижних сумм Дарбу.</w:t>
      </w:r>
    </w:p>
    <w:p w14:paraId="1B65D574" w14:textId="0F8A45BA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Свойство: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 xml:space="preserve">Лемма </w:t>
      </w: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3</w:t>
      </w:r>
      <w:proofErr w:type="gramStart"/>
      <w:r w:rsidRPr="00B23D4A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</w:t>
      </w:r>
      <w:proofErr w:type="gramEnd"/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172E2910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4B5BF54A" w14:textId="397716D6" w:rsidR="00B23D4A" w:rsidRPr="00B23D4A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58CBCC2F" w14:textId="77777777" w:rsidR="00B23D4A" w:rsidRPr="00B23D4A" w:rsidRDefault="00B23D4A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</w:p>
    <w:p w14:paraId="2C771EA3" w14:textId="6AE2435E" w:rsidR="00B23D4A" w:rsidRPr="00B23D4A" w:rsidRDefault="00B23D4A" w:rsidP="00B23D4A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Pr="00B23D4A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sectPr w:rsidR="00A35525" w:rsidRPr="00B23D4A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5"/>
  </w:num>
  <w:num w:numId="2" w16cid:durableId="1775856724">
    <w:abstractNumId w:val="6"/>
  </w:num>
  <w:num w:numId="3" w16cid:durableId="1002050832">
    <w:abstractNumId w:val="3"/>
  </w:num>
  <w:num w:numId="4" w16cid:durableId="288362801">
    <w:abstractNumId w:val="4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30274"/>
    <w:rsid w:val="00050943"/>
    <w:rsid w:val="000C4A14"/>
    <w:rsid w:val="00137576"/>
    <w:rsid w:val="002B3A7D"/>
    <w:rsid w:val="00306542"/>
    <w:rsid w:val="00397A66"/>
    <w:rsid w:val="003E0B7A"/>
    <w:rsid w:val="004059C5"/>
    <w:rsid w:val="004C28E1"/>
    <w:rsid w:val="00512C52"/>
    <w:rsid w:val="005955FB"/>
    <w:rsid w:val="00596B2D"/>
    <w:rsid w:val="005A7713"/>
    <w:rsid w:val="005A7B90"/>
    <w:rsid w:val="005D0F0D"/>
    <w:rsid w:val="005E48BF"/>
    <w:rsid w:val="005F733A"/>
    <w:rsid w:val="006D4EEE"/>
    <w:rsid w:val="00733B31"/>
    <w:rsid w:val="00824AF3"/>
    <w:rsid w:val="008E59A0"/>
    <w:rsid w:val="009405CB"/>
    <w:rsid w:val="009A51D6"/>
    <w:rsid w:val="009D51CC"/>
    <w:rsid w:val="009F7459"/>
    <w:rsid w:val="00A35525"/>
    <w:rsid w:val="00AD74D6"/>
    <w:rsid w:val="00AE7B74"/>
    <w:rsid w:val="00B23D4A"/>
    <w:rsid w:val="00B27003"/>
    <w:rsid w:val="00B72F82"/>
    <w:rsid w:val="00BA37A8"/>
    <w:rsid w:val="00C61FC3"/>
    <w:rsid w:val="00CB5651"/>
    <w:rsid w:val="00D06A3C"/>
    <w:rsid w:val="00EB3D1B"/>
    <w:rsid w:val="00F62CA5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17</cp:revision>
  <dcterms:created xsi:type="dcterms:W3CDTF">2025-03-25T09:51:00Z</dcterms:created>
  <dcterms:modified xsi:type="dcterms:W3CDTF">2025-03-25T19:46:00Z</dcterms:modified>
</cp:coreProperties>
</file>