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6114" w14:textId="0382DAAE" w:rsidR="00DF136E" w:rsidRPr="00DF136E" w:rsidRDefault="00DF136E" w:rsidP="00DF136E">
      <w:pPr>
        <w:rPr>
          <w:b/>
          <w:bCs/>
        </w:rPr>
      </w:pPr>
      <w:r w:rsidRPr="00DF136E">
        <w:rPr>
          <w:b/>
          <w:bCs/>
        </w:rPr>
        <w:t>Why choose a Modular Monolith (selected architecture)</w:t>
      </w:r>
    </w:p>
    <w:p w14:paraId="40C2339A" w14:textId="31EF1CD4" w:rsidR="00DF136E" w:rsidRPr="00DF136E" w:rsidRDefault="00DF136E" w:rsidP="00DF136E">
      <w:pPr>
        <w:numPr>
          <w:ilvl w:val="0"/>
          <w:numId w:val="1"/>
        </w:numPr>
      </w:pPr>
      <w:r w:rsidRPr="00DF136E">
        <w:rPr>
          <w:b/>
          <w:bCs/>
        </w:rPr>
        <w:t>Simplicity &amp; Productivity:</w:t>
      </w:r>
      <w:r w:rsidRPr="00DF136E">
        <w:t xml:space="preserve"> School/E-learning systems require strong transactional integrity (</w:t>
      </w:r>
      <w:r w:rsidRPr="00DF136E">
        <w:t>enrolments</w:t>
      </w:r>
      <w:r w:rsidRPr="00DF136E">
        <w:t>, grades, transcripts). A modular monolith reduces distributed system complexity (no cross-service network calls) making it faster to develop and reason about invariants and transactions.</w:t>
      </w:r>
    </w:p>
    <w:p w14:paraId="75427DC6" w14:textId="08AFBF92" w:rsidR="00DF136E" w:rsidRPr="00DF136E" w:rsidRDefault="00DF136E" w:rsidP="00DF136E">
      <w:pPr>
        <w:numPr>
          <w:ilvl w:val="0"/>
          <w:numId w:val="1"/>
        </w:numPr>
      </w:pPr>
      <w:r w:rsidRPr="00DF136E">
        <w:rPr>
          <w:b/>
          <w:bCs/>
        </w:rPr>
        <w:t>Alignment with Next.js + Convex</w:t>
      </w:r>
      <w:r>
        <w:rPr>
          <w:b/>
          <w:bCs/>
        </w:rPr>
        <w:t>: Tech</w:t>
      </w:r>
      <w:r w:rsidRPr="00DF136E">
        <w:t xml:space="preserve"> stack naturally </w:t>
      </w:r>
      <w:r w:rsidRPr="00DF136E">
        <w:t>favours</w:t>
      </w:r>
      <w:r w:rsidRPr="00DF136E">
        <w:t xml:space="preserve"> a single codebase with serverless functions and Convex-managed data/functions. Convex encourages centralized function endpoints and real-time sync</w:t>
      </w:r>
      <w:r>
        <w:t>.</w:t>
      </w:r>
    </w:p>
    <w:p w14:paraId="12E0052D" w14:textId="0FDA08EB" w:rsidR="00DF136E" w:rsidRPr="00DF136E" w:rsidRDefault="00DF136E" w:rsidP="00DF136E">
      <w:pPr>
        <w:numPr>
          <w:ilvl w:val="0"/>
          <w:numId w:val="1"/>
        </w:numPr>
      </w:pPr>
      <w:r w:rsidRPr="00DF136E">
        <w:rPr>
          <w:b/>
          <w:bCs/>
        </w:rPr>
        <w:t>Modularity for Evolvability:</w:t>
      </w:r>
      <w:r w:rsidRPr="00DF136E">
        <w:t xml:space="preserve"> Modules enforce bounded contexts (</w:t>
      </w:r>
      <w:r w:rsidRPr="00DF136E">
        <w:t>Enrolment</w:t>
      </w:r>
      <w:r w:rsidRPr="00DF136E">
        <w:t>, Academic Calendar, Auth).</w:t>
      </w:r>
      <w:r>
        <w:t xml:space="preserve"> There is a </w:t>
      </w:r>
      <w:r w:rsidRPr="00DF136E">
        <w:t>gain</w:t>
      </w:r>
      <w:r w:rsidRPr="00DF136E">
        <w:t xml:space="preserve"> separation of concerns and can refactor later. If/when scale demands it, modules can be extracted to microservices with clearer boundaries.</w:t>
      </w:r>
    </w:p>
    <w:p w14:paraId="373346B8" w14:textId="43263251" w:rsidR="00DF136E" w:rsidRPr="00DF136E" w:rsidRDefault="00DF136E" w:rsidP="00DF136E">
      <w:pPr>
        <w:numPr>
          <w:ilvl w:val="0"/>
          <w:numId w:val="1"/>
        </w:numPr>
      </w:pPr>
      <w:r w:rsidRPr="00DF136E">
        <w:rPr>
          <w:b/>
          <w:bCs/>
        </w:rPr>
        <w:t>Lower operational overhead:</w:t>
      </w:r>
      <w:r w:rsidRPr="00DF136E">
        <w:t xml:space="preserve"> No need for service mesh, distributed tracing, or cross-service debugging initially</w:t>
      </w:r>
      <w:r>
        <w:t>.</w:t>
      </w:r>
    </w:p>
    <w:p w14:paraId="452CE399" w14:textId="79429C6B" w:rsidR="00DF136E" w:rsidRPr="00DF136E" w:rsidRDefault="00DF136E" w:rsidP="00DF136E">
      <w:pPr>
        <w:numPr>
          <w:ilvl w:val="0"/>
          <w:numId w:val="1"/>
        </w:numPr>
      </w:pPr>
      <w:r w:rsidRPr="00DF136E">
        <w:rPr>
          <w:b/>
          <w:bCs/>
        </w:rPr>
        <w:t>Transaction guarantees:</w:t>
      </w:r>
      <w:r w:rsidRPr="00DF136E">
        <w:t xml:space="preserve"> Aggregates that span related entities (e.g., </w:t>
      </w:r>
      <w:r w:rsidRPr="00DF136E">
        <w:t>Enrolment</w:t>
      </w:r>
      <w:r w:rsidRPr="00DF136E">
        <w:t xml:space="preserve"> + Section) are easier to enforce with single-process transactional mechanisms (Convex transactions) compared to eventual consistency across microservices.</w:t>
      </w:r>
    </w:p>
    <w:p w14:paraId="5EBEE41A" w14:textId="77777777" w:rsidR="00A90F4D" w:rsidRDefault="00A90F4D"/>
    <w:sectPr w:rsidR="00A90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34CC5"/>
    <w:multiLevelType w:val="multilevel"/>
    <w:tmpl w:val="C1740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15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6E"/>
    <w:rsid w:val="007C40F3"/>
    <w:rsid w:val="0081059B"/>
    <w:rsid w:val="009A1CA0"/>
    <w:rsid w:val="00A90F4D"/>
    <w:rsid w:val="00DF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3DD8E"/>
  <w15:chartTrackingRefBased/>
  <w15:docId w15:val="{C7C7D58E-19C0-4B33-B7BF-CA6B27AE2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Abdul-Qoyyum Oyadeyi</dc:creator>
  <cp:keywords/>
  <dc:description/>
  <cp:lastModifiedBy>Abdul-Qoyyum Oyadeyi</cp:lastModifiedBy>
  <cp:revision>1</cp:revision>
  <dcterms:created xsi:type="dcterms:W3CDTF">2025-11-18T05:36:00Z</dcterms:created>
  <dcterms:modified xsi:type="dcterms:W3CDTF">2025-11-18T05:39:00Z</dcterms:modified>
</cp:coreProperties>
</file>