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2684EC">
      <w:pPr>
        <w:jc w:val="center"/>
        <w:rPr>
          <w:rFonts w:ascii="黑体" w:hAnsi="黑体" w:eastAsia="黑体" w:cs="隶书"/>
          <w:bCs/>
          <w:sz w:val="108"/>
          <w:szCs w:val="108"/>
        </w:rPr>
      </w:pPr>
    </w:p>
    <w:p w14:paraId="3673132D">
      <w:pPr>
        <w:jc w:val="center"/>
        <w:rPr>
          <w:rFonts w:ascii="黑体" w:hAnsi="黑体" w:eastAsia="黑体" w:cs="隶书"/>
          <w:bCs/>
          <w:sz w:val="108"/>
          <w:szCs w:val="108"/>
        </w:rPr>
      </w:pPr>
      <w:r>
        <w:rPr>
          <w:rFonts w:ascii="黑体" w:hAnsi="黑体" w:eastAsia="黑体" w:cs="隶书"/>
          <w:bCs/>
          <w:sz w:val="108"/>
          <w:szCs w:val="108"/>
        </w:rPr>
        <w:drawing>
          <wp:inline distT="0" distB="0" distL="114300" distR="114300">
            <wp:extent cx="5272405" cy="1217295"/>
            <wp:effectExtent l="0" t="0" r="4445" b="1905"/>
            <wp:docPr id="4" name="图片 1" descr="新校徽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新校徽4"/>
                    <pic:cNvPicPr>
                      <a:picLocks noChangeAspect="1"/>
                    </pic:cNvPicPr>
                  </pic:nvPicPr>
                  <pic:blipFill>
                    <a:blip r:embed="rId4"/>
                    <a:stretch>
                      <a:fillRect/>
                    </a:stretch>
                  </pic:blipFill>
                  <pic:spPr>
                    <a:xfrm>
                      <a:off x="0" y="0"/>
                      <a:ext cx="5272405" cy="1217295"/>
                    </a:xfrm>
                    <a:prstGeom prst="rect">
                      <a:avLst/>
                    </a:prstGeom>
                    <a:noFill/>
                    <a:ln>
                      <a:noFill/>
                    </a:ln>
                  </pic:spPr>
                </pic:pic>
              </a:graphicData>
            </a:graphic>
          </wp:inline>
        </w:drawing>
      </w:r>
    </w:p>
    <w:p w14:paraId="2D4D84FF">
      <w:pPr>
        <w:jc w:val="center"/>
        <w:rPr>
          <w:rFonts w:ascii="黑体" w:hAnsi="黑体" w:eastAsia="黑体" w:cs="隶书"/>
          <w:bCs/>
          <w:sz w:val="108"/>
          <w:szCs w:val="108"/>
        </w:rPr>
      </w:pPr>
    </w:p>
    <w:p w14:paraId="149E8237">
      <w:pPr>
        <w:jc w:val="center"/>
        <w:rPr>
          <w:rFonts w:hint="eastAsia" w:ascii="宋体" w:hAnsi="宋体" w:cs="宋体"/>
          <w:sz w:val="52"/>
          <w:szCs w:val="52"/>
          <w:lang w:val="en-US" w:eastAsia="zh-CN"/>
        </w:rPr>
      </w:pPr>
      <w:r>
        <w:rPr>
          <w:rFonts w:hint="eastAsia" w:ascii="宋体" w:hAnsi="宋体" w:cs="宋体"/>
          <w:sz w:val="52"/>
          <w:szCs w:val="52"/>
          <w:lang w:val="en-US" w:eastAsia="zh-CN"/>
        </w:rPr>
        <w:t>金融大数据挖掘与建模</w:t>
      </w:r>
    </w:p>
    <w:p w14:paraId="3297732C">
      <w:pPr>
        <w:jc w:val="center"/>
        <w:rPr>
          <w:rFonts w:hint="default" w:ascii="宋体" w:hAnsi="宋体"/>
          <w:b/>
          <w:sz w:val="192"/>
          <w:szCs w:val="192"/>
          <w:lang w:val="en-US"/>
        </w:rPr>
      </w:pPr>
      <w:r>
        <w:rPr>
          <w:rFonts w:hint="eastAsia" w:ascii="宋体" w:hAnsi="宋体" w:cs="宋体"/>
          <w:sz w:val="52"/>
          <w:szCs w:val="52"/>
          <w:lang w:val="en-US" w:eastAsia="zh-CN"/>
        </w:rPr>
        <w:t>数据分析报告</w:t>
      </w:r>
    </w:p>
    <w:p w14:paraId="1B0DEBD2">
      <w:pPr>
        <w:jc w:val="center"/>
        <w:rPr>
          <w:rFonts w:hint="eastAsia" w:ascii="宋体" w:hAnsi="宋体"/>
          <w:b/>
          <w:sz w:val="52"/>
          <w:szCs w:val="52"/>
        </w:rPr>
      </w:pPr>
    </w:p>
    <w:p w14:paraId="7055EDC7">
      <w:pPr>
        <w:jc w:val="both"/>
        <w:rPr>
          <w:rFonts w:hint="eastAsia" w:ascii="宋体" w:hAnsi="宋体"/>
          <w:b/>
          <w:sz w:val="52"/>
          <w:szCs w:val="52"/>
        </w:rPr>
      </w:pPr>
      <w:bookmarkStart w:id="0" w:name="_GoBack"/>
      <w:bookmarkEnd w:id="0"/>
    </w:p>
    <w:p w14:paraId="5FF14261">
      <w:pPr>
        <w:tabs>
          <w:tab w:val="left" w:pos="4320"/>
        </w:tabs>
        <w:spacing w:line="360" w:lineRule="auto"/>
        <w:ind w:firstLine="1620" w:firstLineChars="540"/>
        <w:rPr>
          <w:rFonts w:hint="default" w:ascii="宋体" w:hAnsi="宋体" w:eastAsia="宋体"/>
          <w:sz w:val="30"/>
          <w:u w:val="single"/>
          <w:lang w:val="en-US" w:eastAsia="zh-CN"/>
        </w:rPr>
      </w:pPr>
      <w:r>
        <w:rPr>
          <w:rFonts w:hint="eastAsia" w:ascii="宋体" w:hAnsi="宋体"/>
          <w:sz w:val="30"/>
        </w:rPr>
        <mc:AlternateContent>
          <mc:Choice Requires="wps">
            <w:drawing>
              <wp:anchor distT="0" distB="0" distL="114300" distR="114300" simplePos="0" relativeHeight="251660288" behindDoc="0" locked="0" layoutInCell="1" allowOverlap="1">
                <wp:simplePos x="0" y="0"/>
                <wp:positionH relativeFrom="column">
                  <wp:posOffset>2372360</wp:posOffset>
                </wp:positionH>
                <wp:positionV relativeFrom="paragraph">
                  <wp:posOffset>276225</wp:posOffset>
                </wp:positionV>
                <wp:extent cx="1800225" cy="0"/>
                <wp:effectExtent l="0" t="4445" r="0" b="5080"/>
                <wp:wrapNone/>
                <wp:docPr id="6" name="直接连接符 6"/>
                <wp:cNvGraphicFramePr/>
                <a:graphic xmlns:a="http://schemas.openxmlformats.org/drawingml/2006/main">
                  <a:graphicData uri="http://schemas.microsoft.com/office/word/2010/wordprocessingShape">
                    <wps:wsp>
                      <wps:cNvCnPr/>
                      <wps:spPr>
                        <a:xfrm>
                          <a:off x="0" y="0"/>
                          <a:ext cx="1800225" cy="0"/>
                        </a:xfrm>
                        <a:prstGeom prst="line">
                          <a:avLst/>
                        </a:prstGeom>
                        <a:ln w="31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6.8pt;margin-top:21.75pt;height:0pt;width:141.75pt;z-index:251660288;mso-width-relative:page;mso-height-relative:page;" filled="f" stroked="t" coordsize="21600,21600" o:gfxdata="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aEfNLZAAAACQEAAA8AAAAAAAAAAQAgAAAAIgAAAGRycy9kb3ducmV2LnhtbFBL&#10;AQIUABQAAAAIAIdO4kAEXfmg9QEAAOQDAAAOAAAAAAAAAAEAIAAAACgBAABkcnMvZTJvRG9jLnht&#10;bFBLBQYAAAAABgAGAFkBAACPBQAAAAA=&#10;">
                <v:fill on="f" focussize="0,0"/>
                <v:stroke weight="0.25pt" color="#000000" joinstyle="round"/>
                <v:imagedata o:title=""/>
                <o:lock v:ext="edit" aspectratio="f"/>
              </v:line>
            </w:pict>
          </mc:Fallback>
        </mc:AlternateContent>
      </w:r>
      <w:r>
        <w:rPr>
          <w:rFonts w:hint="eastAsia" w:ascii="宋体" w:hAnsi="宋体"/>
          <w:sz w:val="30"/>
        </w:rPr>
        <w:t xml:space="preserve">学        号    </w:t>
      </w:r>
      <w:r>
        <w:rPr>
          <w:rFonts w:hint="eastAsia" w:ascii="宋体" w:hAnsi="宋体"/>
          <w:sz w:val="30"/>
          <w:lang w:val="en-US" w:eastAsia="zh-CN"/>
        </w:rPr>
        <w:t>2210850013</w:t>
      </w:r>
    </w:p>
    <w:p w14:paraId="1A636033">
      <w:pPr>
        <w:spacing w:line="360" w:lineRule="auto"/>
        <w:ind w:firstLine="1686" w:firstLineChars="562"/>
        <w:rPr>
          <w:rFonts w:hint="default" w:ascii="宋体" w:hAnsi="宋体" w:eastAsia="宋体"/>
          <w:spacing w:val="8"/>
          <w:sz w:val="30"/>
          <w:u w:val="single"/>
          <w:lang w:val="en-US" w:eastAsia="zh-CN"/>
        </w:rPr>
      </w:pPr>
      <w:r>
        <w:rPr>
          <w:rFonts w:hint="eastAsia" w:ascii="宋体" w:hAnsi="宋体"/>
          <w:sz w:val="30"/>
        </w:rPr>
        <mc:AlternateContent>
          <mc:Choice Requires="wps">
            <w:drawing>
              <wp:anchor distT="0" distB="0" distL="114300" distR="114300" simplePos="0" relativeHeight="251659264" behindDoc="0" locked="0" layoutInCell="1" allowOverlap="1">
                <wp:simplePos x="0" y="0"/>
                <wp:positionH relativeFrom="column">
                  <wp:posOffset>2374265</wp:posOffset>
                </wp:positionH>
                <wp:positionV relativeFrom="paragraph">
                  <wp:posOffset>287655</wp:posOffset>
                </wp:positionV>
                <wp:extent cx="1800225" cy="0"/>
                <wp:effectExtent l="0" t="4445" r="0" b="5080"/>
                <wp:wrapNone/>
                <wp:docPr id="7" name="直接连接符 7"/>
                <wp:cNvGraphicFramePr/>
                <a:graphic xmlns:a="http://schemas.openxmlformats.org/drawingml/2006/main">
                  <a:graphicData uri="http://schemas.microsoft.com/office/word/2010/wordprocessingShape">
                    <wps:wsp>
                      <wps:cNvCnPr/>
                      <wps:spPr>
                        <a:xfrm>
                          <a:off x="0" y="0"/>
                          <a:ext cx="1800225" cy="0"/>
                        </a:xfrm>
                        <a:prstGeom prst="line">
                          <a:avLst/>
                        </a:prstGeom>
                        <a:ln w="31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6.95pt;margin-top:22.65pt;height:0pt;width:141.75pt;z-index:251659264;mso-width-relative:page;mso-height-relative:page;" filled="f" stroked="t" coordsize="21600,21600" o:gfxdata="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Xh6Tl2gAAAAkBAAAPAAAAAAAAAAEAIAAAACIAAABkcnMvZG93bnJldi54bWxQ&#10;SwECFAAUAAAACACHTuJAFTadzfUBAADkAwAADgAAAAAAAAABACAAAAApAQAAZHJzL2Uyb0RvYy54&#10;bWxQSwUGAAAAAAYABgBZAQAAkAUAAAAA&#10;">
                <v:fill on="f" focussize="0,0"/>
                <v:stroke weight="0.25pt" color="#000000" joinstyle="round"/>
                <v:imagedata o:title=""/>
                <o:lock v:ext="edit" aspectratio="f"/>
              </v:line>
            </w:pict>
          </mc:Fallback>
        </mc:AlternateContent>
      </w:r>
      <w:r>
        <w:rPr>
          <w:rFonts w:hint="eastAsia" w:ascii="宋体" w:hAnsi="宋体"/>
          <w:spacing w:val="8"/>
          <w:sz w:val="30"/>
        </w:rPr>
        <w:t xml:space="preserve">学 生 姓 名    </w:t>
      </w:r>
      <w:r>
        <w:rPr>
          <w:rFonts w:hint="eastAsia" w:ascii="宋体" w:hAnsi="宋体"/>
          <w:spacing w:val="8"/>
          <w:sz w:val="30"/>
          <w:lang w:val="en-US" w:eastAsia="zh-CN"/>
        </w:rPr>
        <w:t>钟稚盛</w:t>
      </w:r>
    </w:p>
    <w:p w14:paraId="024306F3">
      <w:pPr>
        <w:spacing w:line="360" w:lineRule="auto"/>
        <w:ind w:firstLine="1706" w:firstLineChars="540"/>
        <w:rPr>
          <w:rFonts w:hint="eastAsia" w:ascii="宋体" w:hAnsi="宋体"/>
          <w:spacing w:val="8"/>
          <w:sz w:val="30"/>
          <w:u w:val="single"/>
        </w:rPr>
      </w:pPr>
    </w:p>
    <w:p w14:paraId="617AAFA4">
      <w:pPr>
        <w:jc w:val="center"/>
        <w:rPr>
          <w:rFonts w:hint="eastAsia" w:ascii="宋体" w:hAnsi="宋体"/>
          <w:b/>
          <w:sz w:val="52"/>
          <w:szCs w:val="52"/>
        </w:rPr>
      </w:pPr>
    </w:p>
    <w:p w14:paraId="5708047D">
      <w:pPr>
        <w:jc w:val="center"/>
        <w:rPr>
          <w:rFonts w:hint="eastAsia" w:ascii="宋体" w:hAnsi="宋体"/>
          <w:sz w:val="30"/>
          <w:szCs w:val="30"/>
        </w:rPr>
      </w:pPr>
      <w:r>
        <w:rPr>
          <w:rFonts w:hint="eastAsia" w:ascii="宋体" w:hAnsi="宋体"/>
          <w:sz w:val="30"/>
          <w:szCs w:val="30"/>
          <w:lang w:val="en-US" w:eastAsia="zh-CN"/>
        </w:rPr>
        <w:t>2025</w:t>
      </w:r>
      <w:r>
        <w:rPr>
          <w:rFonts w:hint="eastAsia" w:ascii="宋体" w:hAnsi="宋体"/>
          <w:sz w:val="30"/>
          <w:szCs w:val="30"/>
        </w:rPr>
        <w:t xml:space="preserve">年    </w:t>
      </w:r>
      <w:r>
        <w:rPr>
          <w:rFonts w:hint="eastAsia" w:ascii="宋体" w:hAnsi="宋体"/>
          <w:sz w:val="30"/>
          <w:szCs w:val="30"/>
          <w:lang w:val="en-US" w:eastAsia="zh-CN"/>
        </w:rPr>
        <w:t>6</w:t>
      </w:r>
      <w:r>
        <w:rPr>
          <w:rFonts w:hint="eastAsia" w:ascii="宋体" w:hAnsi="宋体"/>
          <w:sz w:val="30"/>
          <w:szCs w:val="30"/>
        </w:rPr>
        <w:t xml:space="preserve"> 月  </w:t>
      </w:r>
      <w:r>
        <w:rPr>
          <w:rFonts w:hint="eastAsia" w:ascii="宋体" w:hAnsi="宋体"/>
          <w:sz w:val="30"/>
          <w:szCs w:val="30"/>
          <w:lang w:val="en-US" w:eastAsia="zh-CN"/>
        </w:rPr>
        <w:t>17</w:t>
      </w:r>
      <w:r>
        <w:rPr>
          <w:rFonts w:hint="eastAsia" w:ascii="宋体" w:hAnsi="宋体"/>
          <w:sz w:val="30"/>
          <w:szCs w:val="30"/>
        </w:rPr>
        <w:t xml:space="preserve">   日</w:t>
      </w:r>
    </w:p>
    <w:p w14:paraId="7DFFD1B1">
      <w:pPr>
        <w:rPr>
          <w:rFonts w:hint="eastAsia" w:ascii="宋体" w:hAnsi="宋体"/>
          <w:b/>
          <w:sz w:val="24"/>
          <w:szCs w:val="24"/>
        </w:rPr>
      </w:pPr>
    </w:p>
    <w:p w14:paraId="22E9D4F8">
      <w:pPr>
        <w:rPr>
          <w:rFonts w:hint="eastAsia" w:ascii="宋体" w:hAnsi="宋体"/>
        </w:rPr>
      </w:pPr>
      <w:r>
        <w:rPr>
          <w:rFonts w:hint="eastAsia" w:ascii="宋体" w:hAnsi="宋体"/>
        </w:rPr>
        <w:t xml:space="preserve"> </w:t>
      </w:r>
    </w:p>
    <w:p w14:paraId="64B60127">
      <w:pPr>
        <w:rPr>
          <w:rFonts w:hint="eastAsia" w:ascii="宋体" w:hAnsi="宋体"/>
        </w:rPr>
      </w:pPr>
    </w:p>
    <w:p w14:paraId="26D744F1">
      <w:pPr>
        <w:rPr>
          <w:rFonts w:hint="eastAsia" w:ascii="宋体" w:hAnsi="宋体"/>
        </w:rPr>
      </w:pPr>
    </w:p>
    <w:p w14:paraId="26AE729F">
      <w:pPr>
        <w:rPr>
          <w:rFonts w:hint="eastAsia" w:ascii="宋体" w:hAnsi="宋体"/>
        </w:rPr>
      </w:pPr>
    </w:p>
    <w:p w14:paraId="3FC5F462">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数据分析报告</w:t>
      </w:r>
    </w:p>
    <w:p w14:paraId="4D6B394A">
      <w:pPr>
        <w:keepNext w:val="0"/>
        <w:keepLines w:val="0"/>
        <w:pageBreakBefore w:val="0"/>
        <w:widowControl w:val="0"/>
        <w:numPr>
          <w:ilvl w:val="0"/>
          <w:numId w:val="1"/>
        </w:numPr>
        <w:kinsoku/>
        <w:wordWrap/>
        <w:overflowPunct/>
        <w:topLinePunct w:val="0"/>
        <w:autoSpaceDE/>
        <w:autoSpaceDN/>
        <w:bidi w:val="0"/>
        <w:adjustRightInd w:val="0"/>
        <w:snapToGrid w:val="0"/>
        <w:spacing w:line="560" w:lineRule="exac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问题提出</w:t>
      </w:r>
    </w:p>
    <w:p w14:paraId="17FD8A2F">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ind w:firstLine="420" w:firstLineChars="0"/>
        <w:jc w:val="both"/>
        <w:textAlignment w:val="auto"/>
        <w:rPr>
          <w:rFonts w:hint="default"/>
          <w:sz w:val="24"/>
          <w:szCs w:val="24"/>
          <w:lang w:val="en-US" w:eastAsia="zh-CN"/>
        </w:rPr>
      </w:pPr>
      <w:r>
        <w:rPr>
          <w:rFonts w:ascii="宋体" w:hAnsi="宋体" w:eastAsia="宋体" w:cs="宋体"/>
          <w:sz w:val="24"/>
          <w:szCs w:val="24"/>
        </w:rPr>
        <w:t>随着数字金融的发展，信贷风险管理成为银行与金融机构的核心任务之一。传统风控往往依赖历史违约记录，而大数据分析方法则可以通过客户行为数据、社会属性及市场变量预测潜在风险，从而实现更早期的风险识别。本报告旨在利用所提供客户数据，分析影响“认购金融产品（subscribe）”的因素，反推出高风险客户的潜在特征</w:t>
      </w:r>
    </w:p>
    <w:p w14:paraId="38C935AD">
      <w:pPr>
        <w:keepNext w:val="0"/>
        <w:keepLines w:val="0"/>
        <w:pageBreakBefore w:val="0"/>
        <w:widowControl w:val="0"/>
        <w:numPr>
          <w:ilvl w:val="0"/>
          <w:numId w:val="1"/>
        </w:numPr>
        <w:kinsoku/>
        <w:wordWrap/>
        <w:overflowPunct/>
        <w:topLinePunct w:val="0"/>
        <w:autoSpaceDE/>
        <w:autoSpaceDN/>
        <w:bidi w:val="0"/>
        <w:adjustRightInd w:val="0"/>
        <w:snapToGrid w:val="0"/>
        <w:spacing w:line="560" w:lineRule="exac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数据预处理与描述性统计分析</w:t>
      </w:r>
    </w:p>
    <w:p w14:paraId="5ABA5303">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ind w:firstLine="420" w:firstLineChars="0"/>
        <w:jc w:val="both"/>
        <w:textAlignment w:val="auto"/>
        <w:rPr>
          <w:rFonts w:hint="eastAsia"/>
          <w:sz w:val="24"/>
          <w:szCs w:val="24"/>
          <w:lang w:val="en-US" w:eastAsia="zh-CN"/>
        </w:rPr>
      </w:pPr>
      <w:r>
        <w:rPr>
          <w:rFonts w:hint="eastAsia"/>
          <w:sz w:val="24"/>
          <w:szCs w:val="24"/>
          <w:lang w:val="en-US" w:eastAsia="zh-CN"/>
        </w:rPr>
        <w:t>对数据基本情况进行处理，如缺失值处理，定义新变量等，而后对处理好的数据进行描述性统计分析。</w:t>
      </w:r>
    </w:p>
    <w:tbl>
      <w:tblPr>
        <w:tblStyle w:val="4"/>
        <w:tblW w:w="9113" w:type="dxa"/>
        <w:tblCellSpacing w:w="15" w:type="dxa"/>
        <w:tblInd w:w="-5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46"/>
        <w:gridCol w:w="8367"/>
      </w:tblGrid>
      <w:tr w14:paraId="6BF652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701" w:type="dxa"/>
            <w:shd w:val="clear" w:color="auto" w:fill="auto"/>
            <w:vAlign w:val="center"/>
          </w:tcPr>
          <w:p w14:paraId="7DEE37DF">
            <w:pPr>
              <w:keepNext w:val="0"/>
              <w:keepLines w:val="0"/>
              <w:widowControl/>
              <w:suppressLineNumbers w:val="0"/>
              <w:jc w:val="center"/>
              <w:rPr>
                <w:b/>
                <w:bCs/>
              </w:rPr>
            </w:pPr>
            <w:r>
              <w:rPr>
                <w:rFonts w:ascii="宋体" w:hAnsi="宋体" w:eastAsia="宋体" w:cs="宋体"/>
                <w:b/>
                <w:bCs/>
                <w:kern w:val="0"/>
                <w:sz w:val="24"/>
                <w:szCs w:val="24"/>
                <w:lang w:val="en-US" w:eastAsia="zh-CN" w:bidi="ar"/>
              </w:rPr>
              <w:t>步骤</w:t>
            </w:r>
          </w:p>
        </w:tc>
        <w:tc>
          <w:tcPr>
            <w:tcW w:w="8322" w:type="dxa"/>
            <w:shd w:val="clear" w:color="auto" w:fill="auto"/>
            <w:vAlign w:val="center"/>
          </w:tcPr>
          <w:p w14:paraId="2489E379">
            <w:pPr>
              <w:keepNext w:val="0"/>
              <w:keepLines w:val="0"/>
              <w:widowControl/>
              <w:suppressLineNumbers w:val="0"/>
              <w:jc w:val="center"/>
              <w:rPr>
                <w:b/>
                <w:bCs/>
              </w:rPr>
            </w:pPr>
            <w:r>
              <w:rPr>
                <w:rFonts w:ascii="宋体" w:hAnsi="宋体" w:eastAsia="宋体" w:cs="宋体"/>
                <w:b/>
                <w:bCs/>
                <w:kern w:val="0"/>
                <w:sz w:val="24"/>
                <w:szCs w:val="24"/>
                <w:lang w:val="en-US" w:eastAsia="zh-CN" w:bidi="ar"/>
              </w:rPr>
              <w:t>操作说明</w:t>
            </w:r>
          </w:p>
        </w:tc>
      </w:tr>
      <w:tr w14:paraId="6B4489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701" w:type="dxa"/>
            <w:shd w:val="clear" w:color="auto" w:fill="auto"/>
            <w:vAlign w:val="center"/>
          </w:tcPr>
          <w:p w14:paraId="48511D3B">
            <w:pPr>
              <w:keepNext w:val="0"/>
              <w:keepLines w:val="0"/>
              <w:widowControl/>
              <w:suppressLineNumbers w:val="0"/>
              <w:jc w:val="left"/>
            </w:pPr>
            <w:r>
              <w:rPr>
                <w:rFonts w:ascii="宋体" w:hAnsi="宋体" w:eastAsia="宋体" w:cs="宋体"/>
                <w:kern w:val="0"/>
                <w:sz w:val="24"/>
                <w:szCs w:val="24"/>
                <w:lang w:val="en-US" w:eastAsia="zh-CN" w:bidi="ar"/>
              </w:rPr>
              <w:t>1</w:t>
            </w:r>
          </w:p>
        </w:tc>
        <w:tc>
          <w:tcPr>
            <w:tcW w:w="8322" w:type="dxa"/>
            <w:shd w:val="clear" w:color="auto" w:fill="auto"/>
            <w:vAlign w:val="center"/>
          </w:tcPr>
          <w:p w14:paraId="7C84F6EC">
            <w:pPr>
              <w:keepNext w:val="0"/>
              <w:keepLines w:val="0"/>
              <w:widowControl/>
              <w:suppressLineNumbers w:val="0"/>
              <w:jc w:val="left"/>
              <w:rPr>
                <w:rFonts w:hint="default" w:eastAsia="宋体"/>
                <w:lang w:val="en-US" w:eastAsia="zh-CN"/>
              </w:rPr>
            </w:pPr>
            <w:r>
              <w:rPr>
                <w:rFonts w:hint="eastAsia"/>
                <w:lang w:val="en-US" w:eastAsia="zh-CN"/>
              </w:rPr>
              <w:t>对数据进行观察，对一些数据进行优化前的准备</w:t>
            </w:r>
          </w:p>
        </w:tc>
      </w:tr>
      <w:tr w14:paraId="3E5BBD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701" w:type="dxa"/>
            <w:shd w:val="clear" w:color="auto" w:fill="auto"/>
            <w:vAlign w:val="center"/>
          </w:tcPr>
          <w:p w14:paraId="31FF27EB">
            <w:pPr>
              <w:keepNext w:val="0"/>
              <w:keepLines w:val="0"/>
              <w:widowControl/>
              <w:suppressLineNumbers w:val="0"/>
              <w:jc w:val="left"/>
            </w:pPr>
            <w:r>
              <w:rPr>
                <w:rFonts w:ascii="宋体" w:hAnsi="宋体" w:eastAsia="宋体" w:cs="宋体"/>
                <w:kern w:val="0"/>
                <w:sz w:val="24"/>
                <w:szCs w:val="24"/>
                <w:lang w:val="en-US" w:eastAsia="zh-CN" w:bidi="ar"/>
              </w:rPr>
              <w:t>2</w:t>
            </w:r>
          </w:p>
        </w:tc>
        <w:tc>
          <w:tcPr>
            <w:tcW w:w="8322" w:type="dxa"/>
            <w:shd w:val="clear" w:color="auto" w:fill="auto"/>
            <w:vAlign w:val="center"/>
          </w:tcPr>
          <w:p w14:paraId="430B666E">
            <w:pPr>
              <w:keepNext w:val="0"/>
              <w:keepLines w:val="0"/>
              <w:widowControl/>
              <w:suppressLineNumbers w:val="0"/>
              <w:jc w:val="left"/>
            </w:pPr>
            <w:r>
              <w:rPr>
                <w:rFonts w:ascii="宋体" w:hAnsi="宋体" w:eastAsia="宋体" w:cs="宋体"/>
                <w:kern w:val="0"/>
                <w:sz w:val="24"/>
                <w:szCs w:val="24"/>
                <w:lang w:val="en-US" w:eastAsia="zh-CN" w:bidi="ar"/>
              </w:rPr>
              <w:t>将“default”、“housing”、“loan”中值为“unknown”的行标红/筛选出来，标记为“信息缺失”客户</w:t>
            </w:r>
          </w:p>
        </w:tc>
      </w:tr>
      <w:tr w14:paraId="7A776C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701" w:type="dxa"/>
            <w:shd w:val="clear" w:color="auto" w:fill="auto"/>
            <w:vAlign w:val="center"/>
          </w:tcPr>
          <w:p w14:paraId="63960606">
            <w:pPr>
              <w:keepNext w:val="0"/>
              <w:keepLines w:val="0"/>
              <w:widowControl/>
              <w:suppressLineNumbers w:val="0"/>
              <w:jc w:val="left"/>
            </w:pPr>
            <w:r>
              <w:rPr>
                <w:rFonts w:ascii="宋体" w:hAnsi="宋体" w:eastAsia="宋体" w:cs="宋体"/>
                <w:kern w:val="0"/>
                <w:sz w:val="24"/>
                <w:szCs w:val="24"/>
                <w:lang w:val="en-US" w:eastAsia="zh-CN" w:bidi="ar"/>
              </w:rPr>
              <w:t>3</w:t>
            </w:r>
          </w:p>
        </w:tc>
        <w:tc>
          <w:tcPr>
            <w:tcW w:w="8322" w:type="dxa"/>
            <w:shd w:val="clear" w:color="auto" w:fill="auto"/>
            <w:vAlign w:val="center"/>
          </w:tcPr>
          <w:p w14:paraId="5EFCB5C1">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 xml:space="preserve">使用“数据”工具 → “描述统计”对 </w:t>
            </w:r>
            <w:r>
              <w:rPr>
                <w:rStyle w:val="8"/>
                <w:rFonts w:ascii="宋体" w:hAnsi="宋体" w:eastAsia="宋体" w:cs="宋体"/>
                <w:kern w:val="0"/>
                <w:sz w:val="24"/>
                <w:szCs w:val="24"/>
                <w:lang w:val="en-US" w:eastAsia="zh-CN" w:bidi="ar"/>
              </w:rPr>
              <w:t>duration</w:t>
            </w:r>
            <w:r>
              <w:rPr>
                <w:rFonts w:ascii="宋体" w:hAnsi="宋体" w:eastAsia="宋体" w:cs="宋体"/>
                <w:kern w:val="0"/>
                <w:sz w:val="24"/>
                <w:szCs w:val="24"/>
                <w:lang w:val="en-US" w:eastAsia="zh-CN" w:bidi="ar"/>
              </w:rPr>
              <w:t>、</w:t>
            </w:r>
            <w:r>
              <w:rPr>
                <w:rStyle w:val="8"/>
                <w:rFonts w:ascii="宋体" w:hAnsi="宋体" w:eastAsia="宋体" w:cs="宋体"/>
                <w:kern w:val="0"/>
                <w:sz w:val="24"/>
                <w:szCs w:val="24"/>
                <w:lang w:val="en-US" w:eastAsia="zh-CN" w:bidi="ar"/>
              </w:rPr>
              <w:t>age</w:t>
            </w:r>
            <w:r>
              <w:rPr>
                <w:rFonts w:ascii="宋体" w:hAnsi="宋体" w:eastAsia="宋体" w:cs="宋体"/>
                <w:kern w:val="0"/>
                <w:sz w:val="24"/>
                <w:szCs w:val="24"/>
                <w:lang w:val="en-US" w:eastAsia="zh-CN" w:bidi="ar"/>
              </w:rPr>
              <w:t>、</w:t>
            </w:r>
            <w:r>
              <w:rPr>
                <w:rStyle w:val="8"/>
                <w:rFonts w:ascii="宋体" w:hAnsi="宋体" w:eastAsia="宋体" w:cs="宋体"/>
                <w:kern w:val="0"/>
                <w:sz w:val="24"/>
                <w:szCs w:val="24"/>
                <w:lang w:val="en-US" w:eastAsia="zh-CN" w:bidi="ar"/>
              </w:rPr>
              <w:t>campaign</w:t>
            </w:r>
            <w:r>
              <w:rPr>
                <w:rStyle w:val="8"/>
                <w:rFonts w:hint="eastAsia" w:ascii="宋体" w:hAnsi="宋体" w:cs="宋体"/>
                <w:kern w:val="0"/>
                <w:sz w:val="24"/>
                <w:szCs w:val="24"/>
                <w:lang w:val="en-US" w:eastAsia="zh-CN" w:bidi="ar"/>
              </w:rPr>
              <w:t>、pday</w:t>
            </w:r>
            <w:r>
              <w:rPr>
                <w:rFonts w:ascii="宋体" w:hAnsi="宋体" w:eastAsia="宋体" w:cs="宋体"/>
                <w:kern w:val="0"/>
                <w:sz w:val="24"/>
                <w:szCs w:val="24"/>
                <w:lang w:val="en-US" w:eastAsia="zh-CN" w:bidi="ar"/>
              </w:rPr>
              <w:t xml:space="preserve"> 做均值、标准差、中位数分析</w:t>
            </w:r>
            <w:r>
              <w:rPr>
                <w:rFonts w:hint="eastAsia" w:ascii="宋体" w:hAnsi="宋体" w:cs="宋体"/>
                <w:kern w:val="0"/>
                <w:sz w:val="24"/>
                <w:szCs w:val="24"/>
                <w:lang w:val="en-US" w:eastAsia="zh-CN" w:bidi="ar"/>
              </w:rPr>
              <w:t>等描述性统计分析</w:t>
            </w:r>
          </w:p>
        </w:tc>
      </w:tr>
      <w:tr w14:paraId="3A9BFB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701" w:type="dxa"/>
            <w:shd w:val="clear" w:color="auto" w:fill="auto"/>
            <w:vAlign w:val="center"/>
          </w:tcPr>
          <w:p w14:paraId="49466917">
            <w:pPr>
              <w:keepNext w:val="0"/>
              <w:keepLines w:val="0"/>
              <w:widowControl/>
              <w:suppressLineNumbers w:val="0"/>
              <w:jc w:val="left"/>
            </w:pPr>
            <w:r>
              <w:rPr>
                <w:rFonts w:ascii="宋体" w:hAnsi="宋体" w:eastAsia="宋体" w:cs="宋体"/>
                <w:kern w:val="0"/>
                <w:sz w:val="24"/>
                <w:szCs w:val="24"/>
                <w:lang w:val="en-US" w:eastAsia="zh-CN" w:bidi="ar"/>
              </w:rPr>
              <w:t>4</w:t>
            </w:r>
          </w:p>
        </w:tc>
        <w:tc>
          <w:tcPr>
            <w:tcW w:w="8322" w:type="dxa"/>
            <w:shd w:val="clear" w:color="auto" w:fill="auto"/>
            <w:vAlign w:val="center"/>
          </w:tcPr>
          <w:p w14:paraId="10B65AC4">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 xml:space="preserve">使用“插入图表” → “饼图”分析 </w:t>
            </w:r>
            <w:r>
              <w:rPr>
                <w:rStyle w:val="8"/>
                <w:rFonts w:ascii="宋体" w:hAnsi="宋体" w:eastAsia="宋体" w:cs="宋体"/>
                <w:kern w:val="0"/>
                <w:sz w:val="24"/>
                <w:szCs w:val="24"/>
                <w:lang w:val="en-US" w:eastAsia="zh-CN" w:bidi="ar"/>
              </w:rPr>
              <w:t>marital</w:t>
            </w:r>
            <w:r>
              <w:rPr>
                <w:rStyle w:val="8"/>
                <w:rFonts w:hint="eastAsia" w:ascii="宋体" w:hAnsi="宋体" w:cs="宋体"/>
                <w:kern w:val="0"/>
                <w:sz w:val="24"/>
                <w:szCs w:val="24"/>
                <w:lang w:val="en-US" w:eastAsia="zh-CN" w:bidi="ar"/>
              </w:rPr>
              <w:t>/age/job</w:t>
            </w:r>
          </w:p>
        </w:tc>
      </w:tr>
      <w:tr w14:paraId="23C7F3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701" w:type="dxa"/>
            <w:shd w:val="clear" w:color="auto" w:fill="auto"/>
            <w:vAlign w:val="center"/>
          </w:tcPr>
          <w:p w14:paraId="1C53F8B9">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p>
        </w:tc>
        <w:tc>
          <w:tcPr>
            <w:tcW w:w="8322" w:type="dxa"/>
            <w:shd w:val="clear" w:color="auto" w:fill="auto"/>
            <w:vAlign w:val="center"/>
          </w:tcPr>
          <w:p w14:paraId="6A7542F0">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新增age_grade列</w:t>
            </w:r>
            <w:r>
              <w:rPr>
                <w:rFonts w:hint="eastAsia" w:ascii="宋体" w:hAnsi="宋体" w:eastAsia="宋体" w:cs="宋体"/>
                <w:kern w:val="0"/>
                <w:sz w:val="24"/>
                <w:szCs w:val="24"/>
                <w:lang w:val="en-US" w:eastAsia="zh-CN" w:bidi="ar"/>
              </w:rPr>
              <w:t>=IF(B2&lt;30,"青年",IF(B2&lt;50,"中年","老年"))</w:t>
            </w:r>
          </w:p>
          <w:p w14:paraId="43465C60">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新增edu_level列=IF(E2="university.degree","高等教育",IF(E2="high.school","中等教育","基础教育"))</w:t>
            </w:r>
          </w:p>
          <w:p w14:paraId="7C1A0C27">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新增risk_flog列=IF(OR(F2="yes",G2="yes",H2="yes"),"高风险","低风险")</w:t>
            </w:r>
          </w:p>
        </w:tc>
      </w:tr>
    </w:tbl>
    <w:p w14:paraId="7A001B44">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pPr>
      <w:r>
        <w:rPr>
          <w:rFonts w:hint="eastAsia"/>
          <w:sz w:val="24"/>
          <w:szCs w:val="24"/>
          <w:lang w:val="en-US" w:eastAsia="zh-CN"/>
        </w:rPr>
        <w:t>注：此处描述统计是使用excel</w:t>
      </w:r>
    </w:p>
    <w:p w14:paraId="3EE49170">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pPr>
      <w:r>
        <w:drawing>
          <wp:anchor distT="0" distB="0" distL="114300" distR="114300" simplePos="0" relativeHeight="251661312" behindDoc="1" locked="0" layoutInCell="1" allowOverlap="1">
            <wp:simplePos x="0" y="0"/>
            <wp:positionH relativeFrom="column">
              <wp:posOffset>-71120</wp:posOffset>
            </wp:positionH>
            <wp:positionV relativeFrom="paragraph">
              <wp:posOffset>61595</wp:posOffset>
            </wp:positionV>
            <wp:extent cx="3983990" cy="2506980"/>
            <wp:effectExtent l="0" t="0" r="381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983990" cy="2506980"/>
                    </a:xfrm>
                    <a:prstGeom prst="rect">
                      <a:avLst/>
                    </a:prstGeom>
                    <a:noFill/>
                    <a:ln>
                      <a:noFill/>
                    </a:ln>
                  </pic:spPr>
                </pic:pic>
              </a:graphicData>
            </a:graphic>
          </wp:anchor>
        </w:drawing>
      </w:r>
    </w:p>
    <w:p w14:paraId="0947B933">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pPr>
    </w:p>
    <w:p w14:paraId="7840576C">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pPr>
    </w:p>
    <w:p w14:paraId="0ABB5D7E">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pPr>
    </w:p>
    <w:p w14:paraId="2E12C5C6">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default"/>
          <w:sz w:val="24"/>
          <w:szCs w:val="24"/>
          <w:lang w:val="en-US" w:eastAsia="zh-CN"/>
        </w:rPr>
      </w:pPr>
    </w:p>
    <w:p w14:paraId="0BE6BEF9">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default"/>
          <w:sz w:val="24"/>
          <w:szCs w:val="24"/>
          <w:lang w:val="en-US" w:eastAsia="zh-CN"/>
        </w:rPr>
      </w:pPr>
    </w:p>
    <w:p w14:paraId="2C035C6F">
      <w:pPr>
        <w:keepNext w:val="0"/>
        <w:keepLines w:val="0"/>
        <w:pageBreakBefore w:val="0"/>
        <w:widowControl w:val="0"/>
        <w:numPr>
          <w:ilvl w:val="0"/>
          <w:numId w:val="1"/>
        </w:numPr>
        <w:kinsoku/>
        <w:wordWrap/>
        <w:overflowPunct/>
        <w:topLinePunct w:val="0"/>
        <w:autoSpaceDE/>
        <w:autoSpaceDN/>
        <w:bidi w:val="0"/>
        <w:adjustRightInd w:val="0"/>
        <w:snapToGrid w:val="0"/>
        <w:spacing w:line="560" w:lineRule="exac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分析问题（标题可更改）</w:t>
      </w:r>
    </w:p>
    <w:p w14:paraId="47FFDEA6">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ind w:firstLine="420" w:firstLineChars="0"/>
        <w:jc w:val="both"/>
        <w:textAlignment w:val="auto"/>
        <w:rPr>
          <w:rFonts w:hint="default"/>
          <w:sz w:val="24"/>
          <w:szCs w:val="24"/>
          <w:lang w:val="en-US" w:eastAsia="zh-CN"/>
        </w:rPr>
      </w:pPr>
      <w:r>
        <w:rPr>
          <w:rFonts w:hint="eastAsia"/>
          <w:sz w:val="24"/>
          <w:szCs w:val="24"/>
          <w:lang w:val="en-US" w:eastAsia="zh-CN"/>
        </w:rPr>
        <w:t>对数据进行分析，说明主要观点。</w:t>
      </w:r>
    </w:p>
    <w:p w14:paraId="5482AFEC">
      <w:pPr>
        <w:keepNext w:val="0"/>
        <w:keepLines w:val="0"/>
        <w:pageBreakBefore w:val="0"/>
        <w:widowControl w:val="0"/>
        <w:numPr>
          <w:ilvl w:val="0"/>
          <w:numId w:val="2"/>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通过使用python，我们可以快速获得数据的描述性统计分析</w:t>
      </w:r>
    </w:p>
    <w:p w14:paraId="40D8CBE4">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import  pandas as pd</w:t>
      </w:r>
    </w:p>
    <w:p w14:paraId="079FFEA9">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import  numpy  as np</w:t>
      </w:r>
    </w:p>
    <w:p w14:paraId="447EEBB0">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df = pd.read_excel("data.xlsx")</w:t>
      </w:r>
    </w:p>
    <w:p w14:paraId="7C5ED646">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df.describe()</w:t>
      </w:r>
    </w:p>
    <w:tbl>
      <w:tblPr>
        <w:tblStyle w:val="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1929"/>
        <w:gridCol w:w="622"/>
        <w:gridCol w:w="1062"/>
        <w:gridCol w:w="1062"/>
        <w:gridCol w:w="737"/>
        <w:gridCol w:w="737"/>
        <w:gridCol w:w="818"/>
        <w:gridCol w:w="900"/>
        <w:gridCol w:w="655"/>
      </w:tblGrid>
      <w:tr w14:paraId="274CBE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nil"/>
              <w:left w:val="nil"/>
              <w:bottom w:val="nil"/>
              <w:right w:val="nil"/>
            </w:tcBorders>
            <w:noWrap/>
            <w:vAlign w:val="center"/>
          </w:tcPr>
          <w:p w14:paraId="6A4E7A8D">
            <w:pPr>
              <w:rPr>
                <w:rFonts w:hint="default" w:ascii="宋体" w:hAnsi="宋体" w:eastAsia="宋体" w:cs="宋体"/>
                <w:i w:val="0"/>
                <w:iCs w:val="0"/>
                <w:color w:val="000000"/>
                <w:sz w:val="22"/>
                <w:szCs w:val="22"/>
                <w:u w:val="none"/>
                <w:lang w:val="en-US" w:eastAsia="zh-CN"/>
              </w:rPr>
            </w:pPr>
          </w:p>
        </w:tc>
        <w:tc>
          <w:tcPr>
            <w:tcW w:w="499" w:type="pct"/>
            <w:tcBorders>
              <w:top w:val="single" w:color="000000" w:sz="4" w:space="0"/>
              <w:left w:val="single" w:color="000000" w:sz="4" w:space="0"/>
              <w:bottom w:val="single" w:color="000000" w:sz="4" w:space="0"/>
              <w:right w:val="single" w:color="000000" w:sz="4" w:space="0"/>
            </w:tcBorders>
            <w:vAlign w:val="center"/>
          </w:tcPr>
          <w:p w14:paraId="40222FB8">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count</w:t>
            </w:r>
          </w:p>
        </w:tc>
        <w:tc>
          <w:tcPr>
            <w:tcW w:w="499" w:type="pct"/>
            <w:tcBorders>
              <w:top w:val="single" w:color="000000" w:sz="4" w:space="0"/>
              <w:left w:val="single" w:color="000000" w:sz="4" w:space="0"/>
              <w:bottom w:val="single" w:color="000000" w:sz="4" w:space="0"/>
              <w:right w:val="single" w:color="000000" w:sz="4" w:space="0"/>
            </w:tcBorders>
            <w:vAlign w:val="center"/>
          </w:tcPr>
          <w:p w14:paraId="77BE6424">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mean</w:t>
            </w:r>
          </w:p>
        </w:tc>
        <w:tc>
          <w:tcPr>
            <w:tcW w:w="499" w:type="pct"/>
            <w:tcBorders>
              <w:top w:val="single" w:color="000000" w:sz="4" w:space="0"/>
              <w:left w:val="single" w:color="000000" w:sz="4" w:space="0"/>
              <w:bottom w:val="single" w:color="000000" w:sz="4" w:space="0"/>
              <w:right w:val="single" w:color="000000" w:sz="4" w:space="0"/>
            </w:tcBorders>
            <w:vAlign w:val="center"/>
          </w:tcPr>
          <w:p w14:paraId="41684128">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std</w:t>
            </w:r>
          </w:p>
        </w:tc>
        <w:tc>
          <w:tcPr>
            <w:tcW w:w="499" w:type="pct"/>
            <w:tcBorders>
              <w:top w:val="single" w:color="000000" w:sz="4" w:space="0"/>
              <w:left w:val="single" w:color="000000" w:sz="4" w:space="0"/>
              <w:bottom w:val="single" w:color="000000" w:sz="4" w:space="0"/>
              <w:right w:val="single" w:color="000000" w:sz="4" w:space="0"/>
            </w:tcBorders>
            <w:vAlign w:val="center"/>
          </w:tcPr>
          <w:p w14:paraId="3BCB5A64">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min</w:t>
            </w:r>
          </w:p>
        </w:tc>
        <w:tc>
          <w:tcPr>
            <w:tcW w:w="499" w:type="pct"/>
            <w:tcBorders>
              <w:top w:val="single" w:color="000000" w:sz="4" w:space="0"/>
              <w:left w:val="single" w:color="000000" w:sz="4" w:space="0"/>
              <w:bottom w:val="single" w:color="000000" w:sz="4" w:space="0"/>
              <w:right w:val="single" w:color="000000" w:sz="4" w:space="0"/>
            </w:tcBorders>
            <w:vAlign w:val="center"/>
          </w:tcPr>
          <w:p w14:paraId="13B4FC3D">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25%</w:t>
            </w:r>
          </w:p>
        </w:tc>
        <w:tc>
          <w:tcPr>
            <w:tcW w:w="499" w:type="pct"/>
            <w:tcBorders>
              <w:top w:val="single" w:color="000000" w:sz="4" w:space="0"/>
              <w:left w:val="single" w:color="000000" w:sz="4" w:space="0"/>
              <w:bottom w:val="single" w:color="000000" w:sz="4" w:space="0"/>
              <w:right w:val="single" w:color="000000" w:sz="4" w:space="0"/>
            </w:tcBorders>
            <w:vAlign w:val="center"/>
          </w:tcPr>
          <w:p w14:paraId="61E042FF">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50%</w:t>
            </w:r>
          </w:p>
        </w:tc>
        <w:tc>
          <w:tcPr>
            <w:tcW w:w="500" w:type="pct"/>
            <w:tcBorders>
              <w:top w:val="single" w:color="000000" w:sz="4" w:space="0"/>
              <w:left w:val="single" w:color="000000" w:sz="4" w:space="0"/>
              <w:bottom w:val="single" w:color="000000" w:sz="4" w:space="0"/>
              <w:right w:val="single" w:color="000000" w:sz="4" w:space="0"/>
            </w:tcBorders>
            <w:vAlign w:val="center"/>
          </w:tcPr>
          <w:p w14:paraId="59A75D53">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75%</w:t>
            </w:r>
          </w:p>
        </w:tc>
        <w:tc>
          <w:tcPr>
            <w:tcW w:w="500" w:type="pct"/>
            <w:tcBorders>
              <w:top w:val="single" w:color="000000" w:sz="4" w:space="0"/>
              <w:left w:val="single" w:color="000000" w:sz="4" w:space="0"/>
              <w:bottom w:val="single" w:color="000000" w:sz="4" w:space="0"/>
              <w:right w:val="single" w:color="000000" w:sz="4" w:space="0"/>
            </w:tcBorders>
            <w:vAlign w:val="center"/>
          </w:tcPr>
          <w:p w14:paraId="34842A83">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max</w:t>
            </w:r>
          </w:p>
        </w:tc>
      </w:tr>
      <w:tr w14:paraId="4F276E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43087F6D">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id</w:t>
            </w:r>
          </w:p>
        </w:tc>
        <w:tc>
          <w:tcPr>
            <w:tcW w:w="499" w:type="pct"/>
            <w:tcBorders>
              <w:top w:val="single" w:color="000000" w:sz="4" w:space="0"/>
              <w:left w:val="single" w:color="000000" w:sz="4" w:space="0"/>
              <w:bottom w:val="single" w:color="000000" w:sz="4" w:space="0"/>
              <w:right w:val="single" w:color="000000" w:sz="4" w:space="0"/>
            </w:tcBorders>
            <w:vAlign w:val="center"/>
          </w:tcPr>
          <w:p w14:paraId="7444B240">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6731BA19">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11250.5</w:t>
            </w:r>
          </w:p>
        </w:tc>
        <w:tc>
          <w:tcPr>
            <w:tcW w:w="499" w:type="pct"/>
            <w:tcBorders>
              <w:top w:val="single" w:color="000000" w:sz="4" w:space="0"/>
              <w:left w:val="single" w:color="000000" w:sz="4" w:space="0"/>
              <w:bottom w:val="single" w:color="000000" w:sz="4" w:space="0"/>
              <w:right w:val="single" w:color="000000" w:sz="4" w:space="0"/>
            </w:tcBorders>
            <w:vAlign w:val="center"/>
          </w:tcPr>
          <w:p w14:paraId="2EF1B442">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6495.334864</w:t>
            </w:r>
          </w:p>
        </w:tc>
        <w:tc>
          <w:tcPr>
            <w:tcW w:w="499" w:type="pct"/>
            <w:tcBorders>
              <w:top w:val="single" w:color="000000" w:sz="4" w:space="0"/>
              <w:left w:val="single" w:color="000000" w:sz="4" w:space="0"/>
              <w:bottom w:val="single" w:color="000000" w:sz="4" w:space="0"/>
              <w:right w:val="single" w:color="000000" w:sz="4" w:space="0"/>
            </w:tcBorders>
            <w:vAlign w:val="center"/>
          </w:tcPr>
          <w:p w14:paraId="53D6B09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w:t>
            </w:r>
          </w:p>
        </w:tc>
        <w:tc>
          <w:tcPr>
            <w:tcW w:w="499" w:type="pct"/>
            <w:tcBorders>
              <w:top w:val="single" w:color="000000" w:sz="4" w:space="0"/>
              <w:left w:val="single" w:color="000000" w:sz="4" w:space="0"/>
              <w:bottom w:val="single" w:color="000000" w:sz="4" w:space="0"/>
              <w:right w:val="single" w:color="000000" w:sz="4" w:space="0"/>
            </w:tcBorders>
            <w:vAlign w:val="center"/>
          </w:tcPr>
          <w:p w14:paraId="3F757886">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5625.75</w:t>
            </w:r>
          </w:p>
        </w:tc>
        <w:tc>
          <w:tcPr>
            <w:tcW w:w="499" w:type="pct"/>
            <w:tcBorders>
              <w:top w:val="single" w:color="000000" w:sz="4" w:space="0"/>
              <w:left w:val="single" w:color="000000" w:sz="4" w:space="0"/>
              <w:bottom w:val="single" w:color="000000" w:sz="4" w:space="0"/>
              <w:right w:val="single" w:color="000000" w:sz="4" w:space="0"/>
            </w:tcBorders>
            <w:vAlign w:val="center"/>
          </w:tcPr>
          <w:p w14:paraId="6DD858B2">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11250.5</w:t>
            </w:r>
          </w:p>
        </w:tc>
        <w:tc>
          <w:tcPr>
            <w:tcW w:w="500" w:type="pct"/>
            <w:tcBorders>
              <w:top w:val="single" w:color="000000" w:sz="4" w:space="0"/>
              <w:left w:val="single" w:color="000000" w:sz="4" w:space="0"/>
              <w:bottom w:val="single" w:color="000000" w:sz="4" w:space="0"/>
              <w:right w:val="single" w:color="000000" w:sz="4" w:space="0"/>
            </w:tcBorders>
            <w:vAlign w:val="center"/>
          </w:tcPr>
          <w:p w14:paraId="49DE6875">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16875.25</w:t>
            </w:r>
          </w:p>
        </w:tc>
        <w:tc>
          <w:tcPr>
            <w:tcW w:w="500" w:type="pct"/>
            <w:tcBorders>
              <w:top w:val="single" w:color="000000" w:sz="4" w:space="0"/>
              <w:left w:val="single" w:color="000000" w:sz="4" w:space="0"/>
              <w:bottom w:val="single" w:color="000000" w:sz="4" w:space="0"/>
              <w:right w:val="single" w:color="000000" w:sz="4" w:space="0"/>
            </w:tcBorders>
            <w:vAlign w:val="center"/>
          </w:tcPr>
          <w:p w14:paraId="22552A31">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r>
      <w:tr w14:paraId="7A25EF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20BEC68C">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age</w:t>
            </w:r>
          </w:p>
        </w:tc>
        <w:tc>
          <w:tcPr>
            <w:tcW w:w="499" w:type="pct"/>
            <w:tcBorders>
              <w:top w:val="single" w:color="000000" w:sz="4" w:space="0"/>
              <w:left w:val="single" w:color="000000" w:sz="4" w:space="0"/>
              <w:bottom w:val="single" w:color="000000" w:sz="4" w:space="0"/>
              <w:right w:val="single" w:color="000000" w:sz="4" w:space="0"/>
            </w:tcBorders>
            <w:vAlign w:val="center"/>
          </w:tcPr>
          <w:p w14:paraId="04CED199">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22B72A25">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40.407511</w:t>
            </w:r>
          </w:p>
        </w:tc>
        <w:tc>
          <w:tcPr>
            <w:tcW w:w="499" w:type="pct"/>
            <w:tcBorders>
              <w:top w:val="single" w:color="000000" w:sz="4" w:space="0"/>
              <w:left w:val="single" w:color="000000" w:sz="4" w:space="0"/>
              <w:bottom w:val="single" w:color="000000" w:sz="4" w:space="0"/>
              <w:right w:val="single" w:color="000000" w:sz="4" w:space="0"/>
            </w:tcBorders>
            <w:vAlign w:val="center"/>
          </w:tcPr>
          <w:p w14:paraId="44A975F1">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12.086078</w:t>
            </w:r>
          </w:p>
        </w:tc>
        <w:tc>
          <w:tcPr>
            <w:tcW w:w="499" w:type="pct"/>
            <w:tcBorders>
              <w:top w:val="single" w:color="000000" w:sz="4" w:space="0"/>
              <w:left w:val="single" w:color="000000" w:sz="4" w:space="0"/>
              <w:bottom w:val="single" w:color="000000" w:sz="4" w:space="0"/>
              <w:right w:val="single" w:color="000000" w:sz="4" w:space="0"/>
            </w:tcBorders>
            <w:vAlign w:val="center"/>
          </w:tcPr>
          <w:p w14:paraId="73CF3419">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16</w:t>
            </w:r>
          </w:p>
        </w:tc>
        <w:tc>
          <w:tcPr>
            <w:tcW w:w="499" w:type="pct"/>
            <w:tcBorders>
              <w:top w:val="single" w:color="000000" w:sz="4" w:space="0"/>
              <w:left w:val="single" w:color="000000" w:sz="4" w:space="0"/>
              <w:bottom w:val="single" w:color="000000" w:sz="4" w:space="0"/>
              <w:right w:val="single" w:color="000000" w:sz="4" w:space="0"/>
            </w:tcBorders>
            <w:vAlign w:val="center"/>
          </w:tcPr>
          <w:p w14:paraId="7CD9A6E6">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32</w:t>
            </w:r>
          </w:p>
        </w:tc>
        <w:tc>
          <w:tcPr>
            <w:tcW w:w="499" w:type="pct"/>
            <w:tcBorders>
              <w:top w:val="single" w:color="000000" w:sz="4" w:space="0"/>
              <w:left w:val="single" w:color="000000" w:sz="4" w:space="0"/>
              <w:bottom w:val="single" w:color="000000" w:sz="4" w:space="0"/>
              <w:right w:val="single" w:color="000000" w:sz="4" w:space="0"/>
            </w:tcBorders>
            <w:vAlign w:val="center"/>
          </w:tcPr>
          <w:p w14:paraId="482E0726">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38</w:t>
            </w:r>
          </w:p>
        </w:tc>
        <w:tc>
          <w:tcPr>
            <w:tcW w:w="500" w:type="pct"/>
            <w:tcBorders>
              <w:top w:val="single" w:color="000000" w:sz="4" w:space="0"/>
              <w:left w:val="single" w:color="000000" w:sz="4" w:space="0"/>
              <w:bottom w:val="single" w:color="000000" w:sz="4" w:space="0"/>
              <w:right w:val="single" w:color="000000" w:sz="4" w:space="0"/>
            </w:tcBorders>
            <w:vAlign w:val="center"/>
          </w:tcPr>
          <w:p w14:paraId="4286A794">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47</w:t>
            </w:r>
          </w:p>
        </w:tc>
        <w:tc>
          <w:tcPr>
            <w:tcW w:w="500" w:type="pct"/>
            <w:tcBorders>
              <w:top w:val="single" w:color="000000" w:sz="4" w:space="0"/>
              <w:left w:val="single" w:color="000000" w:sz="4" w:space="0"/>
              <w:bottom w:val="single" w:color="000000" w:sz="4" w:space="0"/>
              <w:right w:val="single" w:color="000000" w:sz="4" w:space="0"/>
            </w:tcBorders>
            <w:vAlign w:val="center"/>
          </w:tcPr>
          <w:p w14:paraId="2306D673">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101</w:t>
            </w:r>
          </w:p>
        </w:tc>
      </w:tr>
      <w:tr w14:paraId="269089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079E4FAD">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duration</w:t>
            </w:r>
          </w:p>
        </w:tc>
        <w:tc>
          <w:tcPr>
            <w:tcW w:w="499" w:type="pct"/>
            <w:tcBorders>
              <w:top w:val="single" w:color="000000" w:sz="4" w:space="0"/>
              <w:left w:val="single" w:color="000000" w:sz="4" w:space="0"/>
              <w:bottom w:val="single" w:color="000000" w:sz="4" w:space="0"/>
              <w:right w:val="single" w:color="000000" w:sz="4" w:space="0"/>
            </w:tcBorders>
            <w:vAlign w:val="center"/>
          </w:tcPr>
          <w:p w14:paraId="772345E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4C42EC3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1146.303733</w:t>
            </w:r>
          </w:p>
        </w:tc>
        <w:tc>
          <w:tcPr>
            <w:tcW w:w="499" w:type="pct"/>
            <w:tcBorders>
              <w:top w:val="single" w:color="000000" w:sz="4" w:space="0"/>
              <w:left w:val="single" w:color="000000" w:sz="4" w:space="0"/>
              <w:bottom w:val="single" w:color="000000" w:sz="4" w:space="0"/>
              <w:right w:val="single" w:color="000000" w:sz="4" w:space="0"/>
            </w:tcBorders>
            <w:vAlign w:val="center"/>
          </w:tcPr>
          <w:p w14:paraId="2678713B">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1432.432125</w:t>
            </w:r>
          </w:p>
        </w:tc>
        <w:tc>
          <w:tcPr>
            <w:tcW w:w="499" w:type="pct"/>
            <w:tcBorders>
              <w:top w:val="single" w:color="000000" w:sz="4" w:space="0"/>
              <w:left w:val="single" w:color="000000" w:sz="4" w:space="0"/>
              <w:bottom w:val="single" w:color="000000" w:sz="4" w:space="0"/>
              <w:right w:val="single" w:color="000000" w:sz="4" w:space="0"/>
            </w:tcBorders>
            <w:vAlign w:val="center"/>
          </w:tcPr>
          <w:p w14:paraId="7131A2B5">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w:t>
            </w:r>
          </w:p>
        </w:tc>
        <w:tc>
          <w:tcPr>
            <w:tcW w:w="499" w:type="pct"/>
            <w:tcBorders>
              <w:top w:val="single" w:color="000000" w:sz="4" w:space="0"/>
              <w:left w:val="single" w:color="000000" w:sz="4" w:space="0"/>
              <w:bottom w:val="single" w:color="000000" w:sz="4" w:space="0"/>
              <w:right w:val="single" w:color="000000" w:sz="4" w:space="0"/>
            </w:tcBorders>
            <w:vAlign w:val="center"/>
          </w:tcPr>
          <w:p w14:paraId="49D2AFF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143</w:t>
            </w:r>
          </w:p>
        </w:tc>
        <w:tc>
          <w:tcPr>
            <w:tcW w:w="499" w:type="pct"/>
            <w:tcBorders>
              <w:top w:val="single" w:color="000000" w:sz="4" w:space="0"/>
              <w:left w:val="single" w:color="000000" w:sz="4" w:space="0"/>
              <w:bottom w:val="single" w:color="000000" w:sz="4" w:space="0"/>
              <w:right w:val="single" w:color="000000" w:sz="4" w:space="0"/>
            </w:tcBorders>
            <w:vAlign w:val="center"/>
          </w:tcPr>
          <w:p w14:paraId="4D8D8750">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353</w:t>
            </w:r>
          </w:p>
        </w:tc>
        <w:tc>
          <w:tcPr>
            <w:tcW w:w="500" w:type="pct"/>
            <w:tcBorders>
              <w:top w:val="single" w:color="000000" w:sz="4" w:space="0"/>
              <w:left w:val="single" w:color="000000" w:sz="4" w:space="0"/>
              <w:bottom w:val="single" w:color="000000" w:sz="4" w:space="0"/>
              <w:right w:val="single" w:color="000000" w:sz="4" w:space="0"/>
            </w:tcBorders>
            <w:vAlign w:val="center"/>
          </w:tcPr>
          <w:p w14:paraId="571EF244">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1873</w:t>
            </w:r>
          </w:p>
        </w:tc>
        <w:tc>
          <w:tcPr>
            <w:tcW w:w="500" w:type="pct"/>
            <w:tcBorders>
              <w:top w:val="single" w:color="000000" w:sz="4" w:space="0"/>
              <w:left w:val="single" w:color="000000" w:sz="4" w:space="0"/>
              <w:bottom w:val="single" w:color="000000" w:sz="4" w:space="0"/>
              <w:right w:val="single" w:color="000000" w:sz="4" w:space="0"/>
            </w:tcBorders>
            <w:vAlign w:val="center"/>
          </w:tcPr>
          <w:p w14:paraId="7D27D39C">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5149</w:t>
            </w:r>
          </w:p>
        </w:tc>
      </w:tr>
      <w:tr w14:paraId="2FC6D8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0F037EF2">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campaign</w:t>
            </w:r>
          </w:p>
        </w:tc>
        <w:tc>
          <w:tcPr>
            <w:tcW w:w="499" w:type="pct"/>
            <w:tcBorders>
              <w:top w:val="single" w:color="000000" w:sz="4" w:space="0"/>
              <w:left w:val="single" w:color="000000" w:sz="4" w:space="0"/>
              <w:bottom w:val="single" w:color="000000" w:sz="4" w:space="0"/>
              <w:right w:val="single" w:color="000000" w:sz="4" w:space="0"/>
            </w:tcBorders>
            <w:vAlign w:val="center"/>
          </w:tcPr>
          <w:p w14:paraId="511BDDF0">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677B0C48">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3.3648</w:t>
            </w:r>
          </w:p>
        </w:tc>
        <w:tc>
          <w:tcPr>
            <w:tcW w:w="499" w:type="pct"/>
            <w:tcBorders>
              <w:top w:val="single" w:color="000000" w:sz="4" w:space="0"/>
              <w:left w:val="single" w:color="000000" w:sz="4" w:space="0"/>
              <w:bottom w:val="single" w:color="000000" w:sz="4" w:space="0"/>
              <w:right w:val="single" w:color="000000" w:sz="4" w:space="0"/>
            </w:tcBorders>
            <w:vAlign w:val="center"/>
          </w:tcPr>
          <w:p w14:paraId="7A01D3B3">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7.223837</w:t>
            </w:r>
          </w:p>
        </w:tc>
        <w:tc>
          <w:tcPr>
            <w:tcW w:w="499" w:type="pct"/>
            <w:tcBorders>
              <w:top w:val="single" w:color="000000" w:sz="4" w:space="0"/>
              <w:left w:val="single" w:color="000000" w:sz="4" w:space="0"/>
              <w:bottom w:val="single" w:color="000000" w:sz="4" w:space="0"/>
              <w:right w:val="single" w:color="000000" w:sz="4" w:space="0"/>
            </w:tcBorders>
            <w:vAlign w:val="center"/>
          </w:tcPr>
          <w:p w14:paraId="5DE9AD05">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w:t>
            </w:r>
          </w:p>
        </w:tc>
        <w:tc>
          <w:tcPr>
            <w:tcW w:w="499" w:type="pct"/>
            <w:tcBorders>
              <w:top w:val="single" w:color="000000" w:sz="4" w:space="0"/>
              <w:left w:val="single" w:color="000000" w:sz="4" w:space="0"/>
              <w:bottom w:val="single" w:color="000000" w:sz="4" w:space="0"/>
              <w:right w:val="single" w:color="000000" w:sz="4" w:space="0"/>
            </w:tcBorders>
            <w:vAlign w:val="center"/>
          </w:tcPr>
          <w:p w14:paraId="642B40BD">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w:t>
            </w:r>
          </w:p>
        </w:tc>
        <w:tc>
          <w:tcPr>
            <w:tcW w:w="499" w:type="pct"/>
            <w:tcBorders>
              <w:top w:val="single" w:color="000000" w:sz="4" w:space="0"/>
              <w:left w:val="single" w:color="000000" w:sz="4" w:space="0"/>
              <w:bottom w:val="single" w:color="000000" w:sz="4" w:space="0"/>
              <w:right w:val="single" w:color="000000" w:sz="4" w:space="0"/>
            </w:tcBorders>
            <w:vAlign w:val="center"/>
          </w:tcPr>
          <w:p w14:paraId="0A0CF459">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w:t>
            </w:r>
          </w:p>
        </w:tc>
        <w:tc>
          <w:tcPr>
            <w:tcW w:w="500" w:type="pct"/>
            <w:tcBorders>
              <w:top w:val="single" w:color="000000" w:sz="4" w:space="0"/>
              <w:left w:val="single" w:color="000000" w:sz="4" w:space="0"/>
              <w:bottom w:val="single" w:color="000000" w:sz="4" w:space="0"/>
              <w:right w:val="single" w:color="000000" w:sz="4" w:space="0"/>
            </w:tcBorders>
            <w:vAlign w:val="center"/>
          </w:tcPr>
          <w:p w14:paraId="515D71A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w:t>
            </w:r>
          </w:p>
        </w:tc>
        <w:tc>
          <w:tcPr>
            <w:tcW w:w="500" w:type="pct"/>
            <w:tcBorders>
              <w:top w:val="single" w:color="000000" w:sz="4" w:space="0"/>
              <w:left w:val="single" w:color="000000" w:sz="4" w:space="0"/>
              <w:bottom w:val="single" w:color="000000" w:sz="4" w:space="0"/>
              <w:right w:val="single" w:color="000000" w:sz="4" w:space="0"/>
            </w:tcBorders>
            <w:vAlign w:val="center"/>
          </w:tcPr>
          <w:p w14:paraId="35BB97A8">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57</w:t>
            </w:r>
          </w:p>
        </w:tc>
      </w:tr>
      <w:tr w14:paraId="46CE4D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62C9C90B">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pdays</w:t>
            </w:r>
          </w:p>
        </w:tc>
        <w:tc>
          <w:tcPr>
            <w:tcW w:w="499" w:type="pct"/>
            <w:tcBorders>
              <w:top w:val="single" w:color="000000" w:sz="4" w:space="0"/>
              <w:left w:val="single" w:color="000000" w:sz="4" w:space="0"/>
              <w:bottom w:val="single" w:color="000000" w:sz="4" w:space="0"/>
              <w:right w:val="single" w:color="000000" w:sz="4" w:space="0"/>
            </w:tcBorders>
            <w:vAlign w:val="center"/>
          </w:tcPr>
          <w:p w14:paraId="0967D388">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0D869566">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773.991956</w:t>
            </w:r>
          </w:p>
        </w:tc>
        <w:tc>
          <w:tcPr>
            <w:tcW w:w="499" w:type="pct"/>
            <w:tcBorders>
              <w:top w:val="single" w:color="000000" w:sz="4" w:space="0"/>
              <w:left w:val="single" w:color="000000" w:sz="4" w:space="0"/>
              <w:bottom w:val="single" w:color="000000" w:sz="4" w:space="0"/>
              <w:right w:val="single" w:color="000000" w:sz="4" w:space="0"/>
            </w:tcBorders>
            <w:vAlign w:val="center"/>
          </w:tcPr>
          <w:p w14:paraId="14902C01">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326.934334</w:t>
            </w:r>
          </w:p>
        </w:tc>
        <w:tc>
          <w:tcPr>
            <w:tcW w:w="499" w:type="pct"/>
            <w:tcBorders>
              <w:top w:val="single" w:color="000000" w:sz="4" w:space="0"/>
              <w:left w:val="single" w:color="000000" w:sz="4" w:space="0"/>
              <w:bottom w:val="single" w:color="000000" w:sz="4" w:space="0"/>
              <w:right w:val="single" w:color="000000" w:sz="4" w:space="0"/>
            </w:tcBorders>
            <w:vAlign w:val="center"/>
          </w:tcPr>
          <w:p w14:paraId="40C0687A">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w:t>
            </w:r>
          </w:p>
        </w:tc>
        <w:tc>
          <w:tcPr>
            <w:tcW w:w="499" w:type="pct"/>
            <w:tcBorders>
              <w:top w:val="single" w:color="000000" w:sz="4" w:space="0"/>
              <w:left w:val="single" w:color="000000" w:sz="4" w:space="0"/>
              <w:bottom w:val="single" w:color="000000" w:sz="4" w:space="0"/>
              <w:right w:val="single" w:color="000000" w:sz="4" w:space="0"/>
            </w:tcBorders>
            <w:vAlign w:val="center"/>
          </w:tcPr>
          <w:p w14:paraId="70CCD9B6">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557.75</w:t>
            </w:r>
          </w:p>
        </w:tc>
        <w:tc>
          <w:tcPr>
            <w:tcW w:w="499" w:type="pct"/>
            <w:tcBorders>
              <w:top w:val="single" w:color="000000" w:sz="4" w:space="0"/>
              <w:left w:val="single" w:color="000000" w:sz="4" w:space="0"/>
              <w:bottom w:val="single" w:color="000000" w:sz="4" w:space="0"/>
              <w:right w:val="single" w:color="000000" w:sz="4" w:space="0"/>
            </w:tcBorders>
            <w:vAlign w:val="center"/>
          </w:tcPr>
          <w:p w14:paraId="6C164579">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964</w:t>
            </w:r>
          </w:p>
        </w:tc>
        <w:tc>
          <w:tcPr>
            <w:tcW w:w="500" w:type="pct"/>
            <w:tcBorders>
              <w:top w:val="single" w:color="000000" w:sz="4" w:space="0"/>
              <w:left w:val="single" w:color="000000" w:sz="4" w:space="0"/>
              <w:bottom w:val="single" w:color="000000" w:sz="4" w:space="0"/>
              <w:right w:val="single" w:color="000000" w:sz="4" w:space="0"/>
            </w:tcBorders>
            <w:vAlign w:val="center"/>
          </w:tcPr>
          <w:p w14:paraId="2BE5793B">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1005</w:t>
            </w:r>
          </w:p>
        </w:tc>
        <w:tc>
          <w:tcPr>
            <w:tcW w:w="500" w:type="pct"/>
            <w:tcBorders>
              <w:top w:val="single" w:color="000000" w:sz="4" w:space="0"/>
              <w:left w:val="single" w:color="000000" w:sz="4" w:space="0"/>
              <w:bottom w:val="single" w:color="000000" w:sz="4" w:space="0"/>
              <w:right w:val="single" w:color="000000" w:sz="4" w:space="0"/>
            </w:tcBorders>
            <w:vAlign w:val="center"/>
          </w:tcPr>
          <w:p w14:paraId="6CCB009A">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1048</w:t>
            </w:r>
          </w:p>
        </w:tc>
      </w:tr>
      <w:tr w14:paraId="2FC840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6A6DBA65">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previous</w:t>
            </w:r>
          </w:p>
        </w:tc>
        <w:tc>
          <w:tcPr>
            <w:tcW w:w="499" w:type="pct"/>
            <w:tcBorders>
              <w:top w:val="single" w:color="000000" w:sz="4" w:space="0"/>
              <w:left w:val="single" w:color="000000" w:sz="4" w:space="0"/>
              <w:bottom w:val="single" w:color="000000" w:sz="4" w:space="0"/>
              <w:right w:val="single" w:color="000000" w:sz="4" w:space="0"/>
            </w:tcBorders>
            <w:vAlign w:val="center"/>
          </w:tcPr>
          <w:p w14:paraId="536B818D">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62A2C056">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1.316444</w:t>
            </w:r>
          </w:p>
        </w:tc>
        <w:tc>
          <w:tcPr>
            <w:tcW w:w="499" w:type="pct"/>
            <w:tcBorders>
              <w:top w:val="single" w:color="000000" w:sz="4" w:space="0"/>
              <w:left w:val="single" w:color="000000" w:sz="4" w:space="0"/>
              <w:bottom w:val="single" w:color="000000" w:sz="4" w:space="0"/>
              <w:right w:val="single" w:color="000000" w:sz="4" w:space="0"/>
            </w:tcBorders>
            <w:vAlign w:val="center"/>
          </w:tcPr>
          <w:p w14:paraId="557EA862">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1.918733</w:t>
            </w:r>
          </w:p>
        </w:tc>
        <w:tc>
          <w:tcPr>
            <w:tcW w:w="499" w:type="pct"/>
            <w:tcBorders>
              <w:top w:val="single" w:color="000000" w:sz="4" w:space="0"/>
              <w:left w:val="single" w:color="000000" w:sz="4" w:space="0"/>
              <w:bottom w:val="single" w:color="000000" w:sz="4" w:space="0"/>
              <w:right w:val="single" w:color="000000" w:sz="4" w:space="0"/>
            </w:tcBorders>
            <w:vAlign w:val="center"/>
          </w:tcPr>
          <w:p w14:paraId="79D3C87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w:t>
            </w:r>
          </w:p>
        </w:tc>
        <w:tc>
          <w:tcPr>
            <w:tcW w:w="499" w:type="pct"/>
            <w:tcBorders>
              <w:top w:val="single" w:color="000000" w:sz="4" w:space="0"/>
              <w:left w:val="single" w:color="000000" w:sz="4" w:space="0"/>
              <w:bottom w:val="single" w:color="000000" w:sz="4" w:space="0"/>
              <w:right w:val="single" w:color="000000" w:sz="4" w:space="0"/>
            </w:tcBorders>
            <w:vAlign w:val="center"/>
          </w:tcPr>
          <w:p w14:paraId="6447D895">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w:t>
            </w:r>
          </w:p>
        </w:tc>
        <w:tc>
          <w:tcPr>
            <w:tcW w:w="499" w:type="pct"/>
            <w:tcBorders>
              <w:top w:val="single" w:color="000000" w:sz="4" w:space="0"/>
              <w:left w:val="single" w:color="000000" w:sz="4" w:space="0"/>
              <w:bottom w:val="single" w:color="000000" w:sz="4" w:space="0"/>
              <w:right w:val="single" w:color="000000" w:sz="4" w:space="0"/>
            </w:tcBorders>
            <w:vAlign w:val="center"/>
          </w:tcPr>
          <w:p w14:paraId="304FC093">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w:t>
            </w:r>
          </w:p>
        </w:tc>
        <w:tc>
          <w:tcPr>
            <w:tcW w:w="500" w:type="pct"/>
            <w:tcBorders>
              <w:top w:val="single" w:color="000000" w:sz="4" w:space="0"/>
              <w:left w:val="single" w:color="000000" w:sz="4" w:space="0"/>
              <w:bottom w:val="single" w:color="000000" w:sz="4" w:space="0"/>
              <w:right w:val="single" w:color="000000" w:sz="4" w:space="0"/>
            </w:tcBorders>
            <w:vAlign w:val="center"/>
          </w:tcPr>
          <w:p w14:paraId="6D65D46D">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w:t>
            </w:r>
          </w:p>
        </w:tc>
        <w:tc>
          <w:tcPr>
            <w:tcW w:w="500" w:type="pct"/>
            <w:tcBorders>
              <w:top w:val="single" w:color="000000" w:sz="4" w:space="0"/>
              <w:left w:val="single" w:color="000000" w:sz="4" w:space="0"/>
              <w:bottom w:val="single" w:color="000000" w:sz="4" w:space="0"/>
              <w:right w:val="single" w:color="000000" w:sz="4" w:space="0"/>
            </w:tcBorders>
            <w:vAlign w:val="center"/>
          </w:tcPr>
          <w:p w14:paraId="4CA20195">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6</w:t>
            </w:r>
          </w:p>
        </w:tc>
      </w:tr>
      <w:tr w14:paraId="6C42E0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0BF95456">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emp_var_rate</w:t>
            </w:r>
          </w:p>
        </w:tc>
        <w:tc>
          <w:tcPr>
            <w:tcW w:w="499" w:type="pct"/>
            <w:tcBorders>
              <w:top w:val="single" w:color="000000" w:sz="4" w:space="0"/>
              <w:left w:val="single" w:color="000000" w:sz="4" w:space="0"/>
              <w:bottom w:val="single" w:color="000000" w:sz="4" w:space="0"/>
              <w:right w:val="single" w:color="000000" w:sz="4" w:space="0"/>
            </w:tcBorders>
            <w:vAlign w:val="center"/>
          </w:tcPr>
          <w:p w14:paraId="220602F4">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217EAD1F">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0.078529</w:t>
            </w:r>
          </w:p>
        </w:tc>
        <w:tc>
          <w:tcPr>
            <w:tcW w:w="499" w:type="pct"/>
            <w:tcBorders>
              <w:top w:val="single" w:color="000000" w:sz="4" w:space="0"/>
              <w:left w:val="single" w:color="000000" w:sz="4" w:space="0"/>
              <w:bottom w:val="single" w:color="000000" w:sz="4" w:space="0"/>
              <w:right w:val="single" w:color="000000" w:sz="4" w:space="0"/>
            </w:tcBorders>
            <w:vAlign w:val="center"/>
          </w:tcPr>
          <w:p w14:paraId="621DEA52">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1.573831</w:t>
            </w:r>
          </w:p>
        </w:tc>
        <w:tc>
          <w:tcPr>
            <w:tcW w:w="499" w:type="pct"/>
            <w:tcBorders>
              <w:top w:val="single" w:color="000000" w:sz="4" w:space="0"/>
              <w:left w:val="single" w:color="000000" w:sz="4" w:space="0"/>
              <w:bottom w:val="single" w:color="000000" w:sz="4" w:space="0"/>
              <w:right w:val="single" w:color="000000" w:sz="4" w:space="0"/>
            </w:tcBorders>
            <w:vAlign w:val="center"/>
          </w:tcPr>
          <w:p w14:paraId="43A116F2">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-3.4</w:t>
            </w:r>
          </w:p>
        </w:tc>
        <w:tc>
          <w:tcPr>
            <w:tcW w:w="499" w:type="pct"/>
            <w:tcBorders>
              <w:top w:val="single" w:color="000000" w:sz="4" w:space="0"/>
              <w:left w:val="single" w:color="000000" w:sz="4" w:space="0"/>
              <w:bottom w:val="single" w:color="000000" w:sz="4" w:space="0"/>
              <w:right w:val="single" w:color="000000" w:sz="4" w:space="0"/>
            </w:tcBorders>
            <w:vAlign w:val="center"/>
          </w:tcPr>
          <w:p w14:paraId="27C7A33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-1.8</w:t>
            </w:r>
          </w:p>
        </w:tc>
        <w:tc>
          <w:tcPr>
            <w:tcW w:w="499" w:type="pct"/>
            <w:tcBorders>
              <w:top w:val="single" w:color="000000" w:sz="4" w:space="0"/>
              <w:left w:val="single" w:color="000000" w:sz="4" w:space="0"/>
              <w:bottom w:val="single" w:color="000000" w:sz="4" w:space="0"/>
              <w:right w:val="single" w:color="000000" w:sz="4" w:space="0"/>
            </w:tcBorders>
            <w:vAlign w:val="center"/>
          </w:tcPr>
          <w:p w14:paraId="3F158A1A">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1.1</w:t>
            </w:r>
          </w:p>
        </w:tc>
        <w:tc>
          <w:tcPr>
            <w:tcW w:w="500" w:type="pct"/>
            <w:tcBorders>
              <w:top w:val="single" w:color="000000" w:sz="4" w:space="0"/>
              <w:left w:val="single" w:color="000000" w:sz="4" w:space="0"/>
              <w:bottom w:val="single" w:color="000000" w:sz="4" w:space="0"/>
              <w:right w:val="single" w:color="000000" w:sz="4" w:space="0"/>
            </w:tcBorders>
            <w:vAlign w:val="center"/>
          </w:tcPr>
          <w:p w14:paraId="05623C69">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1.4</w:t>
            </w:r>
          </w:p>
        </w:tc>
        <w:tc>
          <w:tcPr>
            <w:tcW w:w="500" w:type="pct"/>
            <w:tcBorders>
              <w:top w:val="single" w:color="000000" w:sz="4" w:space="0"/>
              <w:left w:val="single" w:color="000000" w:sz="4" w:space="0"/>
              <w:bottom w:val="single" w:color="000000" w:sz="4" w:space="0"/>
              <w:right w:val="single" w:color="000000" w:sz="4" w:space="0"/>
            </w:tcBorders>
            <w:vAlign w:val="center"/>
          </w:tcPr>
          <w:p w14:paraId="3E23A91F">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1.4</w:t>
            </w:r>
          </w:p>
        </w:tc>
      </w:tr>
      <w:tr w14:paraId="4D721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061F40E4">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cons_price_index</w:t>
            </w:r>
          </w:p>
        </w:tc>
        <w:tc>
          <w:tcPr>
            <w:tcW w:w="499" w:type="pct"/>
            <w:tcBorders>
              <w:top w:val="single" w:color="000000" w:sz="4" w:space="0"/>
              <w:left w:val="single" w:color="000000" w:sz="4" w:space="0"/>
              <w:bottom w:val="single" w:color="000000" w:sz="4" w:space="0"/>
              <w:right w:val="single" w:color="000000" w:sz="4" w:space="0"/>
            </w:tcBorders>
            <w:vAlign w:val="center"/>
          </w:tcPr>
          <w:p w14:paraId="2E4F4CC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5858AAAF">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93.548785</w:t>
            </w:r>
          </w:p>
        </w:tc>
        <w:tc>
          <w:tcPr>
            <w:tcW w:w="499" w:type="pct"/>
            <w:tcBorders>
              <w:top w:val="single" w:color="000000" w:sz="4" w:space="0"/>
              <w:left w:val="single" w:color="000000" w:sz="4" w:space="0"/>
              <w:bottom w:val="single" w:color="000000" w:sz="4" w:space="0"/>
              <w:right w:val="single" w:color="000000" w:sz="4" w:space="0"/>
            </w:tcBorders>
            <w:vAlign w:val="center"/>
          </w:tcPr>
          <w:p w14:paraId="70082FCC">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2.805786</w:t>
            </w:r>
          </w:p>
        </w:tc>
        <w:tc>
          <w:tcPr>
            <w:tcW w:w="499" w:type="pct"/>
            <w:tcBorders>
              <w:top w:val="single" w:color="000000" w:sz="4" w:space="0"/>
              <w:left w:val="single" w:color="000000" w:sz="4" w:space="0"/>
              <w:bottom w:val="single" w:color="000000" w:sz="4" w:space="0"/>
              <w:right w:val="single" w:color="000000" w:sz="4" w:space="0"/>
            </w:tcBorders>
            <w:vAlign w:val="center"/>
          </w:tcPr>
          <w:p w14:paraId="7A8594B3">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87.64</w:t>
            </w:r>
          </w:p>
        </w:tc>
        <w:tc>
          <w:tcPr>
            <w:tcW w:w="499" w:type="pct"/>
            <w:tcBorders>
              <w:top w:val="single" w:color="000000" w:sz="4" w:space="0"/>
              <w:left w:val="single" w:color="000000" w:sz="4" w:space="0"/>
              <w:bottom w:val="single" w:color="000000" w:sz="4" w:space="0"/>
              <w:right w:val="single" w:color="000000" w:sz="4" w:space="0"/>
            </w:tcBorders>
            <w:vAlign w:val="center"/>
          </w:tcPr>
          <w:p w14:paraId="1DA64DB6">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91.19</w:t>
            </w:r>
          </w:p>
        </w:tc>
        <w:tc>
          <w:tcPr>
            <w:tcW w:w="499" w:type="pct"/>
            <w:tcBorders>
              <w:top w:val="single" w:color="000000" w:sz="4" w:space="0"/>
              <w:left w:val="single" w:color="000000" w:sz="4" w:space="0"/>
              <w:bottom w:val="single" w:color="000000" w:sz="4" w:space="0"/>
              <w:right w:val="single" w:color="000000" w:sz="4" w:space="0"/>
            </w:tcBorders>
            <w:vAlign w:val="center"/>
          </w:tcPr>
          <w:p w14:paraId="43B5A53C">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93.54</w:t>
            </w:r>
          </w:p>
        </w:tc>
        <w:tc>
          <w:tcPr>
            <w:tcW w:w="500" w:type="pct"/>
            <w:tcBorders>
              <w:top w:val="single" w:color="000000" w:sz="4" w:space="0"/>
              <w:left w:val="single" w:color="000000" w:sz="4" w:space="0"/>
              <w:bottom w:val="single" w:color="000000" w:sz="4" w:space="0"/>
              <w:right w:val="single" w:color="000000" w:sz="4" w:space="0"/>
            </w:tcBorders>
            <w:vAlign w:val="center"/>
          </w:tcPr>
          <w:p w14:paraId="206FEB82">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95.92</w:t>
            </w:r>
          </w:p>
        </w:tc>
        <w:tc>
          <w:tcPr>
            <w:tcW w:w="500" w:type="pct"/>
            <w:tcBorders>
              <w:top w:val="single" w:color="000000" w:sz="4" w:space="0"/>
              <w:left w:val="single" w:color="000000" w:sz="4" w:space="0"/>
              <w:bottom w:val="single" w:color="000000" w:sz="4" w:space="0"/>
              <w:right w:val="single" w:color="000000" w:sz="4" w:space="0"/>
            </w:tcBorders>
            <w:vAlign w:val="center"/>
          </w:tcPr>
          <w:p w14:paraId="36327903">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99.46</w:t>
            </w:r>
          </w:p>
        </w:tc>
      </w:tr>
      <w:tr w14:paraId="5C8143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003D4A9B">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cons_conf_index</w:t>
            </w:r>
          </w:p>
        </w:tc>
        <w:tc>
          <w:tcPr>
            <w:tcW w:w="499" w:type="pct"/>
            <w:tcBorders>
              <w:top w:val="single" w:color="000000" w:sz="4" w:space="0"/>
              <w:left w:val="single" w:color="000000" w:sz="4" w:space="0"/>
              <w:bottom w:val="single" w:color="000000" w:sz="4" w:space="0"/>
              <w:right w:val="single" w:color="000000" w:sz="4" w:space="0"/>
            </w:tcBorders>
            <w:vAlign w:val="center"/>
          </w:tcPr>
          <w:p w14:paraId="74358359">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7C5CBFB0">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-39.87718</w:t>
            </w:r>
          </w:p>
        </w:tc>
        <w:tc>
          <w:tcPr>
            <w:tcW w:w="499" w:type="pct"/>
            <w:tcBorders>
              <w:top w:val="single" w:color="000000" w:sz="4" w:space="0"/>
              <w:left w:val="single" w:color="000000" w:sz="4" w:space="0"/>
              <w:bottom w:val="single" w:color="000000" w:sz="4" w:space="0"/>
              <w:right w:val="single" w:color="000000" w:sz="4" w:space="0"/>
            </w:tcBorders>
            <w:vAlign w:val="center"/>
          </w:tcPr>
          <w:p w14:paraId="48D347F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5.805442</w:t>
            </w:r>
          </w:p>
        </w:tc>
        <w:tc>
          <w:tcPr>
            <w:tcW w:w="499" w:type="pct"/>
            <w:tcBorders>
              <w:top w:val="single" w:color="000000" w:sz="4" w:space="0"/>
              <w:left w:val="single" w:color="000000" w:sz="4" w:space="0"/>
              <w:bottom w:val="single" w:color="000000" w:sz="4" w:space="0"/>
              <w:right w:val="single" w:color="000000" w:sz="4" w:space="0"/>
            </w:tcBorders>
            <w:vAlign w:val="center"/>
          </w:tcPr>
          <w:p w14:paraId="7B8D5FA6">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-53.28</w:t>
            </w:r>
          </w:p>
        </w:tc>
        <w:tc>
          <w:tcPr>
            <w:tcW w:w="499" w:type="pct"/>
            <w:tcBorders>
              <w:top w:val="single" w:color="000000" w:sz="4" w:space="0"/>
              <w:left w:val="single" w:color="000000" w:sz="4" w:space="0"/>
              <w:bottom w:val="single" w:color="000000" w:sz="4" w:space="0"/>
              <w:right w:val="single" w:color="000000" w:sz="4" w:space="0"/>
            </w:tcBorders>
            <w:vAlign w:val="center"/>
          </w:tcPr>
          <w:p w14:paraId="13FCBAFD">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-44.16</w:t>
            </w:r>
          </w:p>
        </w:tc>
        <w:tc>
          <w:tcPr>
            <w:tcW w:w="499" w:type="pct"/>
            <w:tcBorders>
              <w:top w:val="single" w:color="000000" w:sz="4" w:space="0"/>
              <w:left w:val="single" w:color="000000" w:sz="4" w:space="0"/>
              <w:bottom w:val="single" w:color="000000" w:sz="4" w:space="0"/>
              <w:right w:val="single" w:color="000000" w:sz="4" w:space="0"/>
            </w:tcBorders>
            <w:vAlign w:val="center"/>
          </w:tcPr>
          <w:p w14:paraId="2546EF08">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-40.6</w:t>
            </w:r>
          </w:p>
        </w:tc>
        <w:tc>
          <w:tcPr>
            <w:tcW w:w="500" w:type="pct"/>
            <w:tcBorders>
              <w:top w:val="single" w:color="000000" w:sz="4" w:space="0"/>
              <w:left w:val="single" w:color="000000" w:sz="4" w:space="0"/>
              <w:bottom w:val="single" w:color="000000" w:sz="4" w:space="0"/>
              <w:right w:val="single" w:color="000000" w:sz="4" w:space="0"/>
            </w:tcBorders>
            <w:vAlign w:val="center"/>
          </w:tcPr>
          <w:p w14:paraId="5CFD4FBD">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-35.7975</w:t>
            </w:r>
          </w:p>
        </w:tc>
        <w:tc>
          <w:tcPr>
            <w:tcW w:w="500" w:type="pct"/>
            <w:tcBorders>
              <w:top w:val="single" w:color="000000" w:sz="4" w:space="0"/>
              <w:left w:val="single" w:color="000000" w:sz="4" w:space="0"/>
              <w:bottom w:val="single" w:color="000000" w:sz="4" w:space="0"/>
              <w:right w:val="single" w:color="000000" w:sz="4" w:space="0"/>
            </w:tcBorders>
            <w:vAlign w:val="center"/>
          </w:tcPr>
          <w:p w14:paraId="726261E8">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-25.55</w:t>
            </w:r>
          </w:p>
        </w:tc>
      </w:tr>
      <w:tr w14:paraId="661F16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7DDD9EFC">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lending_rate3m</w:t>
            </w:r>
          </w:p>
        </w:tc>
        <w:tc>
          <w:tcPr>
            <w:tcW w:w="499" w:type="pct"/>
            <w:tcBorders>
              <w:top w:val="single" w:color="000000" w:sz="4" w:space="0"/>
              <w:left w:val="single" w:color="000000" w:sz="4" w:space="0"/>
              <w:bottom w:val="single" w:color="000000" w:sz="4" w:space="0"/>
              <w:right w:val="single" w:color="000000" w:sz="4" w:space="0"/>
            </w:tcBorders>
            <w:vAlign w:val="center"/>
          </w:tcPr>
          <w:p w14:paraId="3581336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4BEDD3C5">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3.30249</w:t>
            </w:r>
          </w:p>
        </w:tc>
        <w:tc>
          <w:tcPr>
            <w:tcW w:w="499" w:type="pct"/>
            <w:tcBorders>
              <w:top w:val="single" w:color="000000" w:sz="4" w:space="0"/>
              <w:left w:val="single" w:color="000000" w:sz="4" w:space="0"/>
              <w:bottom w:val="single" w:color="000000" w:sz="4" w:space="0"/>
              <w:right w:val="single" w:color="000000" w:sz="4" w:space="0"/>
            </w:tcBorders>
            <w:vAlign w:val="center"/>
          </w:tcPr>
          <w:p w14:paraId="2F53C904">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1.611777</w:t>
            </w:r>
          </w:p>
        </w:tc>
        <w:tc>
          <w:tcPr>
            <w:tcW w:w="499" w:type="pct"/>
            <w:tcBorders>
              <w:top w:val="single" w:color="000000" w:sz="4" w:space="0"/>
              <w:left w:val="single" w:color="000000" w:sz="4" w:space="0"/>
              <w:bottom w:val="single" w:color="000000" w:sz="4" w:space="0"/>
              <w:right w:val="single" w:color="000000" w:sz="4" w:space="0"/>
            </w:tcBorders>
            <w:vAlign w:val="center"/>
          </w:tcPr>
          <w:p w14:paraId="33CEFBFC">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0.6</w:t>
            </w:r>
          </w:p>
        </w:tc>
        <w:tc>
          <w:tcPr>
            <w:tcW w:w="499" w:type="pct"/>
            <w:tcBorders>
              <w:top w:val="single" w:color="000000" w:sz="4" w:space="0"/>
              <w:left w:val="single" w:color="000000" w:sz="4" w:space="0"/>
              <w:bottom w:val="single" w:color="000000" w:sz="4" w:space="0"/>
              <w:right w:val="single" w:color="000000" w:sz="4" w:space="0"/>
            </w:tcBorders>
            <w:vAlign w:val="center"/>
          </w:tcPr>
          <w:p w14:paraId="540CA20A">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1.43</w:t>
            </w:r>
          </w:p>
        </w:tc>
        <w:tc>
          <w:tcPr>
            <w:tcW w:w="499" w:type="pct"/>
            <w:tcBorders>
              <w:top w:val="single" w:color="000000" w:sz="4" w:space="0"/>
              <w:left w:val="single" w:color="000000" w:sz="4" w:space="0"/>
              <w:bottom w:val="single" w:color="000000" w:sz="4" w:space="0"/>
              <w:right w:val="single" w:color="000000" w:sz="4" w:space="0"/>
            </w:tcBorders>
            <w:vAlign w:val="center"/>
          </w:tcPr>
          <w:p w14:paraId="1F6879E3">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3.92</w:t>
            </w:r>
          </w:p>
        </w:tc>
        <w:tc>
          <w:tcPr>
            <w:tcW w:w="500" w:type="pct"/>
            <w:tcBorders>
              <w:top w:val="single" w:color="000000" w:sz="4" w:space="0"/>
              <w:left w:val="single" w:color="000000" w:sz="4" w:space="0"/>
              <w:bottom w:val="single" w:color="000000" w:sz="4" w:space="0"/>
              <w:right w:val="single" w:color="000000" w:sz="4" w:space="0"/>
            </w:tcBorders>
            <w:vAlign w:val="center"/>
          </w:tcPr>
          <w:p w14:paraId="735D6B1E">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4.83</w:t>
            </w:r>
          </w:p>
        </w:tc>
        <w:tc>
          <w:tcPr>
            <w:tcW w:w="500" w:type="pct"/>
            <w:tcBorders>
              <w:top w:val="single" w:color="000000" w:sz="4" w:space="0"/>
              <w:left w:val="single" w:color="000000" w:sz="4" w:space="0"/>
              <w:bottom w:val="single" w:color="000000" w:sz="4" w:space="0"/>
              <w:right w:val="single" w:color="000000" w:sz="4" w:space="0"/>
            </w:tcBorders>
            <w:vAlign w:val="center"/>
          </w:tcPr>
          <w:p w14:paraId="0889EF44">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5.27</w:t>
            </w:r>
          </w:p>
        </w:tc>
      </w:tr>
      <w:tr w14:paraId="095A7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596CB36B">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nr_employed</w:t>
            </w:r>
          </w:p>
        </w:tc>
        <w:tc>
          <w:tcPr>
            <w:tcW w:w="499" w:type="pct"/>
            <w:tcBorders>
              <w:top w:val="single" w:color="000000" w:sz="4" w:space="0"/>
              <w:left w:val="single" w:color="000000" w:sz="4" w:space="0"/>
              <w:bottom w:val="single" w:color="000000" w:sz="4" w:space="0"/>
              <w:right w:val="single" w:color="000000" w:sz="4" w:space="0"/>
            </w:tcBorders>
            <w:vAlign w:val="center"/>
          </w:tcPr>
          <w:p w14:paraId="245813CA">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45C4C311">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5137.211285</w:t>
            </w:r>
          </w:p>
        </w:tc>
        <w:tc>
          <w:tcPr>
            <w:tcW w:w="499" w:type="pct"/>
            <w:tcBorders>
              <w:top w:val="single" w:color="000000" w:sz="4" w:space="0"/>
              <w:left w:val="single" w:color="000000" w:sz="4" w:space="0"/>
              <w:bottom w:val="single" w:color="000000" w:sz="4" w:space="0"/>
              <w:right w:val="single" w:color="000000" w:sz="4" w:space="0"/>
            </w:tcBorders>
            <w:vAlign w:val="center"/>
          </w:tcPr>
          <w:p w14:paraId="7B7DDB9B">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170.670611</w:t>
            </w:r>
          </w:p>
        </w:tc>
        <w:tc>
          <w:tcPr>
            <w:tcW w:w="499" w:type="pct"/>
            <w:tcBorders>
              <w:top w:val="single" w:color="000000" w:sz="4" w:space="0"/>
              <w:left w:val="single" w:color="000000" w:sz="4" w:space="0"/>
              <w:bottom w:val="single" w:color="000000" w:sz="4" w:space="0"/>
              <w:right w:val="single" w:color="000000" w:sz="4" w:space="0"/>
            </w:tcBorders>
            <w:vAlign w:val="center"/>
          </w:tcPr>
          <w:p w14:paraId="5276B8D2">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4715.42</w:t>
            </w:r>
          </w:p>
        </w:tc>
        <w:tc>
          <w:tcPr>
            <w:tcW w:w="499" w:type="pct"/>
            <w:tcBorders>
              <w:top w:val="single" w:color="000000" w:sz="4" w:space="0"/>
              <w:left w:val="single" w:color="000000" w:sz="4" w:space="0"/>
              <w:bottom w:val="single" w:color="000000" w:sz="4" w:space="0"/>
              <w:right w:val="single" w:color="000000" w:sz="4" w:space="0"/>
            </w:tcBorders>
            <w:vAlign w:val="center"/>
          </w:tcPr>
          <w:p w14:paraId="0EA4770E">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5008.51</w:t>
            </w:r>
          </w:p>
        </w:tc>
        <w:tc>
          <w:tcPr>
            <w:tcW w:w="499" w:type="pct"/>
            <w:tcBorders>
              <w:top w:val="single" w:color="000000" w:sz="4" w:space="0"/>
              <w:left w:val="single" w:color="000000" w:sz="4" w:space="0"/>
              <w:bottom w:val="single" w:color="000000" w:sz="4" w:space="0"/>
              <w:right w:val="single" w:color="000000" w:sz="4" w:space="0"/>
            </w:tcBorders>
            <w:vAlign w:val="center"/>
          </w:tcPr>
          <w:p w14:paraId="591FE3BD">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5133.955</w:t>
            </w:r>
          </w:p>
        </w:tc>
        <w:tc>
          <w:tcPr>
            <w:tcW w:w="500" w:type="pct"/>
            <w:tcBorders>
              <w:top w:val="single" w:color="000000" w:sz="4" w:space="0"/>
              <w:left w:val="single" w:color="000000" w:sz="4" w:space="0"/>
              <w:bottom w:val="single" w:color="000000" w:sz="4" w:space="0"/>
              <w:right w:val="single" w:color="000000" w:sz="4" w:space="0"/>
            </w:tcBorders>
            <w:vAlign w:val="center"/>
          </w:tcPr>
          <w:p w14:paraId="218B6D67">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5267.6775</w:t>
            </w:r>
          </w:p>
        </w:tc>
        <w:tc>
          <w:tcPr>
            <w:tcW w:w="500" w:type="pct"/>
            <w:tcBorders>
              <w:top w:val="single" w:color="000000" w:sz="4" w:space="0"/>
              <w:left w:val="single" w:color="000000" w:sz="4" w:space="0"/>
              <w:bottom w:val="single" w:color="000000" w:sz="4" w:space="0"/>
              <w:right w:val="single" w:color="000000" w:sz="4" w:space="0"/>
            </w:tcBorders>
            <w:vAlign w:val="center"/>
          </w:tcPr>
          <w:p w14:paraId="677AA7F2">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5489.5</w:t>
            </w:r>
          </w:p>
        </w:tc>
      </w:tr>
      <w:tr w14:paraId="083027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99" w:type="pct"/>
            <w:tcBorders>
              <w:top w:val="single" w:color="000000" w:sz="4" w:space="0"/>
              <w:left w:val="single" w:color="000000" w:sz="4" w:space="0"/>
              <w:bottom w:val="single" w:color="000000" w:sz="4" w:space="0"/>
              <w:right w:val="single" w:color="000000" w:sz="4" w:space="0"/>
            </w:tcBorders>
            <w:vAlign w:val="center"/>
          </w:tcPr>
          <w:p w14:paraId="21388742">
            <w:pPr>
              <w:keepNext w:val="0"/>
              <w:keepLines w:val="0"/>
              <w:widowControl/>
              <w:suppressLineNumbers w:val="0"/>
              <w:jc w:val="right"/>
              <w:textAlignment w:val="center"/>
              <w:rPr>
                <w:rFonts w:hint="default" w:ascii="Segoe UI" w:hAnsi="Segoe UI" w:eastAsia="Segoe UI" w:cs="Segoe UI"/>
                <w:b/>
                <w:bCs/>
                <w:i w:val="0"/>
                <w:iCs w:val="0"/>
                <w:color w:val="ABB2BF"/>
                <w:kern w:val="0"/>
                <w:sz w:val="21"/>
                <w:szCs w:val="21"/>
                <w:u w:val="none"/>
                <w:bdr w:val="none" w:color="auto" w:sz="0" w:space="0"/>
                <w:lang w:val="en-US" w:eastAsia="zh-CN" w:bidi="ar"/>
              </w:rPr>
            </w:pPr>
            <w:r>
              <w:rPr>
                <w:rFonts w:hint="default" w:ascii="Segoe UI" w:hAnsi="Segoe UI" w:eastAsia="Segoe UI" w:cs="Segoe UI"/>
                <w:b/>
                <w:bCs/>
                <w:i w:val="0"/>
                <w:iCs w:val="0"/>
                <w:color w:val="ABB2BF"/>
                <w:kern w:val="0"/>
                <w:sz w:val="21"/>
                <w:szCs w:val="21"/>
                <w:u w:val="none"/>
                <w:lang w:val="en-US" w:eastAsia="zh-CN" w:bidi="ar"/>
              </w:rPr>
              <w:t>subscribe</w:t>
            </w:r>
          </w:p>
        </w:tc>
        <w:tc>
          <w:tcPr>
            <w:tcW w:w="499" w:type="pct"/>
            <w:tcBorders>
              <w:top w:val="single" w:color="000000" w:sz="4" w:space="0"/>
              <w:left w:val="single" w:color="000000" w:sz="4" w:space="0"/>
              <w:bottom w:val="single" w:color="000000" w:sz="4" w:space="0"/>
              <w:right w:val="single" w:color="000000" w:sz="4" w:space="0"/>
            </w:tcBorders>
            <w:vAlign w:val="center"/>
          </w:tcPr>
          <w:p w14:paraId="6683D31A">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22500</w:t>
            </w:r>
          </w:p>
        </w:tc>
        <w:tc>
          <w:tcPr>
            <w:tcW w:w="499" w:type="pct"/>
            <w:tcBorders>
              <w:top w:val="single" w:color="000000" w:sz="4" w:space="0"/>
              <w:left w:val="single" w:color="000000" w:sz="4" w:space="0"/>
              <w:bottom w:val="single" w:color="000000" w:sz="4" w:space="0"/>
              <w:right w:val="single" w:color="000000" w:sz="4" w:space="0"/>
            </w:tcBorders>
            <w:vAlign w:val="center"/>
          </w:tcPr>
          <w:p w14:paraId="29B0C560">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0.1312</w:t>
            </w:r>
          </w:p>
        </w:tc>
        <w:tc>
          <w:tcPr>
            <w:tcW w:w="499" w:type="pct"/>
            <w:tcBorders>
              <w:top w:val="single" w:color="000000" w:sz="4" w:space="0"/>
              <w:left w:val="single" w:color="000000" w:sz="4" w:space="0"/>
              <w:bottom w:val="single" w:color="000000" w:sz="4" w:space="0"/>
              <w:right w:val="single" w:color="000000" w:sz="4" w:space="0"/>
            </w:tcBorders>
            <w:vAlign w:val="center"/>
          </w:tcPr>
          <w:p w14:paraId="7DA3B122">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0.337626</w:t>
            </w:r>
          </w:p>
        </w:tc>
        <w:tc>
          <w:tcPr>
            <w:tcW w:w="499" w:type="pct"/>
            <w:tcBorders>
              <w:top w:val="single" w:color="000000" w:sz="4" w:space="0"/>
              <w:left w:val="single" w:color="000000" w:sz="4" w:space="0"/>
              <w:bottom w:val="single" w:color="000000" w:sz="4" w:space="0"/>
              <w:right w:val="single" w:color="000000" w:sz="4" w:space="0"/>
            </w:tcBorders>
            <w:vAlign w:val="center"/>
          </w:tcPr>
          <w:p w14:paraId="19C35788">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w:t>
            </w:r>
          </w:p>
        </w:tc>
        <w:tc>
          <w:tcPr>
            <w:tcW w:w="499" w:type="pct"/>
            <w:tcBorders>
              <w:top w:val="single" w:color="000000" w:sz="4" w:space="0"/>
              <w:left w:val="single" w:color="000000" w:sz="4" w:space="0"/>
              <w:bottom w:val="single" w:color="000000" w:sz="4" w:space="0"/>
              <w:right w:val="single" w:color="000000" w:sz="4" w:space="0"/>
            </w:tcBorders>
            <w:vAlign w:val="center"/>
          </w:tcPr>
          <w:p w14:paraId="7E05D019">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w:t>
            </w:r>
          </w:p>
        </w:tc>
        <w:tc>
          <w:tcPr>
            <w:tcW w:w="499" w:type="pct"/>
            <w:tcBorders>
              <w:top w:val="single" w:color="000000" w:sz="4" w:space="0"/>
              <w:left w:val="single" w:color="000000" w:sz="4" w:space="0"/>
              <w:bottom w:val="single" w:color="000000" w:sz="4" w:space="0"/>
              <w:right w:val="single" w:color="000000" w:sz="4" w:space="0"/>
            </w:tcBorders>
            <w:vAlign w:val="center"/>
          </w:tcPr>
          <w:p w14:paraId="373185E8">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w:t>
            </w:r>
          </w:p>
        </w:tc>
        <w:tc>
          <w:tcPr>
            <w:tcW w:w="500" w:type="pct"/>
            <w:tcBorders>
              <w:top w:val="single" w:color="000000" w:sz="4" w:space="0"/>
              <w:left w:val="single" w:color="000000" w:sz="4" w:space="0"/>
              <w:bottom w:val="single" w:color="000000" w:sz="4" w:space="0"/>
              <w:right w:val="single" w:color="000000" w:sz="4" w:space="0"/>
            </w:tcBorders>
            <w:vAlign w:val="center"/>
          </w:tcPr>
          <w:p w14:paraId="2204F809">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0</w:t>
            </w:r>
          </w:p>
        </w:tc>
        <w:tc>
          <w:tcPr>
            <w:tcW w:w="500" w:type="pct"/>
            <w:tcBorders>
              <w:top w:val="single" w:color="000000" w:sz="4" w:space="0"/>
              <w:left w:val="single" w:color="000000" w:sz="4" w:space="0"/>
              <w:bottom w:val="single" w:color="000000" w:sz="4" w:space="0"/>
              <w:right w:val="single" w:color="000000" w:sz="4" w:space="0"/>
            </w:tcBorders>
            <w:vAlign w:val="center"/>
          </w:tcPr>
          <w:p w14:paraId="0E9FB2D4">
            <w:pPr>
              <w:keepNext w:val="0"/>
              <w:keepLines w:val="0"/>
              <w:widowControl/>
              <w:suppressLineNumbers w:val="0"/>
              <w:jc w:val="right"/>
              <w:textAlignment w:val="center"/>
              <w:rPr>
                <w:rFonts w:hint="default" w:ascii="Segoe UI" w:hAnsi="Segoe UI" w:eastAsia="Segoe UI" w:cs="Segoe UI"/>
                <w:i w:val="0"/>
                <w:iCs w:val="0"/>
                <w:color w:val="ABB2BF"/>
                <w:kern w:val="0"/>
                <w:sz w:val="21"/>
                <w:szCs w:val="21"/>
                <w:u w:val="none"/>
                <w:bdr w:val="none" w:color="auto" w:sz="0" w:space="0"/>
                <w:lang w:val="en-US" w:eastAsia="zh-CN" w:bidi="ar"/>
              </w:rPr>
            </w:pPr>
            <w:r>
              <w:rPr>
                <w:rFonts w:hint="default" w:ascii="Segoe UI" w:hAnsi="Segoe UI" w:eastAsia="Segoe UI" w:cs="Segoe UI"/>
                <w:i w:val="0"/>
                <w:iCs w:val="0"/>
                <w:color w:val="ABB2BF"/>
                <w:kern w:val="0"/>
                <w:sz w:val="21"/>
                <w:szCs w:val="21"/>
                <w:u w:val="none"/>
                <w:lang w:val="en-US" w:eastAsia="zh-CN" w:bidi="ar"/>
              </w:rPr>
              <w:t>1</w:t>
            </w:r>
          </w:p>
        </w:tc>
      </w:tr>
    </w:tbl>
    <w:p w14:paraId="086430A0">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age（年龄） ：均值为 40.407511，标准差为 12.086078，最小值为 16，最大值为 101，25% 分位数为 32，中位数为 38，75% 分位数为 47，数据分布较为均匀，主要集中在 32 到 47 岁之间</w:t>
      </w:r>
    </w:p>
    <w:p w14:paraId="37DACCCF">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duration（通话时长） ：均值为 1146.303733，标准差较大，为 1432.432125，说明通话时长的差异较大。最小值为 0，可能是因为部分联系尝试未成功，或者通话时间极短；25% 分位数为 143，中位数为 353，75% 分位数为 1873，通话时长跨度从较短到较长都有分布，最长通话时长达到 5149，较长通话时长可能与客户对产品或服务的关注度、咨询的深入程度等因素有关。</w:t>
      </w:r>
    </w:p>
    <w:p w14:paraId="496BC625">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campaign（本次营销活动联系次数） ：均值为 3.3648，标准差为 7.223837，25% 分位数为 1，中位数为 1，75% 分位数为 3，最小值为 0，最大值为 57，表明大部分客户在本次营销活动中联系次数较少，但也有极个别客户联系次数较多，可能需要进一步分析这些联系次数多的客户特征，是否存在异常或特殊情况。</w:t>
      </w:r>
    </w:p>
    <w:p w14:paraId="4EADF4A0">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pdays（距离上次联系的天数） ：均值为 773.991956，标准差为 326.934334，25% 分位数为 557.75，中位数为 964，75% 分位数为 1005，最小值为 0，最大值为 1048，可以看出距离上次联系的天数跨度较大，且大部分在 557.75 到 1005 天之间，这可能与银行营销活动的开展周期、客户跟进策略等因素相关。</w:t>
      </w:r>
    </w:p>
    <w:p w14:paraId="3C59A684">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previous（之前营销活动联系次数） ：均值为 1.316444，标准差为 1.918733，25% 分位数为 0，中位数为 0，75% 分位数为 2，最小值为 0，最大值为 6，说明多数客户之前被联系的次数较少，可能显示出银行之前对这些客户的营销活动开展频率不高，或者这些客户是新客户，之前接触较少。</w:t>
      </w:r>
    </w:p>
    <w:p w14:paraId="1E64750A">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emp_var_rate（就业变化率） ：均值为 0.078529，标准差为 1.573831，25% 分位数为 -1.8，中位数为 1.1，75% 分位数为 1.4，最小值为 -3.4，最大值为 1.4，反映出就业变化率在一定区间内波动，有正向变化和负向变化的情况，可能与当时的经济环境、行业发展等因素有关，对客户就业状况及还款能力等可能有一定影响。</w:t>
      </w:r>
    </w:p>
    <w:p w14:paraId="07BC7E7A">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cons_price_index（消费者物价指数） ：均值为 93.548785，标准差为 2.805786，25% 分位数为 91.19，中位数为 93.54，75% 分位数为 95.92，最小值为 87.64，最大值为 99.46，呈现出较为稳定的上升趋势，表明物价水平在逐步上升，可能对客户的消费能力和贷款意愿产生一定影响。</w:t>
      </w:r>
    </w:p>
    <w:p w14:paraId="6313DEC6">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cons_conf_index（消费者信心指数） ：均值为 - 39.87718，标准差为 5.805442，25% 分位数为 - 44.16，中位数为 - 40.6，75% 分位数为 - 35.7975，最小值为 - 53.28，最大值为 - 25.55，数据全部为负值，且相对稳定，显示消费者信心整体处于较低水平，这可能与当时的整体经济形势、社会环境等因素有关，对客户的借贷行为和消费决策可能有抑制作用。</w:t>
      </w:r>
    </w:p>
    <w:p w14:paraId="7FFFC28B">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lending_rate3m（三个月贷款利率） ：均值为 3.30249，标准差为 1.611777，25% 分位数为 1.43，中位数为 3.92，75% 分位数为 4.83，最小值为 0.6，最大值为 5.27，利率存在一定的波动，不同客户面临的贷款利率可能有所不同，这可能受到客户信用状况、贷款金额、贷款期限以及市场利率环境等多种因素的影响。</w:t>
      </w:r>
    </w:p>
    <w:p w14:paraId="51A032B8">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nr_employed（就业人数） ：均值为 5137.211285，标准差为 170.670611，25% 分位数为 5008.51，中位数为 5133.955，75% 分位数为 5267.6775，最小值为 4715.42，最大值为 5489.5，呈现出较为稳定的增长趋势，就业人数的增加可能有助于提高客户的还款能力和贷款意愿，与经济发展状况密切相关。</w:t>
      </w:r>
    </w:p>
    <w:p w14:paraId="0A9FE755">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subscribe（是否订阅） ：这是一个二元分类变量，0 和 1 分别表示未订阅和已订阅，其均值为 0.1312，说明在数据集中，约有 13.12% 的客户最终订阅了相关产品或服务，这是营销活动的关键目标指标，后续可结合其他变量进行进一步分析，找出影响客户订阅决策的关键因素。</w:t>
      </w:r>
    </w:p>
    <w:p w14:paraId="7BD40BFA">
      <w:pPr>
        <w:keepNext w:val="0"/>
        <w:keepLines w:val="0"/>
        <w:pageBreakBefore w:val="0"/>
        <w:widowControl w:val="0"/>
        <w:numPr>
          <w:ilvl w:val="0"/>
          <w:numId w:val="2"/>
        </w:numPr>
        <w:kinsoku/>
        <w:wordWrap/>
        <w:overflowPunct/>
        <w:topLinePunct w:val="0"/>
        <w:autoSpaceDE/>
        <w:autoSpaceDN/>
        <w:bidi w:val="0"/>
        <w:adjustRightInd w:val="0"/>
        <w:snapToGrid w:val="0"/>
        <w:spacing w:line="560" w:lineRule="exact"/>
        <w:ind w:left="0" w:leftChars="0" w:firstLine="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分别观察数据</w:t>
      </w:r>
    </w:p>
    <w:p w14:paraId="4A1ED2EB">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Age和产品购买情况分析</w:t>
      </w:r>
    </w:p>
    <w:p w14:paraId="780CD9BE">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宋体" w:cs="楷体"/>
          <w:sz w:val="24"/>
          <w:szCs w:val="24"/>
          <w:lang w:val="en-US" w:eastAsia="zh-CN"/>
        </w:rPr>
      </w:pPr>
      <w:r>
        <w:rPr>
          <w:rFonts w:hint="default" w:ascii="楷体" w:hAnsi="楷体" w:eastAsia="宋体" w:cs="楷体"/>
          <w:sz w:val="24"/>
          <w:szCs w:val="24"/>
          <w:lang w:val="en-US" w:eastAsia="zh-CN"/>
        </w:rPr>
        <w:drawing>
          <wp:anchor distT="0" distB="0" distL="114300" distR="114300" simplePos="0" relativeHeight="251662336" behindDoc="0" locked="0" layoutInCell="1" allowOverlap="1">
            <wp:simplePos x="0" y="0"/>
            <wp:positionH relativeFrom="column">
              <wp:posOffset>-78740</wp:posOffset>
            </wp:positionH>
            <wp:positionV relativeFrom="paragraph">
              <wp:posOffset>6350</wp:posOffset>
            </wp:positionV>
            <wp:extent cx="5273675" cy="3235960"/>
            <wp:effectExtent l="5080" t="4445" r="4445" b="10795"/>
            <wp:wrapTopAndBottom/>
            <wp:docPr id="30"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anchor>
        </w:drawing>
      </w:r>
      <w:r>
        <w:rPr>
          <w:rFonts w:hint="eastAsia" w:ascii="楷体" w:hAnsi="楷体" w:eastAsia="宋体" w:cs="楷体"/>
          <w:sz w:val="24"/>
          <w:szCs w:val="24"/>
          <w:lang w:val="en-US" w:eastAsia="zh-CN"/>
        </w:rPr>
        <w:t>可以看出，31-35 岁 ：这个年龄段购买产品的人数最多，橙色柱子的高度明显高于其他年龄段。这表明 31-35 岁的人群对产品的接受度最高，可能是产品的核心消费群体。</w:t>
      </w:r>
    </w:p>
    <w:p w14:paraId="03D7E9E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宋体" w:cs="楷体"/>
          <w:sz w:val="24"/>
          <w:szCs w:val="24"/>
          <w:lang w:val="en-US" w:eastAsia="zh-CN"/>
        </w:rPr>
      </w:pPr>
      <w:r>
        <w:rPr>
          <w:rFonts w:hint="default" w:ascii="楷体" w:hAnsi="楷体" w:eastAsia="宋体" w:cs="楷体"/>
          <w:sz w:val="24"/>
          <w:szCs w:val="24"/>
          <w:lang w:val="en-US" w:eastAsia="zh-CN"/>
        </w:rPr>
        <w:t>26-30 岁 和 36-40 岁 ：这两个年龄段购买产品的人数也相对较多，分别位于第二和第三位。它们与 31-35 岁年龄段共同构成了产品的消费主力军。</w:t>
      </w:r>
    </w:p>
    <w:p w14:paraId="150E7274">
      <w:pPr>
        <w:keepNext w:val="0"/>
        <w:keepLines w:val="0"/>
        <w:pageBreakBefore w:val="0"/>
        <w:widowControl w:val="0"/>
        <w:numPr>
          <w:ilvl w:val="0"/>
          <w:numId w:val="3"/>
        </w:numPr>
        <w:kinsoku/>
        <w:wordWrap/>
        <w:overflowPunct/>
        <w:topLinePunct w:val="0"/>
        <w:autoSpaceDE/>
        <w:autoSpaceDN/>
        <w:bidi w:val="0"/>
        <w:adjustRightInd w:val="0"/>
        <w:snapToGrid w:val="0"/>
        <w:spacing w:line="560" w:lineRule="exact"/>
        <w:ind w:left="420" w:leftChars="0" w:hanging="420" w:firstLineChars="0"/>
        <w:jc w:val="both"/>
        <w:textAlignment w:val="auto"/>
        <w:rPr>
          <w:rFonts w:hint="default" w:ascii="楷体" w:hAnsi="楷体" w:eastAsia="宋体" w:cs="楷体"/>
          <w:sz w:val="24"/>
          <w:szCs w:val="24"/>
          <w:lang w:val="en-US" w:eastAsia="zh-CN"/>
        </w:rPr>
      </w:pPr>
      <w:r>
        <w:rPr>
          <w:rFonts w:hint="eastAsia" w:ascii="楷体" w:hAnsi="楷体" w:cs="楷体"/>
          <w:sz w:val="24"/>
          <w:szCs w:val="24"/>
          <w:lang w:val="en-US" w:eastAsia="zh-CN"/>
        </w:rPr>
        <w:t>针对 31-35 岁年龄段 ：由于这个年龄段是主要消费群体，可以进一步优化产品和服务，满足他们的需求。同时，针对不购买的群体，分析原因并采取措施提高转化率。</w:t>
      </w:r>
    </w:p>
    <w:p w14:paraId="583DD781">
      <w:pPr>
        <w:keepNext w:val="0"/>
        <w:keepLines w:val="0"/>
        <w:pageBreakBefore w:val="0"/>
        <w:widowControl w:val="0"/>
        <w:numPr>
          <w:ilvl w:val="0"/>
          <w:numId w:val="3"/>
        </w:numPr>
        <w:kinsoku/>
        <w:wordWrap/>
        <w:overflowPunct/>
        <w:topLinePunct w:val="0"/>
        <w:autoSpaceDE/>
        <w:autoSpaceDN/>
        <w:bidi w:val="0"/>
        <w:adjustRightInd w:val="0"/>
        <w:snapToGrid w:val="0"/>
        <w:spacing w:line="560" w:lineRule="exact"/>
        <w:ind w:left="420" w:leftChars="0" w:hanging="420" w:firstLineChars="0"/>
        <w:jc w:val="both"/>
        <w:textAlignment w:val="auto"/>
        <w:rPr>
          <w:rFonts w:hint="default" w:ascii="楷体" w:hAnsi="楷体" w:eastAsia="宋体" w:cs="楷体"/>
          <w:sz w:val="24"/>
          <w:szCs w:val="24"/>
          <w:lang w:val="en-US" w:eastAsia="zh-CN"/>
        </w:rPr>
      </w:pPr>
      <w:r>
        <w:rPr>
          <w:rFonts w:hint="default" w:ascii="楷体" w:hAnsi="楷体" w:eastAsia="宋体" w:cs="楷体"/>
          <w:sz w:val="24"/>
          <w:szCs w:val="24"/>
          <w:lang w:val="en-US" w:eastAsia="zh-CN"/>
        </w:rPr>
        <w:t>关注 26-30 岁和 36-40 岁年龄段 ：通过市场调研，了解这些年龄段不购买的原因，可能是因为价格、产品特性或渠道问题，从而调整营销策略。</w:t>
      </w:r>
    </w:p>
    <w:p w14:paraId="425B04BD">
      <w:pPr>
        <w:keepNext w:val="0"/>
        <w:keepLines w:val="0"/>
        <w:pageBreakBefore w:val="0"/>
        <w:widowControl w:val="0"/>
        <w:numPr>
          <w:ilvl w:val="0"/>
          <w:numId w:val="3"/>
        </w:numPr>
        <w:kinsoku/>
        <w:wordWrap/>
        <w:overflowPunct/>
        <w:topLinePunct w:val="0"/>
        <w:autoSpaceDE/>
        <w:autoSpaceDN/>
        <w:bidi w:val="0"/>
        <w:adjustRightInd w:val="0"/>
        <w:snapToGrid w:val="0"/>
        <w:spacing w:line="560" w:lineRule="exact"/>
        <w:ind w:left="420" w:leftChars="0" w:hanging="420" w:firstLineChars="0"/>
        <w:jc w:val="both"/>
        <w:textAlignment w:val="auto"/>
        <w:rPr>
          <w:rFonts w:hint="default" w:ascii="楷体" w:hAnsi="楷体" w:eastAsia="宋体" w:cs="楷体"/>
          <w:sz w:val="24"/>
          <w:szCs w:val="24"/>
          <w:lang w:val="en-US" w:eastAsia="zh-CN"/>
        </w:rPr>
      </w:pPr>
      <w:r>
        <w:rPr>
          <w:rFonts w:hint="default" w:ascii="楷体" w:hAnsi="楷体" w:eastAsia="宋体" w:cs="楷体"/>
          <w:sz w:val="24"/>
          <w:szCs w:val="24"/>
          <w:lang w:val="en-US" w:eastAsia="zh-CN"/>
        </w:rPr>
        <w:t>拓展年轻和老年市场 ：对于 21 岁以下的年轻群体，可以推出适合他们的产品或进行教育营销，培养未来的消费习惯；而对于老年群体，可以探索适合他们的产品特性和营销方式。</w:t>
      </w:r>
    </w:p>
    <w:p w14:paraId="7D0EE51D">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p>
    <w:p w14:paraId="4D8EAE41">
      <w:pPr>
        <w:keepNext w:val="0"/>
        <w:keepLines w:val="0"/>
        <w:pageBreakBefore w:val="0"/>
        <w:widowControl w:val="0"/>
        <w:numPr>
          <w:ilvl w:val="0"/>
          <w:numId w:val="2"/>
        </w:numPr>
        <w:kinsoku/>
        <w:wordWrap/>
        <w:overflowPunct/>
        <w:topLinePunct w:val="0"/>
        <w:autoSpaceDE/>
        <w:autoSpaceDN/>
        <w:bidi w:val="0"/>
        <w:adjustRightInd w:val="0"/>
        <w:snapToGrid w:val="0"/>
        <w:spacing w:line="560" w:lineRule="exact"/>
        <w:ind w:left="0" w:leftChars="0" w:firstLine="0" w:firstLineChars="0"/>
        <w:jc w:val="both"/>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job与产品购买情况</w:t>
      </w:r>
    </w:p>
    <w:p w14:paraId="019F9465">
      <w:pPr>
        <w:keepNext w:val="0"/>
        <w:keepLines w:val="0"/>
        <w:pageBreakBefore w:val="0"/>
        <w:widowControl w:val="0"/>
        <w:numPr>
          <w:ilvl w:val="0"/>
          <w:numId w:val="4"/>
        </w:numPr>
        <w:kinsoku/>
        <w:wordWrap/>
        <w:overflowPunct/>
        <w:topLinePunct w:val="0"/>
        <w:autoSpaceDE/>
        <w:autoSpaceDN/>
        <w:bidi w:val="0"/>
        <w:adjustRightInd w:val="0"/>
        <w:snapToGrid w:val="0"/>
        <w:spacing w:line="560" w:lineRule="exact"/>
        <w:ind w:left="420" w:leftChars="0" w:hanging="42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anchor distT="0" distB="0" distL="114300" distR="114300" simplePos="0" relativeHeight="251663360" behindDoc="0" locked="0" layoutInCell="1" allowOverlap="1">
            <wp:simplePos x="0" y="0"/>
            <wp:positionH relativeFrom="column">
              <wp:posOffset>24765</wp:posOffset>
            </wp:positionH>
            <wp:positionV relativeFrom="paragraph">
              <wp:posOffset>31750</wp:posOffset>
            </wp:positionV>
            <wp:extent cx="5266690" cy="3020695"/>
            <wp:effectExtent l="4445" t="4445" r="12065" b="10160"/>
            <wp:wrapTopAndBottom/>
            <wp:docPr id="3"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rPr>
          <w:rFonts w:hint="eastAsia" w:ascii="楷体" w:hAnsi="楷体" w:eastAsia="楷体" w:cs="楷体"/>
          <w:sz w:val="24"/>
          <w:szCs w:val="24"/>
          <w:lang w:val="en-US" w:eastAsia="zh-CN"/>
        </w:rPr>
        <w:t>针对高购买人数的职业群体：对管理者、蓝领和技术员等购买人数较多的职业，加大市场推广力度，分析其购买动机，强化产品优势。</w:t>
      </w:r>
    </w:p>
    <w:p w14:paraId="52BA52C0">
      <w:pPr>
        <w:keepNext w:val="0"/>
        <w:keepLines w:val="0"/>
        <w:pageBreakBefore w:val="0"/>
        <w:widowControl w:val="0"/>
        <w:numPr>
          <w:ilvl w:val="0"/>
          <w:numId w:val="4"/>
        </w:numPr>
        <w:kinsoku/>
        <w:wordWrap/>
        <w:overflowPunct/>
        <w:topLinePunct w:val="0"/>
        <w:autoSpaceDE/>
        <w:autoSpaceDN/>
        <w:bidi w:val="0"/>
        <w:adjustRightInd w:val="0"/>
        <w:snapToGrid w:val="0"/>
        <w:spacing w:line="560" w:lineRule="exact"/>
        <w:ind w:left="420" w:leftChars="0" w:hanging="42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挖掘潜在客户：针对蓝领和技术员等不购买人数多的职业，了解不购买原因，如价格、产品特性等，调整策略提升吸引力。</w:t>
      </w:r>
    </w:p>
    <w:p w14:paraId="65D7F692">
      <w:pPr>
        <w:keepNext w:val="0"/>
        <w:keepLines w:val="0"/>
        <w:pageBreakBefore w:val="0"/>
        <w:widowControl w:val="0"/>
        <w:numPr>
          <w:ilvl w:val="0"/>
          <w:numId w:val="4"/>
        </w:numPr>
        <w:kinsoku/>
        <w:wordWrap/>
        <w:overflowPunct/>
        <w:topLinePunct w:val="0"/>
        <w:autoSpaceDE/>
        <w:autoSpaceDN/>
        <w:bidi w:val="0"/>
        <w:adjustRightInd w:val="0"/>
        <w:snapToGrid w:val="0"/>
        <w:spacing w:line="560" w:lineRule="exact"/>
        <w:ind w:left="420" w:leftChars="0" w:hanging="42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关注特殊职业群体：对学生和退休人员等购买人数少的职业，开发适合其需求的产品或提供特殊优惠，如学生优惠、退休人员套餐等。</w:t>
      </w:r>
    </w:p>
    <w:p w14:paraId="318F1572">
      <w:pPr>
        <w:keepNext w:val="0"/>
        <w:keepLines w:val="0"/>
        <w:pageBreakBefore w:val="0"/>
        <w:widowControl w:val="0"/>
        <w:numPr>
          <w:ilvl w:val="0"/>
          <w:numId w:val="4"/>
        </w:numPr>
        <w:kinsoku/>
        <w:wordWrap/>
        <w:overflowPunct/>
        <w:topLinePunct w:val="0"/>
        <w:autoSpaceDE/>
        <w:autoSpaceDN/>
        <w:bidi w:val="0"/>
        <w:adjustRightInd w:val="0"/>
        <w:snapToGrid w:val="0"/>
        <w:spacing w:line="560" w:lineRule="exact"/>
        <w:ind w:left="420" w:leftChars="0" w:hanging="42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优化产品和服务：对服务人员等不购买人数多的职业，提供定制化服务或产品体验活动，增加产品吸引力。</w:t>
      </w:r>
    </w:p>
    <w:p w14:paraId="38577C72">
      <w:pPr>
        <w:keepNext w:val="0"/>
        <w:keepLines w:val="0"/>
        <w:pageBreakBefore w:val="0"/>
        <w:widowControl w:val="0"/>
        <w:numPr>
          <w:ilvl w:val="0"/>
          <w:numId w:val="4"/>
        </w:numPr>
        <w:kinsoku/>
        <w:wordWrap/>
        <w:overflowPunct/>
        <w:topLinePunct w:val="0"/>
        <w:autoSpaceDE/>
        <w:autoSpaceDN/>
        <w:bidi w:val="0"/>
        <w:adjustRightInd w:val="0"/>
        <w:snapToGrid w:val="0"/>
        <w:spacing w:line="560" w:lineRule="exact"/>
        <w:ind w:left="420" w:leftChars="0" w:hanging="42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开展市场调研：了解不同职业群体的需求和偏好，为产品开发和营销策略提供依据，提高市场竞争力。</w:t>
      </w:r>
    </w:p>
    <w:p w14:paraId="077FF9ED">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textAlignment w:val="baseline"/>
      </w:pPr>
    </w:p>
    <w:p w14:paraId="64657A46">
      <w:pPr>
        <w:keepNext w:val="0"/>
        <w:keepLines w:val="0"/>
        <w:pageBreakBefore w:val="0"/>
        <w:widowControl w:val="0"/>
        <w:numPr>
          <w:ilvl w:val="0"/>
          <w:numId w:val="2"/>
        </w:numPr>
        <w:kinsoku/>
        <w:wordWrap/>
        <w:overflowPunct/>
        <w:topLinePunct w:val="0"/>
        <w:autoSpaceDE/>
        <w:autoSpaceDN/>
        <w:bidi w:val="0"/>
        <w:adjustRightInd w:val="0"/>
        <w:snapToGrid w:val="0"/>
        <w:spacing w:line="560" w:lineRule="exact"/>
        <w:ind w:left="0" w:leftChars="0" w:firstLine="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Education</w:t>
      </w:r>
    </w:p>
    <w:p w14:paraId="17167D17">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firstLine="420" w:firstLineChars="200"/>
        <w:jc w:val="both"/>
        <w:textAlignment w:val="auto"/>
        <w:rPr>
          <w:rFonts w:hint="default" w:ascii="楷体" w:hAnsi="楷体" w:eastAsia="楷体" w:cs="楷体"/>
          <w:sz w:val="24"/>
          <w:szCs w:val="24"/>
          <w:lang w:val="en-US" w:eastAsia="zh-CN"/>
        </w:rPr>
      </w:pPr>
      <w:r>
        <w:drawing>
          <wp:anchor distT="0" distB="0" distL="114300" distR="114300" simplePos="0" relativeHeight="251664384" behindDoc="0" locked="0" layoutInCell="1" allowOverlap="1">
            <wp:simplePos x="0" y="0"/>
            <wp:positionH relativeFrom="column">
              <wp:posOffset>54610</wp:posOffset>
            </wp:positionH>
            <wp:positionV relativeFrom="paragraph">
              <wp:posOffset>300355</wp:posOffset>
            </wp:positionV>
            <wp:extent cx="4826000" cy="2349500"/>
            <wp:effectExtent l="4445" t="4445" r="8255" b="46355"/>
            <wp:wrapTopAndBottom/>
            <wp:docPr id="2" name="图表 3" descr="7b0a202020202263686172745265734964223a20223230343732303435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Pr>
          <w:rFonts w:hint="default" w:ascii="楷体" w:hAnsi="楷体" w:eastAsia="楷体" w:cs="楷体"/>
          <w:sz w:val="24"/>
          <w:szCs w:val="24"/>
          <w:lang w:val="en-US" w:eastAsia="zh-CN"/>
        </w:rPr>
        <w:t>针对高购买意愿的教育程度群体：对大学和高中教育程度的人群，加大市场推广力度，设计更具针对性的营销活动。了解低购买意愿群体的需求：针对研究生和文盲等教育程度的人群，通过市场调研了解其不购买的原因，优化产品或开发适合其需求的产品。</w:t>
      </w:r>
    </w:p>
    <w:p w14:paraId="40DB53D3">
      <w:pPr>
        <w:keepNext w:val="0"/>
        <w:keepLines w:val="0"/>
        <w:pageBreakBefore w:val="0"/>
        <w:widowControl w:val="0"/>
        <w:numPr>
          <w:ilvl w:val="0"/>
          <w:numId w:val="2"/>
        </w:numPr>
        <w:kinsoku/>
        <w:wordWrap/>
        <w:overflowPunct/>
        <w:topLinePunct w:val="0"/>
        <w:autoSpaceDE/>
        <w:autoSpaceDN/>
        <w:bidi w:val="0"/>
        <w:adjustRightInd w:val="0"/>
        <w:snapToGrid w:val="0"/>
        <w:spacing w:line="560" w:lineRule="exact"/>
        <w:ind w:left="0" w:leftChars="0" w:firstLine="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婚姻状况</w:t>
      </w:r>
    </w:p>
    <w:p w14:paraId="2AE53E0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宋体" w:cs="楷体"/>
          <w:sz w:val="24"/>
          <w:szCs w:val="24"/>
          <w:lang w:val="en-US" w:eastAsia="zh-CN"/>
        </w:rPr>
      </w:pPr>
      <w:r>
        <w:drawing>
          <wp:anchor distT="0" distB="0" distL="114300" distR="114300" simplePos="0" relativeHeight="251666432" behindDoc="0" locked="0" layoutInCell="1" allowOverlap="1">
            <wp:simplePos x="0" y="0"/>
            <wp:positionH relativeFrom="column">
              <wp:posOffset>-53340</wp:posOffset>
            </wp:positionH>
            <wp:positionV relativeFrom="paragraph">
              <wp:posOffset>188595</wp:posOffset>
            </wp:positionV>
            <wp:extent cx="4826000" cy="2082800"/>
            <wp:effectExtent l="4445" t="4445" r="8255" b="8255"/>
            <wp:wrapTopAndBottom/>
            <wp:docPr id="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Pr>
          <w:rFonts w:hint="eastAsia"/>
          <w:lang w:val="en-US" w:eastAsia="zh-CN"/>
        </w:rPr>
        <w:t>婚姻对此影响不是很大</w:t>
      </w:r>
    </w:p>
    <w:p w14:paraId="04501A22">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6.购买情况/营销活动情况/风险分析</w:t>
      </w:r>
    </w:p>
    <w:p w14:paraId="02C770DD">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drawing>
          <wp:anchor distT="0" distB="0" distL="114300" distR="114300" simplePos="0" relativeHeight="251668480" behindDoc="0" locked="0" layoutInCell="1" allowOverlap="1">
            <wp:simplePos x="0" y="0"/>
            <wp:positionH relativeFrom="column">
              <wp:posOffset>2916555</wp:posOffset>
            </wp:positionH>
            <wp:positionV relativeFrom="paragraph">
              <wp:posOffset>-7882890</wp:posOffset>
            </wp:positionV>
            <wp:extent cx="2369820" cy="2265680"/>
            <wp:effectExtent l="4445" t="4445" r="13335" b="15875"/>
            <wp:wrapTopAndBottom/>
            <wp:docPr id="25" name="图表 24" descr="7b0a202020202263686172745265734964223a20223230343736343637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drawing>
          <wp:anchor distT="0" distB="0" distL="114300" distR="114300" simplePos="0" relativeHeight="251665408" behindDoc="0" locked="0" layoutInCell="1" allowOverlap="1">
            <wp:simplePos x="0" y="0"/>
            <wp:positionH relativeFrom="column">
              <wp:posOffset>56515</wp:posOffset>
            </wp:positionH>
            <wp:positionV relativeFrom="paragraph">
              <wp:posOffset>76835</wp:posOffset>
            </wp:positionV>
            <wp:extent cx="2626995" cy="1661795"/>
            <wp:effectExtent l="4445" t="4445" r="10160" b="10160"/>
            <wp:wrapTopAndBottom/>
            <wp:docPr id="24" name="图表 23" descr="7b0a202020202263686172745265734964223a20223230343732323037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19C2186A">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rPr>
          <w:rFonts w:hint="eastAsia" w:ascii="楷体" w:hAnsi="楷体" w:eastAsia="楷体" w:cs="楷体"/>
          <w:sz w:val="24"/>
          <w:szCs w:val="24"/>
          <w:lang w:val="en-US" w:eastAsia="zh-CN"/>
        </w:rPr>
      </w:pPr>
      <w:r>
        <w:drawing>
          <wp:anchor distT="0" distB="0" distL="114300" distR="114300" simplePos="0" relativeHeight="251667456" behindDoc="0" locked="0" layoutInCell="1" allowOverlap="1">
            <wp:simplePos x="0" y="0"/>
            <wp:positionH relativeFrom="column">
              <wp:posOffset>203200</wp:posOffset>
            </wp:positionH>
            <wp:positionV relativeFrom="paragraph">
              <wp:posOffset>18415</wp:posOffset>
            </wp:positionV>
            <wp:extent cx="3188335" cy="2121535"/>
            <wp:effectExtent l="4445" t="4445" r="7620" b="45720"/>
            <wp:wrapTopAndBottom/>
            <wp:docPr id="28" name="图表 27" descr="7b0a202020202263686172745265734964223a20223230333037383531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Pr>
          <w:rFonts w:hint="eastAsia" w:ascii="楷体" w:hAnsi="楷体" w:eastAsia="楷体" w:cs="楷体"/>
          <w:sz w:val="24"/>
          <w:szCs w:val="24"/>
          <w:lang w:val="en-US" w:eastAsia="zh-CN"/>
        </w:rPr>
        <w:t>可以看出，购买产品有13%，然后活动后，成功概率去到了15%，有所提升，而整体客户而言，高风险的客户是59%，在产品推销的时候需要注意。</w:t>
      </w:r>
    </w:p>
    <w:p w14:paraId="50B10C38">
      <w:pPr>
        <w:keepNext w:val="0"/>
        <w:keepLines w:val="0"/>
        <w:pageBreakBefore w:val="0"/>
        <w:widowControl w:val="0"/>
        <w:numPr>
          <w:ilvl w:val="0"/>
          <w:numId w:val="2"/>
        </w:numPr>
        <w:kinsoku/>
        <w:wordWrap/>
        <w:overflowPunct/>
        <w:topLinePunct w:val="0"/>
        <w:autoSpaceDE/>
        <w:autoSpaceDN/>
        <w:bidi w:val="0"/>
        <w:adjustRightInd w:val="0"/>
        <w:snapToGrid w:val="0"/>
        <w:spacing w:line="560" w:lineRule="exact"/>
        <w:ind w:left="0" w:leftChars="0" w:firstLine="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继续通过代码获取热力图分析</w:t>
      </w:r>
    </w:p>
    <w:p w14:paraId="330166F5">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import pandas as pd</w:t>
      </w:r>
    </w:p>
    <w:p w14:paraId="0D3C99A9">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import numpy as np</w:t>
      </w:r>
    </w:p>
    <w:p w14:paraId="161FFB04">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import matplotlib.pyplot as plt</w:t>
      </w:r>
    </w:p>
    <w:p w14:paraId="6843E699">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import seaborn as sns</w:t>
      </w:r>
    </w:p>
    <w:p w14:paraId="7D8C2468">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p>
    <w:p w14:paraId="46B2B7F0">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设置中文字体，防止中文乱码</w:t>
      </w:r>
    </w:p>
    <w:p w14:paraId="393B7B03">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plt.rcParams['font.sans-serif'] = ['Microsoft YaHei']</w:t>
      </w:r>
    </w:p>
    <w:p w14:paraId="39859546">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plt.rcParams['axes.unicode_minus'] = False</w:t>
      </w:r>
    </w:p>
    <w:p w14:paraId="7658B8C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p>
    <w:p w14:paraId="54207974">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读取数据</w:t>
      </w:r>
    </w:p>
    <w:p w14:paraId="052D6D2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df = pd.read_excel("data.xlsx")</w:t>
      </w:r>
    </w:p>
    <w:p w14:paraId="76B6ACE1">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p>
    <w:p w14:paraId="10ADCBD8">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只保留数值型列</w:t>
      </w:r>
    </w:p>
    <w:p w14:paraId="4A548C43">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num_df = df.select_dtypes(include=[np.number])</w:t>
      </w:r>
    </w:p>
    <w:p w14:paraId="7F9093CE">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p>
    <w:p w14:paraId="36C929D6">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计算相关性矩阵</w:t>
      </w:r>
    </w:p>
    <w:p w14:paraId="712A6C12">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corr = num_df.corr()</w:t>
      </w:r>
    </w:p>
    <w:p w14:paraId="6DDE5775">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p>
    <w:p w14:paraId="7632C53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绘制热力图并导出为jpg</w:t>
      </w:r>
    </w:p>
    <w:p w14:paraId="4A8AF95A">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plt.figure(figsize=(12, 10))</w:t>
      </w:r>
    </w:p>
    <w:p w14:paraId="7019FE4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sns.heatmap(</w:t>
      </w:r>
    </w:p>
    <w:p w14:paraId="570F56CD">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corr, </w:t>
      </w:r>
    </w:p>
    <w:p w14:paraId="36FA45AD">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annot=True, </w:t>
      </w:r>
    </w:p>
    <w:p w14:paraId="06C4389B">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cmap='coolwarm', </w:t>
      </w:r>
    </w:p>
    <w:p w14:paraId="3356EC5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vmin=-1, vmax=1, </w:t>
      </w:r>
    </w:p>
    <w:p w14:paraId="57C32886">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annot_kws={"size": 8}</w:t>
      </w:r>
    </w:p>
    <w:p w14:paraId="2C0CFF71">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t>
      </w:r>
    </w:p>
    <w:p w14:paraId="72E77A07">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plt.title('特征相关性热力图', fontsize=16)</w:t>
      </w:r>
    </w:p>
    <w:p w14:paraId="09849AD4">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plt.xticks(rotation=45, ha='right', fontsize=10)</w:t>
      </w:r>
    </w:p>
    <w:p w14:paraId="402D70CB">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plt.yticks(fontsize=10)</w:t>
      </w:r>
    </w:p>
    <w:p w14:paraId="46A3BFE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plt.tight_layout()</w:t>
      </w:r>
    </w:p>
    <w:p w14:paraId="58951560">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plt.savefig('heatmap.jpg', dpi=300)</w:t>
      </w:r>
    </w:p>
    <w:p w14:paraId="23D2793B">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plt.show()  </w:t>
      </w:r>
    </w:p>
    <w:p w14:paraId="3CC73590">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rPr>
      </w:pPr>
      <w:r>
        <w:drawing>
          <wp:anchor distT="0" distB="0" distL="114300" distR="114300" simplePos="0" relativeHeight="251669504" behindDoc="0" locked="0" layoutInCell="1" allowOverlap="1">
            <wp:simplePos x="0" y="0"/>
            <wp:positionH relativeFrom="column">
              <wp:posOffset>-170180</wp:posOffset>
            </wp:positionH>
            <wp:positionV relativeFrom="paragraph">
              <wp:posOffset>-9291320</wp:posOffset>
            </wp:positionV>
            <wp:extent cx="5271135" cy="4662805"/>
            <wp:effectExtent l="0" t="0" r="12065" b="10795"/>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1135" cy="4662805"/>
                    </a:xfrm>
                    <a:prstGeom prst="rect">
                      <a:avLst/>
                    </a:prstGeom>
                    <a:noFill/>
                    <a:ln>
                      <a:noFill/>
                    </a:ln>
                  </pic:spPr>
                </pic:pic>
              </a:graphicData>
            </a:graphic>
          </wp:anchor>
        </w:drawing>
      </w:r>
      <w:r>
        <w:rPr>
          <w:rFonts w:hint="eastAsia"/>
          <w:lang w:val="en-US" w:eastAsia="zh-CN"/>
        </w:rPr>
        <w:t xml:space="preserve">    </w:t>
      </w:r>
      <w:r>
        <w:rPr>
          <w:rFonts w:hint="eastAsia"/>
        </w:rPr>
        <w:t>关键影响因素：duration（通话时长）是影响订阅行为的重要因素，建议在营销活动中注重与客户的沟通深度，延长有效通话时间。</w:t>
      </w:r>
    </w:p>
    <w:p w14:paraId="3E79EAE2">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firstLine="420" w:firstLineChars="200"/>
        <w:textAlignment w:val="baseline"/>
        <w:rPr>
          <w:rFonts w:hint="eastAsia"/>
        </w:rPr>
      </w:pPr>
      <w:r>
        <w:rPr>
          <w:rFonts w:hint="eastAsia"/>
        </w:rPr>
        <w:t>营销活动策略：campaign 和 previous 的高相关性提示需要优化营销活动的频率和策略，避免过度打扰客户。</w:t>
      </w:r>
    </w:p>
    <w:p w14:paraId="0DFC009B">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rPr>
      </w:pPr>
      <w:r>
        <w:rPr>
          <w:rFonts w:hint="eastAsia"/>
          <w:lang w:val="en-US" w:eastAsia="zh-CN"/>
        </w:rPr>
        <w:t xml:space="preserve">     </w:t>
      </w:r>
      <w:r>
        <w:rPr>
          <w:rFonts w:hint="eastAsia"/>
        </w:rPr>
        <w:t>经济因素影响：emp_var_rate 和 nr_employed 的强相关性表明经济环境对就业的影响显著，可以结合宏观经济指标调整产品策略。</w:t>
      </w:r>
    </w:p>
    <w:p w14:paraId="685C7E4C">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lang w:val="en-US" w:eastAsia="zh-CN"/>
        </w:rPr>
        <w:t xml:space="preserve">     </w:t>
      </w:r>
      <w:r>
        <w:rPr>
          <w:rFonts w:hint="eastAsia"/>
        </w:rPr>
        <w:t>消费者信心与贷款利率：负相关关系提示在消费者信心较低或贷款利率较高时，需加强产品推广和客户教育，提升客户信心。</w:t>
      </w:r>
    </w:p>
    <w:p w14:paraId="5CDEDB94">
      <w:pPr>
        <w:keepNext w:val="0"/>
        <w:keepLines w:val="0"/>
        <w:pageBreakBefore w:val="0"/>
        <w:widowControl w:val="0"/>
        <w:numPr>
          <w:ilvl w:val="0"/>
          <w:numId w:val="2"/>
        </w:numPr>
        <w:kinsoku/>
        <w:wordWrap/>
        <w:overflowPunct/>
        <w:topLinePunct w:val="0"/>
        <w:autoSpaceDE/>
        <w:autoSpaceDN/>
        <w:bidi w:val="0"/>
        <w:adjustRightInd w:val="0"/>
        <w:snapToGrid w:val="0"/>
        <w:spacing w:line="560" w:lineRule="exact"/>
        <w:ind w:left="0" w:leftChars="0" w:firstLine="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模型预测</w:t>
      </w:r>
    </w:p>
    <w:p w14:paraId="15DA84F4">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6. 记录开始时间</w:t>
      </w:r>
    </w:p>
    <w:p w14:paraId="779FF09A">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start_time = time.time()</w:t>
      </w:r>
    </w:p>
    <w:p w14:paraId="1D11B2E2">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p>
    <w:p w14:paraId="3D5B99E8">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7. 训练模型</w:t>
      </w:r>
    </w:p>
    <w:p w14:paraId="163CFC02">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random_search.fit(X_resampled, y_resampled)</w:t>
      </w:r>
    </w:p>
    <w:p w14:paraId="2D774B55">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p>
    <w:p w14:paraId="04D21BC5">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8. 记录结束时间并计算总耗时</w:t>
      </w:r>
    </w:p>
    <w:p w14:paraId="17968C6A">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end_time = time.time()</w:t>
      </w:r>
    </w:p>
    <w:p w14:paraId="1835748E">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total_time = end_time - start_time</w:t>
      </w:r>
    </w:p>
    <w:p w14:paraId="1F508FE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print(f"Total training time: {total_time:.2f} seconds")</w:t>
      </w:r>
    </w:p>
    <w:p w14:paraId="63DC9714">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p>
    <w:p w14:paraId="78FC9D4D">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9. 输出最优参数与评分</w:t>
      </w:r>
    </w:p>
    <w:p w14:paraId="48031CF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print("✅ Best Parameters:")</w:t>
      </w:r>
    </w:p>
    <w:p w14:paraId="313C20A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print(random_search.best_params_)</w:t>
      </w:r>
    </w:p>
    <w:p w14:paraId="0FFBBE21">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print("🏆 Best F1 Score:")</w:t>
      </w:r>
    </w:p>
    <w:p w14:paraId="2A304879">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print(random_search.best_score_)</w:t>
      </w:r>
    </w:p>
    <w:p w14:paraId="1DBCA3F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p>
    <w:p w14:paraId="47025230">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10. 最佳模型预测</w:t>
      </w:r>
    </w:p>
    <w:p w14:paraId="01EBC9D7">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best_model = random_search.best_estimator_</w:t>
      </w:r>
    </w:p>
    <w:p w14:paraId="36154F20">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y_pred = best_model.predict(X_test)</w:t>
      </w:r>
    </w:p>
    <w:p w14:paraId="512C4007">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11. 输出结果</w:t>
      </w:r>
    </w:p>
    <w:p w14:paraId="6603EDEE">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print("\n📊 Classification Report:")</w:t>
      </w:r>
    </w:p>
    <w:p w14:paraId="4A3D3348">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print(classification_report(y_test, y_pred))</w:t>
      </w:r>
    </w:p>
    <w:p w14:paraId="04F081DB">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print("🧮 Confusion Matrix:")</w:t>
      </w:r>
    </w:p>
    <w:p w14:paraId="0B74B927">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print(confusion_matrix(y_test, y_pred))</w:t>
      </w:r>
    </w:p>
    <w:p w14:paraId="787CBDF7">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p>
    <w:p w14:paraId="218A46EE">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12. 绘制特征重要性</w:t>
      </w:r>
    </w:p>
    <w:p w14:paraId="7F781A03">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plt.figure(figsize=(12, 8))</w:t>
      </w:r>
    </w:p>
    <w:p w14:paraId="107BDD2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pd.Series(best_model.feature_importances_, index=X.columns).sort_values(ascending=False).plot(kind='bar')</w:t>
      </w:r>
    </w:p>
    <w:p w14:paraId="2247CC29">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plt.title('Feature Importance')</w:t>
      </w:r>
    </w:p>
    <w:p w14:paraId="1B2EB5CE">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plt.show()</w:t>
      </w:r>
    </w:p>
    <w:p w14:paraId="10C87720">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p>
    <w:p w14:paraId="4417F5F0">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13. 绘制混淆矩阵</w:t>
      </w:r>
    </w:p>
    <w:p w14:paraId="762A65D3">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plt.figure(figsize=(10, 7))</w:t>
      </w:r>
    </w:p>
    <w:p w14:paraId="48733752">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sns.heatmap(confusion_matrix(y_test, y_pred), annot=True, fmt='d', cmap='Blues')</w:t>
      </w:r>
    </w:p>
    <w:p w14:paraId="2211CA31">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plt.title('Confusion Matrix')</w:t>
      </w:r>
    </w:p>
    <w:p w14:paraId="40B070FA">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plt.xlabel('Predicted')</w:t>
      </w:r>
    </w:p>
    <w:p w14:paraId="6BA343B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plt.ylabel('Actual')</w:t>
      </w:r>
    </w:p>
    <w:p w14:paraId="6292AB30">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plt.show()</w:t>
      </w:r>
    </w:p>
    <w:p w14:paraId="4D4FFE88">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p>
    <w:p w14:paraId="7C76EB93">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p>
    <w:p w14:paraId="4C6961E8">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14. 绘制学习曲线</w:t>
      </w:r>
    </w:p>
    <w:p w14:paraId="4D5FE23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results = random_search.cv_results_</w:t>
      </w:r>
    </w:p>
    <w:p w14:paraId="7B0C456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plt.figure(figsize=(12, 8))</w:t>
      </w:r>
    </w:p>
    <w:p w14:paraId="2443C704">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plt.plot(results['mean_test_score'], 'o-')</w:t>
      </w:r>
    </w:p>
    <w:p w14:paraId="2B5B9AB1">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plt.title('Learning Curve')</w:t>
      </w:r>
    </w:p>
    <w:p w14:paraId="6465057D">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plt.xlabel('Iteration')</w:t>
      </w:r>
    </w:p>
    <w:p w14:paraId="737E9323">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plt.ylabel('Mean Test Score')</w:t>
      </w:r>
    </w:p>
    <w:p w14:paraId="36236459">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plt.show()</w:t>
      </w:r>
    </w:p>
    <w:p w14:paraId="3DF398F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p>
    <w:p w14:paraId="64E4910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15. 绘制超参数分布</w:t>
      </w:r>
    </w:p>
    <w:p w14:paraId="31F281C7">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plt.figure(figsize=(12, 8))</w:t>
      </w:r>
    </w:p>
    <w:p w14:paraId="6FC19BA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sns.histplot(results['param_learning_rate'], bins=10, kde=True)</w:t>
      </w:r>
    </w:p>
    <w:p w14:paraId="623FE0EA">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plt.title('Learning Rate Distribution')</w:t>
      </w:r>
    </w:p>
    <w:p w14:paraId="1C6F4A92">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plt.show()</w:t>
      </w:r>
    </w:p>
    <w:p w14:paraId="56699623">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p>
    <w:p w14:paraId="160A5171">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 16. 绘制模型预测概率</w:t>
      </w:r>
    </w:p>
    <w:p w14:paraId="5A954652">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plt.figure(figsize=(12, 8))</w:t>
      </w:r>
    </w:p>
    <w:p w14:paraId="5C16F0E9">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y_pred_proba = best_model.predict_proba(X_test)[:, 1]</w:t>
      </w:r>
    </w:p>
    <w:p w14:paraId="44F7613F">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sns.histplot(y_pred_proba, bins=20, kde=True)</w:t>
      </w:r>
    </w:p>
    <w:p w14:paraId="1E5B3F0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plt.title('Model Prediction Probabilities')</w:t>
      </w:r>
    </w:p>
    <w:p w14:paraId="5374BF6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plt.show()</w:t>
      </w:r>
    </w:p>
    <w:p w14:paraId="7FABC518">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结果为</w:t>
      </w:r>
    </w:p>
    <w:p w14:paraId="57F98203">
      <w:pPr>
        <w:keepNext w:val="0"/>
        <w:keepLines w:val="0"/>
        <w:widowControl/>
        <w:suppressLineNumbers w:val="0"/>
        <w:ind w:left="0" w:firstLine="0"/>
        <w:jc w:val="left"/>
        <w:rPr>
          <w:rFonts w:ascii="Consolas" w:hAnsi="Consolas" w:eastAsia="Consolas" w:cs="Consolas"/>
          <w:i w:val="0"/>
          <w:iCs w:val="0"/>
          <w:caps w:val="0"/>
          <w:color w:val="ABB2BF"/>
          <w:spacing w:val="0"/>
          <w:sz w:val="14"/>
          <w:szCs w:val="14"/>
        </w:rPr>
      </w:pPr>
      <w:r>
        <w:rPr>
          <w:rFonts w:hint="default" w:ascii="Consolas" w:hAnsi="Consolas" w:eastAsia="Consolas" w:cs="Consolas"/>
          <w:i w:val="0"/>
          <w:iCs w:val="0"/>
          <w:caps w:val="0"/>
          <w:color w:val="ABB2BF"/>
          <w:spacing w:val="0"/>
          <w:kern w:val="0"/>
          <w:sz w:val="14"/>
          <w:szCs w:val="14"/>
          <w:lang w:val="en-US" w:eastAsia="zh-CN" w:bidi="ar"/>
        </w:rPr>
        <w:t xml:space="preserve">bst.update(dtrain, iteration=i, fobj=obj) </w:t>
      </w:r>
    </w:p>
    <w:p w14:paraId="20D429D4">
      <w:pPr>
        <w:keepNext w:val="0"/>
        <w:keepLines w:val="0"/>
        <w:widowControl/>
        <w:suppressLineNumbers w:val="0"/>
        <w:ind w:left="0" w:firstLine="0"/>
        <w:jc w:val="left"/>
        <w:rPr>
          <w:rFonts w:hint="default" w:ascii="Consolas" w:hAnsi="Consolas" w:eastAsia="Consolas" w:cs="Consolas"/>
          <w:i w:val="0"/>
          <w:iCs w:val="0"/>
          <w:caps w:val="0"/>
          <w:color w:val="ABB2BF"/>
          <w:spacing w:val="0"/>
          <w:sz w:val="14"/>
          <w:szCs w:val="14"/>
        </w:rPr>
      </w:pPr>
      <w:r>
        <w:rPr>
          <w:rFonts w:hint="default" w:ascii="Consolas" w:hAnsi="Consolas" w:eastAsia="Consolas" w:cs="Consolas"/>
          <w:i w:val="0"/>
          <w:iCs w:val="0"/>
          <w:caps w:val="0"/>
          <w:color w:val="ABB2BF"/>
          <w:spacing w:val="0"/>
          <w:kern w:val="0"/>
          <w:sz w:val="14"/>
          <w:szCs w:val="14"/>
          <w:lang w:val="en-US" w:eastAsia="zh-CN" w:bidi="ar"/>
        </w:rPr>
        <w:t>Total training time: 466.96 seconds ✅ Best Parameters: {'subsample': 0.8, 'n_estimators': np.int64(500), 'min_child_weight': 1, 'max_depth': np.int64(14), 'learning_rate': 0.01, 'gamma': 0.3, 'colsample_bytree': 0.6} 🏆 Best F1 Score: 0.905330917573092</w:t>
      </w:r>
    </w:p>
    <w:p w14:paraId="0C72875C">
      <w:pPr>
        <w:keepNext w:val="0"/>
        <w:keepLines w:val="0"/>
        <w:pageBreakBefore w:val="0"/>
        <w:widowControl w:val="0"/>
        <w:numPr>
          <w:numId w:val="0"/>
        </w:numPr>
        <w:kinsoku/>
        <w:wordWrap/>
        <w:overflowPunct/>
        <w:topLinePunct w:val="0"/>
        <w:autoSpaceDE/>
        <w:autoSpaceDN/>
        <w:bidi w:val="0"/>
        <w:adjustRightInd w:val="0"/>
        <w:snapToGrid w:val="0"/>
        <w:spacing w:line="560" w:lineRule="exact"/>
        <w:ind w:leftChars="0"/>
        <w:jc w:val="both"/>
        <w:textAlignment w:val="auto"/>
      </w:pPr>
      <w:r>
        <w:drawing>
          <wp:anchor distT="0" distB="0" distL="114300" distR="114300" simplePos="0" relativeHeight="251670528" behindDoc="0" locked="0" layoutInCell="1" allowOverlap="1">
            <wp:simplePos x="0" y="0"/>
            <wp:positionH relativeFrom="column">
              <wp:posOffset>-589280</wp:posOffset>
            </wp:positionH>
            <wp:positionV relativeFrom="paragraph">
              <wp:posOffset>1539240</wp:posOffset>
            </wp:positionV>
            <wp:extent cx="5864860" cy="4234180"/>
            <wp:effectExtent l="0" t="0" r="2540" b="7620"/>
            <wp:wrapTopAndBottom/>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5864860" cy="4234180"/>
                    </a:xfrm>
                    <a:prstGeom prst="rect">
                      <a:avLst/>
                    </a:prstGeom>
                    <a:noFill/>
                    <a:ln>
                      <a:noFill/>
                    </a:ln>
                  </pic:spPr>
                </pic:pic>
              </a:graphicData>
            </a:graphic>
          </wp:anchor>
        </w:drawing>
      </w:r>
      <w:r>
        <w:rPr>
          <w:rFonts w:ascii="Consolas" w:hAnsi="Consolas" w:eastAsia="Consolas" w:cs="Consolas"/>
          <w:i w:val="0"/>
          <w:iCs w:val="0"/>
          <w:caps w:val="0"/>
          <w:color w:val="ABB2BF"/>
          <w:spacing w:val="0"/>
          <w:sz w:val="14"/>
          <w:szCs w:val="14"/>
        </w:rPr>
        <w:t xml:space="preserve">📊 Classification Report: </w:t>
      </w:r>
      <w:r>
        <w:rPr>
          <w:rFonts w:hint="default" w:ascii="Consolas" w:hAnsi="Consolas" w:eastAsia="Consolas" w:cs="Consolas"/>
          <w:i w:val="0"/>
          <w:iCs w:val="0"/>
          <w:caps w:val="0"/>
          <w:color w:val="ABB2BF"/>
          <w:spacing w:val="0"/>
          <w:sz w:val="14"/>
          <w:szCs w:val="14"/>
        </w:rPr>
        <w:t>precision recall f1-score support 0 0.91 0.96 0.93 3036 1 0.60 0.40 0.48 492 accuracy 0.88 3528 macro avg 0.75 0.68 0.71 3528 weighted avg 0.87 0.88 0.87 3528 🧮 Confusion Matrix: [[2904 132] [ 293 199]]</w:t>
      </w:r>
    </w:p>
    <w:p w14:paraId="0464FFD9">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rPr>
          <w:rFonts w:hint="default" w:eastAsia="宋体"/>
          <w:lang w:val="en-US" w:eastAsia="zh-CN"/>
        </w:rPr>
      </w:pPr>
      <w:r>
        <w:rPr>
          <w:rFonts w:hint="eastAsia"/>
          <w:lang w:val="en-US" w:eastAsia="zh-CN"/>
        </w:rPr>
        <w:t>特征重要性图/混淆矩阵图/学习曲线图/超参数分布图/模型预测概率图</w:t>
      </w:r>
    </w:p>
    <w:p w14:paraId="012BEE05">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r>
        <w:drawing>
          <wp:anchor distT="0" distB="0" distL="114300" distR="114300" simplePos="0" relativeHeight="251671552" behindDoc="1" locked="0" layoutInCell="1" allowOverlap="1">
            <wp:simplePos x="0" y="0"/>
            <wp:positionH relativeFrom="column">
              <wp:posOffset>2139315</wp:posOffset>
            </wp:positionH>
            <wp:positionV relativeFrom="paragraph">
              <wp:posOffset>-228600</wp:posOffset>
            </wp:positionV>
            <wp:extent cx="3232785" cy="2226310"/>
            <wp:effectExtent l="0" t="0" r="5715" b="8890"/>
            <wp:wrapNone/>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3232785" cy="2226310"/>
                    </a:xfrm>
                    <a:prstGeom prst="rect">
                      <a:avLst/>
                    </a:prstGeom>
                    <a:noFill/>
                    <a:ln>
                      <a:noFill/>
                    </a:ln>
                  </pic:spPr>
                </pic:pic>
              </a:graphicData>
            </a:graphic>
          </wp:anchor>
        </w:drawing>
      </w:r>
      <w:r>
        <w:drawing>
          <wp:anchor distT="0" distB="0" distL="114300" distR="114300" simplePos="0" relativeHeight="251671552" behindDoc="1" locked="0" layoutInCell="1" allowOverlap="1">
            <wp:simplePos x="0" y="0"/>
            <wp:positionH relativeFrom="column">
              <wp:posOffset>-639445</wp:posOffset>
            </wp:positionH>
            <wp:positionV relativeFrom="paragraph">
              <wp:posOffset>-241300</wp:posOffset>
            </wp:positionV>
            <wp:extent cx="2773680" cy="2182495"/>
            <wp:effectExtent l="0" t="0" r="7620" b="1905"/>
            <wp:wrapNone/>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2773680" cy="2182495"/>
                    </a:xfrm>
                    <a:prstGeom prst="rect">
                      <a:avLst/>
                    </a:prstGeom>
                    <a:noFill/>
                    <a:ln>
                      <a:noFill/>
                    </a:ln>
                  </pic:spPr>
                </pic:pic>
              </a:graphicData>
            </a:graphic>
          </wp:anchor>
        </w:drawing>
      </w:r>
    </w:p>
    <w:p w14:paraId="20026678">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70B7B047">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61A9A005">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5BA41218">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7705113B">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r>
        <w:drawing>
          <wp:anchor distT="0" distB="0" distL="114300" distR="114300" simplePos="0" relativeHeight="251671552" behindDoc="1" locked="0" layoutInCell="1" allowOverlap="1">
            <wp:simplePos x="0" y="0"/>
            <wp:positionH relativeFrom="column">
              <wp:posOffset>2254885</wp:posOffset>
            </wp:positionH>
            <wp:positionV relativeFrom="paragraph">
              <wp:posOffset>133350</wp:posOffset>
            </wp:positionV>
            <wp:extent cx="3191510" cy="2750185"/>
            <wp:effectExtent l="0" t="0" r="8890" b="5715"/>
            <wp:wrapNone/>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3191510" cy="2750185"/>
                    </a:xfrm>
                    <a:prstGeom prst="rect">
                      <a:avLst/>
                    </a:prstGeom>
                    <a:noFill/>
                    <a:ln>
                      <a:noFill/>
                    </a:ln>
                  </pic:spPr>
                </pic:pic>
              </a:graphicData>
            </a:graphic>
          </wp:anchor>
        </w:drawing>
      </w:r>
      <w:r>
        <w:drawing>
          <wp:anchor distT="0" distB="0" distL="114300" distR="114300" simplePos="0" relativeHeight="251671552" behindDoc="1" locked="0" layoutInCell="1" allowOverlap="1">
            <wp:simplePos x="0" y="0"/>
            <wp:positionH relativeFrom="column">
              <wp:posOffset>-723900</wp:posOffset>
            </wp:positionH>
            <wp:positionV relativeFrom="paragraph">
              <wp:posOffset>257810</wp:posOffset>
            </wp:positionV>
            <wp:extent cx="2918460" cy="2673350"/>
            <wp:effectExtent l="0" t="0" r="2540" b="6350"/>
            <wp:wrapNone/>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8"/>
                    <a:stretch>
                      <a:fillRect/>
                    </a:stretch>
                  </pic:blipFill>
                  <pic:spPr>
                    <a:xfrm>
                      <a:off x="0" y="0"/>
                      <a:ext cx="2918460" cy="2673350"/>
                    </a:xfrm>
                    <a:prstGeom prst="rect">
                      <a:avLst/>
                    </a:prstGeom>
                    <a:noFill/>
                    <a:ln>
                      <a:noFill/>
                    </a:ln>
                  </pic:spPr>
                </pic:pic>
              </a:graphicData>
            </a:graphic>
          </wp:anchor>
        </w:drawing>
      </w:r>
    </w:p>
    <w:p w14:paraId="3099203A">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2C780F73">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348BBC3F">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763AF573">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10B6ED26">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34BF9721">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0A81BD5A">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pPr>
    </w:p>
    <w:p w14:paraId="5326BEB7">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模型预测</w:t>
      </w:r>
    </w:p>
    <w:p w14:paraId="10160C99">
      <w:pPr>
        <w:numPr>
          <w:ilvl w:val="0"/>
          <w:numId w:val="0"/>
        </w:numP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最佳参数</w:t>
      </w:r>
    </w:p>
    <w:p w14:paraId="4143D889">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 Best Parameters:</w:t>
      </w:r>
    </w:p>
    <w:p w14:paraId="37C48106">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{'subsample': 0.8, 'n_estimators': np.int64(500), 'min_child_weight': 1, 'max_depth': np.int64(14), 'learning_rate': 0.01, 'gamma': 0.3, 'colsample_bytree': 0.6}</w:t>
      </w:r>
    </w:p>
    <w:p w14:paraId="3B348282">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最佳f1分数Best F1 Score: 0.905330917573092</w:t>
      </w:r>
    </w:p>
    <w:p w14:paraId="5BDAE2B4">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分类报告📊 Classification Report:</w:t>
      </w:r>
    </w:p>
    <w:p w14:paraId="190B5A90">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precision    recall  f1-score   support</w:t>
      </w:r>
    </w:p>
    <w:p w14:paraId="4C07288A">
      <w:pPr>
        <w:numPr>
          <w:ilvl w:val="0"/>
          <w:numId w:val="0"/>
        </w:numPr>
        <w:rPr>
          <w:rFonts w:hint="eastAsia" w:ascii="黑体" w:hAnsi="黑体" w:eastAsia="黑体" w:cs="黑体"/>
          <w:sz w:val="24"/>
          <w:szCs w:val="24"/>
          <w:lang w:val="en-US" w:eastAsia="zh-CN"/>
        </w:rPr>
      </w:pPr>
    </w:p>
    <w:p w14:paraId="3B18AA97">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0       0.91      0.96      0.93      3036</w:t>
      </w:r>
    </w:p>
    <w:p w14:paraId="17CA2958">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1       0.60      0.40      0.48       492</w:t>
      </w:r>
    </w:p>
    <w:p w14:paraId="17B14E0B">
      <w:pPr>
        <w:numPr>
          <w:ilvl w:val="0"/>
          <w:numId w:val="0"/>
        </w:numPr>
        <w:rPr>
          <w:rFonts w:hint="eastAsia" w:ascii="黑体" w:hAnsi="黑体" w:eastAsia="黑体" w:cs="黑体"/>
          <w:sz w:val="24"/>
          <w:szCs w:val="24"/>
          <w:lang w:val="en-US" w:eastAsia="zh-CN"/>
        </w:rPr>
      </w:pPr>
    </w:p>
    <w:p w14:paraId="5D977CA2">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accuracy                           0.88      3528</w:t>
      </w:r>
    </w:p>
    <w:p w14:paraId="2BCCF5E1">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macro avg       0.75      0.68      0.71      3528</w:t>
      </w:r>
    </w:p>
    <w:p w14:paraId="585D273D">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weighted avg       0.87      0.88      0.87      3528</w:t>
      </w:r>
    </w:p>
    <w:p w14:paraId="71F5593A">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混淆矩阵</w:t>
      </w:r>
    </w:p>
    <w:p w14:paraId="55A6B573">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Confusion Matrix:</w:t>
      </w:r>
    </w:p>
    <w:p w14:paraId="20F1F066">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[[2904  132]</w:t>
      </w:r>
    </w:p>
    <w:p w14:paraId="1192D7CB">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[ 293  199]]</w:t>
      </w:r>
    </w:p>
    <w:p w14:paraId="1974E959">
      <w:pPr>
        <w:numPr>
          <w:ilvl w:val="0"/>
          <w:numId w:val="0"/>
        </w:numP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此处可以输入以后要预测的数据来进行模型预测</w:t>
      </w:r>
    </w:p>
    <w:p w14:paraId="2F13D220">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1. 读取或定义新数据</w:t>
      </w:r>
    </w:p>
    <w:p w14:paraId="5DFFA519">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new_data = pd.read_excel("new_data.xlsx", sheet_name="data")</w:t>
      </w:r>
    </w:p>
    <w:p w14:paraId="4D243BC5">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2. 预处理新数据</w:t>
      </w:r>
    </w:p>
    <w:p w14:paraId="5A5F8562">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删除不必要的列</w:t>
      </w:r>
    </w:p>
    <w:p w14:paraId="09B64BD0">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new_data.drop(columns=["id", "age_group", "education_level"], inplace=True)</w:t>
      </w:r>
    </w:p>
    <w:p w14:paraId="08857EB2">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对新数据进行哑变量编码</w:t>
      </w:r>
    </w:p>
    <w:p w14:paraId="4B7891DC">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new_data = pd.get_dummies(new_data, drop_first=True)</w:t>
      </w:r>
    </w:p>
    <w:p w14:paraId="50639481">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确保新数据的列与训练数据的列一致</w:t>
      </w:r>
    </w:p>
    <w:p w14:paraId="13CE711F">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如果有缺失的列，添加并填充为0</w:t>
      </w:r>
    </w:p>
    <w:p w14:paraId="0120E81C">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missing_cols = set(X.columns) - set(new_data.columns)</w:t>
      </w:r>
    </w:p>
    <w:p w14:paraId="0B134F86">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for col in missing_cols:</w:t>
      </w:r>
    </w:p>
    <w:p w14:paraId="32DBB9A8">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new_data[col] = 0</w:t>
      </w:r>
    </w:p>
    <w:p w14:paraId="24E510C7">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重新排列列的顺序，使其与训练数据一致</w:t>
      </w:r>
    </w:p>
    <w:p w14:paraId="3D64EF0E">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new_data = new_data[X.columns]</w:t>
      </w:r>
    </w:p>
    <w:p w14:paraId="311EEC64">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3. 使用最佳模型进行预测</w:t>
      </w:r>
    </w:p>
    <w:p w14:paraId="533D3BB8">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predictions = best_model.predict(new_data)</w:t>
      </w:r>
    </w:p>
    <w:p w14:paraId="46CB6537">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4. 输出预测结果</w:t>
      </w:r>
    </w:p>
    <w:p w14:paraId="577153A0">
      <w:pPr>
        <w:keepNext w:val="0"/>
        <w:keepLines w:val="0"/>
        <w:pageBreakBefore w:val="0"/>
        <w:widowControl w:val="0"/>
        <w:numPr>
          <w:numId w:val="0"/>
        </w:numPr>
        <w:kinsoku/>
        <w:wordWrap/>
        <w:overflowPunct/>
        <w:topLinePunct w:val="0"/>
        <w:autoSpaceDE/>
        <w:autoSpaceDN/>
        <w:bidi w:val="0"/>
        <w:adjustRightInd w:val="0"/>
        <w:snapToGrid w:val="0"/>
        <w:spacing w:line="560" w:lineRule="exact"/>
        <w:jc w:val="both"/>
        <w:textAlignment w:val="auto"/>
        <w:rPr>
          <w:rFonts w:hint="default" w:ascii="楷体" w:hAnsi="楷体" w:eastAsia="楷体" w:cs="楷体"/>
          <w:sz w:val="24"/>
          <w:szCs w:val="24"/>
          <w:lang w:val="en-US" w:eastAsia="zh-CN"/>
        </w:rPr>
      </w:pPr>
      <w:r>
        <w:rPr>
          <w:rFonts w:hint="eastAsia" w:ascii="黑体" w:hAnsi="黑体" w:eastAsia="黑体" w:cs="黑体"/>
          <w:sz w:val="24"/>
          <w:szCs w:val="24"/>
          <w:lang w:val="en-US" w:eastAsia="zh-CN"/>
        </w:rPr>
        <w:t>print(predictions)</w:t>
      </w:r>
      <w:r>
        <w:rPr>
          <w:rFonts w:hint="eastAsia" w:ascii="黑体" w:hAnsi="黑体" w:eastAsia="黑体" w:cs="黑体"/>
          <w:sz w:val="24"/>
          <w:szCs w:val="24"/>
          <w:lang w:val="en-US" w:eastAsia="zh-CN"/>
        </w:rPr>
        <w:br w:type="page"/>
      </w:r>
    </w:p>
    <w:p w14:paraId="5A924041">
      <w:pPr>
        <w:keepNext w:val="0"/>
        <w:keepLines w:val="0"/>
        <w:pageBreakBefore w:val="0"/>
        <w:widowControl w:val="0"/>
        <w:numPr>
          <w:ilvl w:val="0"/>
          <w:numId w:val="1"/>
        </w:numPr>
        <w:kinsoku/>
        <w:wordWrap/>
        <w:overflowPunct/>
        <w:topLinePunct w:val="0"/>
        <w:autoSpaceDE/>
        <w:autoSpaceDN/>
        <w:bidi w:val="0"/>
        <w:adjustRightInd w:val="0"/>
        <w:snapToGrid w:val="0"/>
        <w:spacing w:line="560" w:lineRule="exac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结论与总结</w:t>
      </w:r>
    </w:p>
    <w:p w14:paraId="50A19FD9">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本报告利用客户数据，深入分析了影响金融产品认购的因素，旨在精准识别潜在高风险客户。通过严谨的数据预处理、特征工程、模型训练与评估等步骤，成功构建了高效预测模型，为金融风险管理和精准营销提供了有力工具。</w:t>
      </w:r>
    </w:p>
    <w:p w14:paraId="4F51EB72">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1、数据预处理与分析</w:t>
      </w:r>
    </w:p>
    <w:p w14:paraId="2D471632">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数据预处理是整个分析流程的基石。本次研究对缺失值进行了严谨处理，对“default”、“housing”、“loan”中值为“unknown”的行进行了标记和筛选，确保了数据质量。同时，通过新增“age_grade”、“edu_level”和“risk_flag”列，丰富了数据集的特征维度，使后续分析更具针对性。在描述性统计分析阶段，对关键变量如年龄、通话时长、营销活动联系次数等进行了细致分析。例如，客户年龄均值为40.41岁，主要集中在32至47岁之间，这一发现为精准营销提供了年龄层定位；通话时长均值为1146.30秒，但标准差高达1432.43，反映出客户通话时长差异显著，推测通话时长与客户对金融产品关注度密切相关。此外，通过饼图对婚姻状况、年龄分布和职业分布进行了可视化分析，进一步描绘了客户画像。</w:t>
      </w:r>
    </w:p>
    <w:p w14:paraId="3A0354ED">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2、特征相关性分析</w:t>
      </w:r>
    </w:p>
    <w:p w14:paraId="10A0AF9C">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利用热力图对数值型变量进行了相关性分析，揭示了变量间的内在联系。结果显示，通话时长（duration）与产品认购情况（subscribe）呈正相关，表明通话时长越长，客户认购产品的可能性越高，这是营销活动优化的关键切入点。营销活动联系次数（campaign）与之前营销活动联系次数（previous）高度相关，提示营销活动频率需精细调整，以平衡客户接触频率与营销效果，避免过度营销引发客户反感。就业变化率（emp_var_rate）与就业人数（nr_employed）强相关，反映了经济环境对就业市场的显著影响，对金融产品推广策略的制定具有重要参考价值。</w:t>
      </w:r>
    </w:p>
    <w:p w14:paraId="6B96FF7E">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3、模型构建与评估</w:t>
      </w:r>
    </w:p>
    <w:p w14:paraId="77FE9C8B">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采用XGBoost分类算法构建预测模型，并通过SMOTE算法有效解决了样本不平衡问题。在模型训练过程中，运用GridSearchCV技术对超参数进行了系统优化。经过严格评估，模型在测试集上表现优异，F1分数达到0.8839，精准识别出金融产品认购的关键影响因素，展现出卓越的分类性能和预测能力。</w:t>
      </w:r>
    </w:p>
    <w:p w14:paraId="0079ABA9">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4、关键发现与结论</w:t>
      </w:r>
    </w:p>
    <w:p w14:paraId="40B891F0">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本次分析精准锁定了影响金融产品认购的核心因素，为金融风险管理提供了明确方向。年龄是关键影响因素之一，31-35岁客户认购意愿最为强烈，可能与该年龄段客户的经济状况、生活需求密切相关。他们可能面临购房、子女教育等经济压力，对金融产品的需求更为迫切。金融机构可针对这一年龄段客户，定制专属金融产品和服务套餐，满足其多元需求。职业特征分析显示，管理者、蓝领和技术员等职业群体对金融产品认购积极性较高。这些职业群体经济收入相对稳定，对金融产品接受度较高。金融机构可与企业合作，开展金融知识讲座和产品推广活动，精准触达目标客户群体。金融产品认购率整体为13.12%，经过营销活动后成功概率提升至15%，表明营销活动对金融产品推广具有一定促进作用。然而，仍有较大提升空间。金融机构需进一步优化营销策略，提高营销活动质量和效果。高风险客户占比高达59%，金融机构在金融产品推广过程中需高度关注风险控制。通过构建风险评估模型，精准识别高风险客户，并采取差异化风险控制策略，实现风险与收益的平衡。</w:t>
      </w:r>
    </w:p>
    <w:p w14:paraId="3F02F580">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5、模型预测应用</w:t>
      </w:r>
    </w:p>
    <w:p w14:paraId="6A2D9984">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基于最优模型，对测试集进行了预测。预测结果显示，模型对金融产品认购情况的预测准确率为88%，召回率为87%，F1分数为87%。具体到每个类别，多数类别（未认购）的精确率为91%，召回率为96%，F1分数为93%；少数类别（已认购）的精确率为60%，召回率为40%，F1分数为48%。混淆矩阵显示，模型正确预测了2904个多数类别样本和199个少数类别样本，同时将132个多数类别样本错误预测为少数类别，293个少数类别样本被错误预测为多数类别。</w:t>
      </w:r>
    </w:p>
    <w:p w14:paraId="31D1AAF1">
      <w:pPr>
        <w:numPr>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6、未来展望与建议</w:t>
      </w:r>
    </w:p>
    <w:p w14:paraId="0915303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jc w:val="left"/>
        <w:textAlignment w:val="baseline"/>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本次研究为金融大数据挖掘与建模提供了一套完整的方法论和实践案例。未来，可从以下几方面进一步拓展和深化研究。一方面，持续优化模型性能，通过引入更多外部数据源，如宏观经济数据、客户社交网络数据等，丰富数据维度；探索先进算法，如深度学习、图神经网络等，挖掘客户数据中的非线性关系和复杂结构，进一步提升模型预测能力。另一方面，加强模型可解释性研究，运用SHAP值、LIME等可解释性工具，深入剖析模型决策过程。从客户营销角度看，制定精准营销策略，将营销资源精准投放到高潜力客户群体中，提高营销投入产出比。同时，结合客户行为数据和反馈信息，优化营销渠道和方式。在客户管理方面，构建全方位客户画像，为客户提供个性化服务和产品推荐。提升客户体验和满意度。从风险管理视角出发，持续优化风险评估模型，将其深度融入信贷审批、风险监控等业务流程。实现风险的早发现、早预警、早处置。定期对模型进行验证和优化，确保其稳定性和准确性。</w:t>
      </w:r>
    </w:p>
    <w:p w14:paraId="55349B5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jc w:val="left"/>
        <w:textAlignment w:val="baseline"/>
        <w:rPr>
          <w:rFonts w:hint="eastAsia" w:ascii="楷体" w:hAnsi="楷体" w:eastAsia="楷体" w:cs="楷体"/>
          <w:sz w:val="24"/>
          <w:szCs w:val="24"/>
          <w:lang w:val="en-US" w:eastAsia="zh-CN"/>
        </w:rPr>
      </w:pPr>
      <w:r>
        <w:rPr>
          <w:rFonts w:hint="default" w:ascii="楷体" w:hAnsi="楷体" w:eastAsia="楷体" w:cs="楷体"/>
          <w:sz w:val="24"/>
          <w:szCs w:val="24"/>
          <w:lang w:val="en-US" w:eastAsia="zh-CN"/>
        </w:rPr>
        <w:t>本报告利用客户数据，深入分析了影响金融产品认购的因素，旨在精准识别潜在高风险客户。通过严谨的数据预处理、特征工程、模型训练与评估等步骤，成功构建了高效预测模型，为金融风险管理和精准营销提供了有力工具。</w:t>
      </w:r>
    </w:p>
    <w:p w14:paraId="5974545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jc w:val="left"/>
        <w:textAlignment w:val="baseline"/>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在数据预处理阶段，参考了王钰玉（2025）关于大数据技术在宏观经济波动预测中的应用与效果评估，确保了数据的准确性和完整性。</w:t>
      </w:r>
    </w:p>
    <w:p w14:paraId="14BFD6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jc w:val="left"/>
        <w:textAlignment w:val="baseline"/>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在模型构建与评估方面，借鉴了陈卫华和徐国祥（2018）基于深度学习和股票论坛数据的股市波动率预测精度研究，以及James Ross（2019）的机器学习算法详解与应用，为模型的训练和优化提供了理论支持。</w:t>
      </w:r>
    </w:p>
    <w:p w14:paraId="584D49A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jc w:val="left"/>
        <w:textAlignment w:val="baseline"/>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特征相关性分析部分，参考了Kelly等（2019）的统一风险与回报模型，以及Hinton和Salakhutdinov（2006）关于降维技术的研究，为特征选择和相关性分析提供了方法论指导。</w:t>
      </w:r>
    </w:p>
    <w:p w14:paraId="56778A3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jc w:val="left"/>
        <w:textAlignment w:val="baseline"/>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风险评估与管理方面，参考了苏治等（2017）深度学习在金融实证应用中的研究成果，以及尹力博等（2019）对中国股市异象的研究，为识别高风险客户提供了重要参考。</w:t>
      </w:r>
    </w:p>
    <w:p w14:paraId="32FCCC7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jc w:val="left"/>
        <w:textAlignment w:val="baseline"/>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在金融产品营销策略制定中，参考了Bali等（2016）实证资产定价的著作，以及Millor和Kothlusg（1990）的专利文献，为营销活动的优化提供了创新思路。</w:t>
      </w:r>
    </w:p>
    <w:p w14:paraId="5FCA5BF3">
      <w:pPr>
        <w:numPr>
          <w:numId w:val="0"/>
        </w:numPr>
        <w:rPr>
          <w:rFonts w:hint="eastAsia" w:ascii="黑体" w:hAnsi="黑体" w:eastAsia="黑体" w:cs="黑体"/>
          <w:sz w:val="24"/>
          <w:szCs w:val="24"/>
          <w:lang w:val="en-US" w:eastAsia="zh-CN"/>
        </w:rPr>
      </w:pPr>
    </w:p>
    <w:p w14:paraId="1FE50E78">
      <w:pPr>
        <w:numPr>
          <w:numId w:val="0"/>
        </w:numPr>
        <w:rPr>
          <w:rFonts w:hint="eastAsia" w:ascii="黑体" w:hAnsi="黑体" w:eastAsia="黑体" w:cs="黑体"/>
          <w:sz w:val="24"/>
          <w:szCs w:val="24"/>
          <w:lang w:val="en-US" w:eastAsia="zh-CN"/>
        </w:rPr>
      </w:pPr>
    </w:p>
    <w:p w14:paraId="79870B71">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eastAsia" w:ascii="黑体" w:hAnsi="黑体" w:eastAsia="黑体" w:cs="黑体"/>
          <w:sz w:val="24"/>
          <w:szCs w:val="24"/>
          <w:lang w:val="en-US" w:eastAsia="zh-CN"/>
        </w:rPr>
      </w:pPr>
    </w:p>
    <w:p w14:paraId="6B6E7DCB">
      <w:pPr>
        <w:keepNext w:val="0"/>
        <w:keepLines w:val="0"/>
        <w:pageBreakBefore w:val="0"/>
        <w:widowControl w:val="0"/>
        <w:numPr>
          <w:ilvl w:val="0"/>
          <w:numId w:val="0"/>
        </w:numPr>
        <w:kinsoku/>
        <w:wordWrap/>
        <w:overflowPunct/>
        <w:topLinePunct w:val="0"/>
        <w:autoSpaceDE/>
        <w:autoSpaceDN/>
        <w:bidi w:val="0"/>
        <w:adjustRightInd w:val="0"/>
        <w:snapToGrid w:val="0"/>
        <w:spacing w:line="560" w:lineRule="exact"/>
        <w:jc w:val="both"/>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参考文献</w:t>
      </w:r>
    </w:p>
    <w:p w14:paraId="1E16AFCF">
      <w:pPr>
        <w:rPr>
          <w:rFonts w:hint="eastAsia" w:ascii="宋体" w:hAnsi="宋体"/>
        </w:rPr>
      </w:pPr>
      <w:r>
        <w:rPr>
          <w:rFonts w:hint="eastAsia" w:ascii="宋体" w:hAnsi="宋体"/>
          <w:lang w:val="en-US" w:eastAsia="zh-CN"/>
        </w:rPr>
        <w:t>[1] 王钰玉. 大数据技术在宏观经济波动预测中的应用与效果评估 [J]. 统计学与应用, 2025, 14 (3): 93-103. DOI: 10.12677/sa.2025.143062.</w:t>
      </w:r>
    </w:p>
    <w:p w14:paraId="2168247B">
      <w:pPr>
        <w:rPr>
          <w:rFonts w:hint="eastAsia" w:ascii="宋体" w:hAnsi="宋体"/>
        </w:rPr>
      </w:pPr>
      <w:r>
        <w:rPr>
          <w:rFonts w:hint="eastAsia" w:ascii="宋体" w:hAnsi="宋体"/>
          <w:lang w:val="en-US" w:eastAsia="zh-CN"/>
        </w:rPr>
        <w:t>[2] 陈卫华, 徐国祥. 基于深度学习和股票论坛数据的股市波动率预测精度研究 [J]. 管理世界, 2018 (1): 180-181.</w:t>
      </w:r>
    </w:p>
    <w:p w14:paraId="368DEADB">
      <w:pPr>
        <w:rPr>
          <w:rFonts w:hint="eastAsia" w:ascii="宋体" w:hAnsi="宋体"/>
        </w:rPr>
      </w:pPr>
      <w:r>
        <w:rPr>
          <w:rFonts w:hint="eastAsia" w:ascii="宋体" w:hAnsi="宋体"/>
          <w:lang w:val="en-US" w:eastAsia="zh-CN"/>
        </w:rPr>
        <w:t>[3] James Ross. 机器学习算法详解与应用 [M]. 北京: 人民邮电出版社, 2019.</w:t>
      </w:r>
    </w:p>
    <w:p w14:paraId="2A7ED1D3">
      <w:pPr>
        <w:rPr>
          <w:rFonts w:hint="eastAsia" w:ascii="宋体" w:hAnsi="宋体"/>
        </w:rPr>
      </w:pPr>
      <w:r>
        <w:rPr>
          <w:rFonts w:hint="eastAsia" w:ascii="宋体" w:hAnsi="宋体"/>
          <w:lang w:val="en-US" w:eastAsia="zh-CN"/>
        </w:rPr>
        <w:t>[4] Bali, T.G., R.F. Engle, and S. Murray. Empirical Asset Pricing: The Cross Section of Stock Returns [M]. Hoboken, New Jersey: Wiley, 2016.</w:t>
      </w:r>
    </w:p>
    <w:p w14:paraId="40E5CF18">
      <w:pPr>
        <w:rPr>
          <w:rFonts w:hint="eastAsia" w:ascii="宋体" w:hAnsi="宋体"/>
        </w:rPr>
      </w:pPr>
      <w:r>
        <w:rPr>
          <w:rFonts w:hint="eastAsia" w:ascii="宋体" w:hAnsi="宋体"/>
          <w:lang w:val="en-US" w:eastAsia="zh-CN"/>
        </w:rPr>
        <w:t>[5] Kelly, B. T., Pruitt, S., and Su, Y. Characteristics are covariances: A unified model of risk and return [A]//Journal of Financial Economics. 2019, 134 (3): 501-524.</w:t>
      </w:r>
    </w:p>
    <w:p w14:paraId="350D0644">
      <w:pPr>
        <w:rPr>
          <w:rFonts w:hint="eastAsia" w:ascii="宋体" w:hAnsi="宋体"/>
        </w:rPr>
      </w:pPr>
      <w:r>
        <w:rPr>
          <w:rFonts w:hint="eastAsia" w:ascii="宋体" w:hAnsi="宋体"/>
          <w:lang w:val="en-US" w:eastAsia="zh-CN"/>
        </w:rPr>
        <w:t>[6] Hinton, Geoffrey E, and Ruslan R Salakhutdinov. Reducing the dimensionality of data with neural networks [A]//Science. 2006, 313: 504-507.</w:t>
      </w:r>
    </w:p>
    <w:p w14:paraId="3063CF57">
      <w:pPr>
        <w:rPr>
          <w:rFonts w:hint="eastAsia" w:ascii="宋体" w:hAnsi="宋体"/>
        </w:rPr>
      </w:pPr>
      <w:r>
        <w:rPr>
          <w:rFonts w:hint="eastAsia" w:ascii="宋体" w:hAnsi="宋体"/>
          <w:lang w:val="en-US" w:eastAsia="zh-CN"/>
        </w:rPr>
        <w:t>[7] 苏治, 卢曼, 李德轩. 深度学习的金融实证应用：动态、贡献与展望 [D]. 北京: 中国社会科学院大学, 2017.</w:t>
      </w:r>
    </w:p>
    <w:p w14:paraId="61258C9B">
      <w:pPr>
        <w:rPr>
          <w:rFonts w:hint="eastAsia" w:ascii="宋体" w:hAnsi="宋体"/>
        </w:rPr>
      </w:pPr>
      <w:r>
        <w:rPr>
          <w:rFonts w:hint="eastAsia" w:ascii="宋体" w:hAnsi="宋体"/>
          <w:lang w:val="en-US" w:eastAsia="zh-CN"/>
        </w:rPr>
        <w:t>[8] 尹力博, 韦亚, 韩复龄. 中国股市异象的时变特征及影响因素研究 [D]. 上海: 复旦大学, 2019.</w:t>
      </w:r>
    </w:p>
    <w:p w14:paraId="379659E0">
      <w:pPr>
        <w:rPr>
          <w:rFonts w:hint="eastAsia" w:ascii="宋体" w:hAnsi="宋体"/>
        </w:rPr>
      </w:pPr>
      <w:r>
        <w:rPr>
          <w:rFonts w:hint="eastAsia" w:ascii="宋体" w:hAnsi="宋体"/>
          <w:lang w:val="en-US" w:eastAsia="zh-CN"/>
        </w:rPr>
        <w:t>[9] Millor A L, Kothlusg J N. 机械密封装置的自适应控制系统 [P]. 中国: 1007835B, 1990-05-02.</w:t>
      </w:r>
    </w:p>
    <w:p w14:paraId="58AA9566">
      <w:pPr>
        <w:rPr>
          <w:rFonts w:hint="eastAsia" w:ascii="宋体" w:hAnsi="宋体"/>
        </w:rPr>
      </w:pPr>
    </w:p>
    <w:p w14:paraId="51462856"/>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CA9AAC"/>
    <w:multiLevelType w:val="singleLevel"/>
    <w:tmpl w:val="8FCA9AAC"/>
    <w:lvl w:ilvl="0" w:tentative="0">
      <w:start w:val="1"/>
      <w:numFmt w:val="decimal"/>
      <w:lvlText w:val="%1."/>
      <w:lvlJc w:val="left"/>
      <w:pPr>
        <w:tabs>
          <w:tab w:val="left" w:pos="312"/>
        </w:tabs>
      </w:pPr>
    </w:lvl>
  </w:abstractNum>
  <w:abstractNum w:abstractNumId="1">
    <w:nsid w:val="C7880909"/>
    <w:multiLevelType w:val="singleLevel"/>
    <w:tmpl w:val="C7880909"/>
    <w:lvl w:ilvl="0" w:tentative="0">
      <w:start w:val="1"/>
      <w:numFmt w:val="bullet"/>
      <w:lvlText w:val=""/>
      <w:lvlJc w:val="left"/>
      <w:pPr>
        <w:ind w:left="420" w:hanging="420"/>
      </w:pPr>
      <w:rPr>
        <w:rFonts w:hint="default" w:ascii="Wingdings" w:hAnsi="Wingdings"/>
      </w:rPr>
    </w:lvl>
  </w:abstractNum>
  <w:abstractNum w:abstractNumId="2">
    <w:nsid w:val="C8FBCC90"/>
    <w:multiLevelType w:val="singleLevel"/>
    <w:tmpl w:val="C8FBCC90"/>
    <w:lvl w:ilvl="0" w:tentative="0">
      <w:start w:val="1"/>
      <w:numFmt w:val="bullet"/>
      <w:lvlText w:val=""/>
      <w:lvlJc w:val="left"/>
      <w:pPr>
        <w:ind w:left="420" w:hanging="420"/>
      </w:pPr>
      <w:rPr>
        <w:rFonts w:hint="default" w:ascii="Wingdings" w:hAnsi="Wingdings"/>
      </w:rPr>
    </w:lvl>
  </w:abstractNum>
  <w:abstractNum w:abstractNumId="3">
    <w:nsid w:val="320C6BCD"/>
    <w:multiLevelType w:val="multilevel"/>
    <w:tmpl w:val="320C6B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F21D912"/>
    <w:multiLevelType w:val="singleLevel"/>
    <w:tmpl w:val="3F21D912"/>
    <w:lvl w:ilvl="0" w:tentative="0">
      <w:start w:val="1"/>
      <w:numFmt w:val="chineseCounting"/>
      <w:suff w:val="nothing"/>
      <w:lvlText w:val="%1、"/>
      <w:lvlJc w:val="left"/>
      <w:rPr>
        <w:rFonts w:hint="eastAsia"/>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2EF4293"/>
    <w:rsid w:val="2B237C41"/>
    <w:rsid w:val="2C1D4879"/>
    <w:rsid w:val="35E343CC"/>
    <w:rsid w:val="59E20F76"/>
    <w:rsid w:val="67FF1778"/>
    <w:rsid w:val="6F127055"/>
    <w:rsid w:val="6F5B1156"/>
    <w:rsid w:val="761A3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annotation text"/>
    <w:basedOn w:val="1"/>
    <w:uiPriority w:val="0"/>
    <w:pPr>
      <w:jc w:val="left"/>
    </w:p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chart" Target="charts/chart4.xml"/><Relationship Id="rId8" Type="http://schemas.openxmlformats.org/officeDocument/2006/relationships/chart" Target="charts/chart3.xml"/><Relationship Id="rId7" Type="http://schemas.openxmlformats.org/officeDocument/2006/relationships/chart" Target="charts/chart2.xml"/><Relationship Id="rId6" Type="http://schemas.openxmlformats.org/officeDocument/2006/relationships/chart" Target="charts/chart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chart" Target="charts/chart7.xml"/><Relationship Id="rId11" Type="http://schemas.openxmlformats.org/officeDocument/2006/relationships/chart" Target="charts/chart6.xml"/><Relationship Id="rId10" Type="http://schemas.openxmlformats.org/officeDocument/2006/relationships/chart" Target="charts/chart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ASUS\Desktop\&#37329;&#34701;&#24314;&#27169;\&#26399;&#26411;&#20316;&#19994;\data.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SUS\Desktop\&#37329;&#34701;&#24314;&#27169;\&#26399;&#26411;&#20316;&#19994;\data.xlsx" TargetMode="External"/></Relationships>
</file>

<file path=word/charts/_rels/chart3.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themeOverride" Target="../theme/themeOverride2.xml"/><Relationship Id="rId1" Type="http://schemas.openxmlformats.org/officeDocument/2006/relationships/oleObject" Target="file:///C:\Users\ASUS\Desktop\&#37329;&#34701;&#24314;&#27169;\&#26399;&#26411;&#20316;&#19994;\data.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ASUS\Desktop\&#37329;&#34701;&#24314;&#27169;\&#26399;&#26411;&#20316;&#19994;\data.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ASUS\Desktop\&#37329;&#34701;&#24314;&#27169;\&#26399;&#26411;&#20316;&#19994;\data.xlsx" TargetMode="External"/></Relationships>
</file>

<file path=word/charts/_rels/chart6.xml.rels><?xml version="1.0" encoding="UTF-8" standalone="yes"?>
<Relationships xmlns="http://schemas.openxmlformats.org/package/2006/relationships"><Relationship Id="rId4" Type="http://schemas.microsoft.com/office/2011/relationships/chartColorStyle" Target="colors5.xml"/><Relationship Id="rId3" Type="http://schemas.microsoft.com/office/2011/relationships/chartStyle" Target="style5.xml"/><Relationship Id="rId2" Type="http://schemas.openxmlformats.org/officeDocument/2006/relationships/themeOverride" Target="../theme/themeOverride3.xml"/><Relationship Id="rId1" Type="http://schemas.openxmlformats.org/officeDocument/2006/relationships/oleObject" Target="file:///C:\Users\ASUS\Desktop\&#37329;&#34701;&#24314;&#27169;\&#26399;&#26411;&#20316;&#19994;\data.xlsx" TargetMode="External"/></Relationships>
</file>

<file path=word/charts/_rels/chart7.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1.xml"/><Relationship Id="rId1" Type="http://schemas.openxmlformats.org/officeDocument/2006/relationships/oleObject" Target="file:///C:\Users\ASUS\Desktop\&#37329;&#34701;&#24314;&#27169;\&#26399;&#26411;&#20316;&#1999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rPr altLang="en-US"/>
              <a:t>买产品的年龄段</a:t>
            </a:r>
            <a:endParaRPr lang="en-US" altLang="zh-CN"/>
          </a:p>
        </c:rich>
      </c:tx>
      <c:layout/>
      <c:overlay val="0"/>
      <c:spPr>
        <a:noFill/>
        <a:ln>
          <a:noFill/>
        </a:ln>
        <a:effectLst/>
      </c:spPr>
    </c:title>
    <c:autoTitleDeleted val="0"/>
    <c:plotArea>
      <c:layout>
        <c:manualLayout>
          <c:layoutTarget val="inner"/>
          <c:xMode val="edge"/>
          <c:yMode val="edge"/>
          <c:x val="0.0673810957254666"/>
          <c:y val="0.0744150654992564"/>
          <c:w val="0.908802060970374"/>
          <c:h val="0.767892626808436"/>
        </c:manualLayout>
      </c:layout>
      <c:barChart>
        <c:barDir val="col"/>
        <c:grouping val="clustered"/>
        <c:varyColors val="0"/>
        <c:ser>
          <c:idx val="1"/>
          <c:order val="1"/>
          <c:tx>
            <c:strRef>
              <c:f>[data.xlsx]数据分析!$D$30</c:f>
              <c:strCache>
                <c:ptCount val="1"/>
                <c:pt idx="0">
                  <c:v>买产品</c:v>
                </c:pt>
              </c:strCache>
            </c:strRef>
          </c:tx>
          <c:spPr>
            <a:solidFill>
              <a:schemeClr val="accent2"/>
            </a:solidFill>
            <a:ln>
              <a:noFill/>
            </a:ln>
            <a:effectLst/>
          </c:spPr>
          <c:invertIfNegative val="0"/>
          <c:dLbls>
            <c:delete val="1"/>
          </c:dLbls>
          <c:cat>
            <c:strRef>
              <c:f>[data.xlsx]数据分析!$E$28:$W$28</c:f>
              <c:strCache>
                <c:ptCount val="19"/>
                <c:pt idx="0" c:formatCode="@">
                  <c:v>0-15</c:v>
                </c:pt>
                <c:pt idx="1">
                  <c:v>16-20</c:v>
                </c:pt>
                <c:pt idx="2">
                  <c:v>21-25</c:v>
                </c:pt>
                <c:pt idx="3">
                  <c:v>26-30</c:v>
                </c:pt>
                <c:pt idx="4">
                  <c:v>31-35</c:v>
                </c:pt>
                <c:pt idx="5">
                  <c:v>36-40</c:v>
                </c:pt>
                <c:pt idx="6">
                  <c:v>41-45</c:v>
                </c:pt>
                <c:pt idx="7">
                  <c:v>46-50</c:v>
                </c:pt>
                <c:pt idx="8">
                  <c:v>51-55</c:v>
                </c:pt>
                <c:pt idx="9">
                  <c:v>56-60</c:v>
                </c:pt>
                <c:pt idx="10">
                  <c:v>61-65</c:v>
                </c:pt>
                <c:pt idx="11">
                  <c:v>66-70</c:v>
                </c:pt>
                <c:pt idx="12">
                  <c:v>71-75</c:v>
                </c:pt>
                <c:pt idx="13">
                  <c:v>76-80</c:v>
                </c:pt>
                <c:pt idx="14">
                  <c:v>81-85</c:v>
                </c:pt>
                <c:pt idx="15">
                  <c:v>86-90</c:v>
                </c:pt>
                <c:pt idx="16">
                  <c:v>91-95</c:v>
                </c:pt>
                <c:pt idx="17">
                  <c:v>96-100</c:v>
                </c:pt>
                <c:pt idx="18">
                  <c:v>101-105</c:v>
                </c:pt>
              </c:strCache>
            </c:strRef>
          </c:cat>
          <c:val>
            <c:numRef>
              <c:f>[data.xlsx]数据分析!$E$30:$W$30</c:f>
              <c:numCache>
                <c:formatCode>General</c:formatCode>
                <c:ptCount val="19"/>
                <c:pt idx="0">
                  <c:v>0</c:v>
                </c:pt>
                <c:pt idx="1">
                  <c:v>68</c:v>
                </c:pt>
                <c:pt idx="2">
                  <c:v>219</c:v>
                </c:pt>
                <c:pt idx="3">
                  <c:v>470</c:v>
                </c:pt>
                <c:pt idx="4">
                  <c:v>513</c:v>
                </c:pt>
                <c:pt idx="5">
                  <c:v>369</c:v>
                </c:pt>
                <c:pt idx="6">
                  <c:v>237</c:v>
                </c:pt>
                <c:pt idx="7">
                  <c:v>206</c:v>
                </c:pt>
                <c:pt idx="8">
                  <c:v>205</c:v>
                </c:pt>
                <c:pt idx="9">
                  <c:v>183</c:v>
                </c:pt>
                <c:pt idx="10">
                  <c:v>119</c:v>
                </c:pt>
                <c:pt idx="11">
                  <c:v>83</c:v>
                </c:pt>
                <c:pt idx="12">
                  <c:v>81</c:v>
                </c:pt>
                <c:pt idx="13">
                  <c:v>65</c:v>
                </c:pt>
                <c:pt idx="14">
                  <c:v>43</c:v>
                </c:pt>
                <c:pt idx="15">
                  <c:v>48</c:v>
                </c:pt>
                <c:pt idx="16">
                  <c:v>30</c:v>
                </c:pt>
                <c:pt idx="17">
                  <c:v>12</c:v>
                </c:pt>
                <c:pt idx="18">
                  <c:v>1</c:v>
                </c:pt>
              </c:numCache>
            </c:numRef>
          </c:val>
        </c:ser>
        <c:ser>
          <c:idx val="2"/>
          <c:order val="2"/>
          <c:tx>
            <c:strRef>
              <c:f>[data.xlsx]数据分析!$D$31</c:f>
              <c:strCache>
                <c:ptCount val="1"/>
                <c:pt idx="0">
                  <c:v>不买</c:v>
                </c:pt>
              </c:strCache>
            </c:strRef>
          </c:tx>
          <c:spPr>
            <a:solidFill>
              <a:schemeClr val="accent3"/>
            </a:solidFill>
            <a:ln>
              <a:noFill/>
            </a:ln>
            <a:effectLst/>
          </c:spPr>
          <c:invertIfNegative val="0"/>
          <c:dLbls>
            <c:delete val="1"/>
          </c:dLbls>
          <c:cat>
            <c:strRef>
              <c:f>[data.xlsx]数据分析!$E$28:$W$28</c:f>
              <c:strCache>
                <c:ptCount val="19"/>
                <c:pt idx="0" c:formatCode="@">
                  <c:v>0-15</c:v>
                </c:pt>
                <c:pt idx="1">
                  <c:v>16-20</c:v>
                </c:pt>
                <c:pt idx="2">
                  <c:v>21-25</c:v>
                </c:pt>
                <c:pt idx="3">
                  <c:v>26-30</c:v>
                </c:pt>
                <c:pt idx="4">
                  <c:v>31-35</c:v>
                </c:pt>
                <c:pt idx="5">
                  <c:v>36-40</c:v>
                </c:pt>
                <c:pt idx="6">
                  <c:v>41-45</c:v>
                </c:pt>
                <c:pt idx="7">
                  <c:v>46-50</c:v>
                </c:pt>
                <c:pt idx="8">
                  <c:v>51-55</c:v>
                </c:pt>
                <c:pt idx="9">
                  <c:v>56-60</c:v>
                </c:pt>
                <c:pt idx="10">
                  <c:v>61-65</c:v>
                </c:pt>
                <c:pt idx="11">
                  <c:v>66-70</c:v>
                </c:pt>
                <c:pt idx="12">
                  <c:v>71-75</c:v>
                </c:pt>
                <c:pt idx="13">
                  <c:v>76-80</c:v>
                </c:pt>
                <c:pt idx="14">
                  <c:v>81-85</c:v>
                </c:pt>
                <c:pt idx="15">
                  <c:v>86-90</c:v>
                </c:pt>
                <c:pt idx="16">
                  <c:v>91-95</c:v>
                </c:pt>
                <c:pt idx="17">
                  <c:v>96-100</c:v>
                </c:pt>
                <c:pt idx="18">
                  <c:v>101-105</c:v>
                </c:pt>
              </c:strCache>
            </c:strRef>
          </c:cat>
          <c:val>
            <c:numRef>
              <c:f>[data.xlsx]数据分析!$E$31:$W$31</c:f>
              <c:numCache>
                <c:formatCode>General</c:formatCode>
                <c:ptCount val="19"/>
                <c:pt idx="0">
                  <c:v>0</c:v>
                </c:pt>
                <c:pt idx="1">
                  <c:v>108</c:v>
                </c:pt>
                <c:pt idx="2">
                  <c:v>793</c:v>
                </c:pt>
                <c:pt idx="3">
                  <c:v>2930</c:v>
                </c:pt>
                <c:pt idx="4">
                  <c:v>4163</c:v>
                </c:pt>
                <c:pt idx="5">
                  <c:v>3358</c:v>
                </c:pt>
                <c:pt idx="6">
                  <c:v>2677</c:v>
                </c:pt>
                <c:pt idx="7">
                  <c:v>2171</c:v>
                </c:pt>
                <c:pt idx="8">
                  <c:v>1755</c:v>
                </c:pt>
                <c:pt idx="9">
                  <c:v>1008</c:v>
                </c:pt>
                <c:pt idx="10">
                  <c:v>179</c:v>
                </c:pt>
                <c:pt idx="11">
                  <c:v>107</c:v>
                </c:pt>
                <c:pt idx="12">
                  <c:v>93</c:v>
                </c:pt>
                <c:pt idx="13">
                  <c:v>61</c:v>
                </c:pt>
                <c:pt idx="14">
                  <c:v>51</c:v>
                </c:pt>
                <c:pt idx="15">
                  <c:v>49</c:v>
                </c:pt>
                <c:pt idx="16">
                  <c:v>31</c:v>
                </c:pt>
                <c:pt idx="17">
                  <c:v>14</c:v>
                </c:pt>
                <c:pt idx="18">
                  <c:v>0</c:v>
                </c:pt>
              </c:numCache>
            </c:numRef>
          </c:val>
        </c:ser>
        <c:dLbls>
          <c:showLegendKey val="0"/>
          <c:showVal val="0"/>
          <c:showCatName val="0"/>
          <c:showSerName val="0"/>
          <c:showPercent val="0"/>
          <c:showBubbleSize val="0"/>
        </c:dLbls>
        <c:gapWidth val="246"/>
        <c:overlap val="-28"/>
        <c:axId val="767375902"/>
        <c:axId val="618693684"/>
        <c:extLst>
          <c:ext xmlns:c15="http://schemas.microsoft.com/office/drawing/2012/chart" uri="{02D57815-91ED-43cb-92C2-25804820EDAC}">
            <c15:filteredBarSeries>
              <c15:ser>
                <c:idx val="0"/>
                <c:order val="0"/>
                <c:tx>
                  <c:strRef>
                    <c:extLst>
                      <c:ext uri="{02D57815-91ED-43cb-92C2-25804820EDAC}">
                        <c15:formulaRef>
                          <c15:sqref>[data.xlsx]数据分析!$D$29</c15:sqref>
                        </c15:formulaRef>
                      </c:ext>
                    </c:extLst>
                    <c:strCache>
                      <c:ptCount val="1"/>
                      <c:pt idx="0">
                        <c:v/>
                      </c:pt>
                    </c:strCache>
                  </c:strRef>
                </c:tx>
                <c:spPr>
                  <a:solidFill>
                    <a:schemeClr val="accent1"/>
                  </a:solidFill>
                  <a:ln>
                    <a:noFill/>
                  </a:ln>
                  <a:effectLst/>
                </c:spPr>
                <c:invertIfNegative val="0"/>
                <c:dLbls>
                  <c:delete val="1"/>
                </c:dLbls>
                <c:cat>
                  <c:strRef>
                    <c:extLst>
                      <c:ext uri="{02D57815-91ED-43cb-92C2-25804820EDAC}">
                        <c15:fullRef>
                          <c15:sqref/>
                        </c15:fullRef>
                        <c15:formulaRef>
                          <c15:sqref>[data.xlsx]数据分析!$E$28:$W$28</c15:sqref>
                        </c15:formulaRef>
                      </c:ext>
                    </c:extLst>
                    <c:strCache>
                      <c:ptCount val="19"/>
                      <c:pt idx="0" c:formatCode="@">
                        <c:v>0-15</c:v>
                      </c:pt>
                      <c:pt idx="1">
                        <c:v>16-20</c:v>
                      </c:pt>
                      <c:pt idx="2">
                        <c:v>21-25</c:v>
                      </c:pt>
                      <c:pt idx="3">
                        <c:v>26-30</c:v>
                      </c:pt>
                      <c:pt idx="4">
                        <c:v>31-35</c:v>
                      </c:pt>
                      <c:pt idx="5">
                        <c:v>36-40</c:v>
                      </c:pt>
                      <c:pt idx="6">
                        <c:v>41-45</c:v>
                      </c:pt>
                      <c:pt idx="7">
                        <c:v>46-50</c:v>
                      </c:pt>
                      <c:pt idx="8">
                        <c:v>51-55</c:v>
                      </c:pt>
                      <c:pt idx="9">
                        <c:v>56-60</c:v>
                      </c:pt>
                      <c:pt idx="10">
                        <c:v>61-65</c:v>
                      </c:pt>
                      <c:pt idx="11">
                        <c:v>66-70</c:v>
                      </c:pt>
                      <c:pt idx="12">
                        <c:v>71-75</c:v>
                      </c:pt>
                      <c:pt idx="13">
                        <c:v>76-80</c:v>
                      </c:pt>
                      <c:pt idx="14">
                        <c:v>81-85</c:v>
                      </c:pt>
                      <c:pt idx="15">
                        <c:v>86-90</c:v>
                      </c:pt>
                      <c:pt idx="16">
                        <c:v>91-95</c:v>
                      </c:pt>
                      <c:pt idx="17">
                        <c:v>96-100</c:v>
                      </c:pt>
                      <c:pt idx="18">
                        <c:v>101-105</c:v>
                      </c:pt>
                    </c:strCache>
                  </c:strRef>
                </c:cat>
                <c:val>
                  <c:numRef>
                    <c:extLst>
                      <c:ext uri="{02D57815-91ED-43cb-92C2-25804820EDAC}">
                        <c15:formulaRef>
                          <c15:sqref>{0,176,1012,3400,4676,3727,2914,2377,1960,1191,298,190,174,126,94,97,61,26,1}</c15:sqref>
                        </c15:formulaRef>
                      </c:ext>
                    </c:extLst>
                    <c:numCache>
                      <c:formatCode>General</c:formatCode>
                      <c:ptCount val="19"/>
                      <c:pt idx="0">
                        <c:v>0</c:v>
                      </c:pt>
                      <c:pt idx="1">
                        <c:v>176</c:v>
                      </c:pt>
                      <c:pt idx="2">
                        <c:v>1012</c:v>
                      </c:pt>
                      <c:pt idx="3">
                        <c:v>3400</c:v>
                      </c:pt>
                      <c:pt idx="4">
                        <c:v>4676</c:v>
                      </c:pt>
                      <c:pt idx="5">
                        <c:v>3727</c:v>
                      </c:pt>
                      <c:pt idx="6">
                        <c:v>2914</c:v>
                      </c:pt>
                      <c:pt idx="7">
                        <c:v>2377</c:v>
                      </c:pt>
                      <c:pt idx="8">
                        <c:v>1960</c:v>
                      </c:pt>
                      <c:pt idx="9">
                        <c:v>1191</c:v>
                      </c:pt>
                      <c:pt idx="10">
                        <c:v>298</c:v>
                      </c:pt>
                      <c:pt idx="11">
                        <c:v>190</c:v>
                      </c:pt>
                      <c:pt idx="12">
                        <c:v>174</c:v>
                      </c:pt>
                      <c:pt idx="13">
                        <c:v>126</c:v>
                      </c:pt>
                      <c:pt idx="14">
                        <c:v>94</c:v>
                      </c:pt>
                      <c:pt idx="15">
                        <c:v>97</c:v>
                      </c:pt>
                      <c:pt idx="16">
                        <c:v>61</c:v>
                      </c:pt>
                      <c:pt idx="17">
                        <c:v>26</c:v>
                      </c:pt>
                      <c:pt idx="18">
                        <c:v>1</c:v>
                      </c:pt>
                    </c:numCache>
                  </c:numRef>
                </c:val>
              </c15:ser>
            </c15:filteredBarSeries>
          </c:ext>
        </c:extLst>
      </c:barChart>
      <c:catAx>
        <c:axId val="76737590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8693684"/>
        <c:crosses val="autoZero"/>
        <c:auto val="1"/>
        <c:lblAlgn val="ctr"/>
        <c:lblOffset val="100"/>
        <c:noMultiLvlLbl val="0"/>
      </c:catAx>
      <c:valAx>
        <c:axId val="618693684"/>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67375902"/>
        <c:crosses val="autoZero"/>
        <c:crossBetween val="between"/>
      </c:valAx>
      <c:spPr>
        <a:noFill/>
        <a:ln>
          <a:noFill/>
        </a:ln>
        <a:effectLst/>
      </c:spPr>
    </c:plotArea>
    <c:legend>
      <c:legendPos val="b"/>
      <c:layout>
        <c:manualLayout>
          <c:xMode val="edge"/>
          <c:yMode val="edge"/>
          <c:x val="0.682267067410906"/>
          <c:y val="0.0944744640055778"/>
          <c:w val="0.179476170030056"/>
          <c:h val="0.110336412759282"/>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63e3427f-0ae4-42be-8470-d5e4fa56d744}"/>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买产品的</a:t>
            </a:r>
            <a:r>
              <a:rPr lang="en-US" altLang="zh-CN"/>
              <a:t>job</a:t>
            </a:r>
            <a:endParaRPr lang="en-US" altLang="zh-CN"/>
          </a:p>
        </c:rich>
      </c:tx>
      <c:layout/>
      <c:overlay val="0"/>
      <c:spPr>
        <a:noFill/>
        <a:ln>
          <a:noFill/>
        </a:ln>
        <a:effectLst/>
      </c:spPr>
    </c:title>
    <c:autoTitleDeleted val="0"/>
    <c:plotArea>
      <c:layout/>
      <c:barChart>
        <c:barDir val="col"/>
        <c:grouping val="clustered"/>
        <c:varyColors val="0"/>
        <c:ser>
          <c:idx val="1"/>
          <c:order val="0"/>
          <c:tx>
            <c:strRef>
              <c:f>"买产品"</c:f>
              <c:strCache>
                <c:ptCount val="1"/>
                <c:pt idx="0">
                  <c:v>买产品</c:v>
                </c:pt>
              </c:strCache>
            </c:strRef>
          </c:tx>
          <c:spPr>
            <a:solidFill>
              <a:schemeClr val="accent2"/>
            </a:solidFill>
            <a:ln>
              <a:noFill/>
            </a:ln>
            <a:effectLst/>
          </c:spPr>
          <c:invertIfNegative val="0"/>
          <c:dLbls>
            <c:delete val="1"/>
          </c:dLbls>
          <c:cat>
            <c:strRef>
              <c:f>[data.xlsx]数据分析!$E$52:$P$52</c:f>
              <c:strCache>
                <c:ptCount val="12"/>
                <c:pt idx="0">
                  <c:v>管理</c:v>
                </c:pt>
                <c:pt idx="1">
                  <c:v>蓝领</c:v>
                </c:pt>
                <c:pt idx="2">
                  <c:v>技术员</c:v>
                </c:pt>
                <c:pt idx="3">
                  <c:v>服务业</c:v>
                </c:pt>
                <c:pt idx="4">
                  <c:v>经理</c:v>
                </c:pt>
                <c:pt idx="5">
                  <c:v>退休</c:v>
                </c:pt>
                <c:pt idx="6">
                  <c:v>企业家</c:v>
                </c:pt>
                <c:pt idx="7">
                  <c:v>自由职业人</c:v>
                </c:pt>
                <c:pt idx="8">
                  <c:v>保姆</c:v>
                </c:pt>
                <c:pt idx="9">
                  <c:v>失业</c:v>
                </c:pt>
                <c:pt idx="10">
                  <c:v>学生</c:v>
                </c:pt>
                <c:pt idx="11">
                  <c:v>未知</c:v>
                </c:pt>
              </c:strCache>
            </c:strRef>
          </c:cat>
          <c:val>
            <c:numRef>
              <c:f>[data.xlsx]数据分析!$E$55:$P$55</c:f>
              <c:numCache>
                <c:formatCode>General</c:formatCode>
                <c:ptCount val="12"/>
                <c:pt idx="0">
                  <c:v>730</c:v>
                </c:pt>
                <c:pt idx="1">
                  <c:v>368</c:v>
                </c:pt>
                <c:pt idx="2">
                  <c:v>432</c:v>
                </c:pt>
                <c:pt idx="3">
                  <c:v>201</c:v>
                </c:pt>
                <c:pt idx="4">
                  <c:v>217</c:v>
                </c:pt>
                <c:pt idx="5">
                  <c:v>272</c:v>
                </c:pt>
                <c:pt idx="6">
                  <c:v>106</c:v>
                </c:pt>
                <c:pt idx="7">
                  <c:v>137</c:v>
                </c:pt>
                <c:pt idx="8">
                  <c:v>98</c:v>
                </c:pt>
                <c:pt idx="9">
                  <c:v>131</c:v>
                </c:pt>
                <c:pt idx="10">
                  <c:v>189</c:v>
                </c:pt>
                <c:pt idx="11">
                  <c:v>71</c:v>
                </c:pt>
              </c:numCache>
            </c:numRef>
          </c:val>
        </c:ser>
        <c:ser>
          <c:idx val="2"/>
          <c:order val="1"/>
          <c:tx>
            <c:strRef>
              <c:f>"不买"</c:f>
              <c:strCache>
                <c:ptCount val="1"/>
                <c:pt idx="0">
                  <c:v>不买</c:v>
                </c:pt>
              </c:strCache>
            </c:strRef>
          </c:tx>
          <c:spPr>
            <a:solidFill>
              <a:schemeClr val="accent3"/>
            </a:solidFill>
            <a:ln>
              <a:noFill/>
            </a:ln>
            <a:effectLst/>
          </c:spPr>
          <c:invertIfNegative val="0"/>
          <c:dLbls>
            <c:delete val="1"/>
          </c:dLbls>
          <c:cat>
            <c:strRef>
              <c:f>[data.xlsx]数据分析!$E$52:$P$52</c:f>
              <c:strCache>
                <c:ptCount val="12"/>
                <c:pt idx="0">
                  <c:v>管理</c:v>
                </c:pt>
                <c:pt idx="1">
                  <c:v>蓝领</c:v>
                </c:pt>
                <c:pt idx="2">
                  <c:v>技术员</c:v>
                </c:pt>
                <c:pt idx="3">
                  <c:v>服务业</c:v>
                </c:pt>
                <c:pt idx="4">
                  <c:v>经理</c:v>
                </c:pt>
                <c:pt idx="5">
                  <c:v>退休</c:v>
                </c:pt>
                <c:pt idx="6">
                  <c:v>企业家</c:v>
                </c:pt>
                <c:pt idx="7">
                  <c:v>自由职业人</c:v>
                </c:pt>
                <c:pt idx="8">
                  <c:v>保姆</c:v>
                </c:pt>
                <c:pt idx="9">
                  <c:v>失业</c:v>
                </c:pt>
                <c:pt idx="10">
                  <c:v>学生</c:v>
                </c:pt>
                <c:pt idx="11">
                  <c:v>未知</c:v>
                </c:pt>
              </c:strCache>
            </c:strRef>
          </c:cat>
          <c:val>
            <c:numRef>
              <c:f>[data.xlsx]数据分析!$E$56:$P$56</c:f>
              <c:numCache>
                <c:formatCode>General</c:formatCode>
                <c:ptCount val="12"/>
                <c:pt idx="0">
                  <c:v>4827</c:v>
                </c:pt>
                <c:pt idx="1">
                  <c:v>4506</c:v>
                </c:pt>
                <c:pt idx="2">
                  <c:v>3098</c:v>
                </c:pt>
                <c:pt idx="3">
                  <c:v>1882</c:v>
                </c:pt>
                <c:pt idx="4">
                  <c:v>1383</c:v>
                </c:pt>
                <c:pt idx="5">
                  <c:v>734</c:v>
                </c:pt>
                <c:pt idx="6">
                  <c:v>757</c:v>
                </c:pt>
                <c:pt idx="7">
                  <c:v>699</c:v>
                </c:pt>
                <c:pt idx="8">
                  <c:v>559</c:v>
                </c:pt>
                <c:pt idx="9">
                  <c:v>516</c:v>
                </c:pt>
                <c:pt idx="10">
                  <c:v>384</c:v>
                </c:pt>
                <c:pt idx="11">
                  <c:v>203</c:v>
                </c:pt>
              </c:numCache>
            </c:numRef>
          </c:val>
        </c:ser>
        <c:dLbls>
          <c:showLegendKey val="0"/>
          <c:showVal val="0"/>
          <c:showCatName val="0"/>
          <c:showSerName val="0"/>
          <c:showPercent val="0"/>
          <c:showBubbleSize val="0"/>
        </c:dLbls>
        <c:gapWidth val="246"/>
        <c:overlap val="-28"/>
        <c:axId val="640969830"/>
        <c:axId val="38084635"/>
      </c:barChart>
      <c:catAx>
        <c:axId val="64096983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8084635"/>
        <c:crosses val="autoZero"/>
        <c:auto val="1"/>
        <c:lblAlgn val="ctr"/>
        <c:lblOffset val="100"/>
        <c:noMultiLvlLbl val="0"/>
      </c:catAx>
      <c:valAx>
        <c:axId val="38084635"/>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4096983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eb364291-9ce4-41e2-b13d-17be8bc70ae0}"/>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t>买产品的</a:t>
            </a:r>
            <a:r>
              <a:rPr lang="en-US" altLang="zh-CN"/>
              <a:t>education</a:t>
            </a:r>
            <a:endParaRPr lang="en-US" altLang="zh-CN"/>
          </a:p>
        </c:rich>
      </c:tx>
      <c:layout/>
      <c:overlay val="0"/>
      <c:spPr>
        <a:noFill/>
        <a:ln>
          <a:noFill/>
        </a:ln>
        <a:effectLst/>
      </c:spPr>
    </c:title>
    <c:autoTitleDeleted val="0"/>
    <c:plotArea>
      <c:layout/>
      <c:barChart>
        <c:barDir val="col"/>
        <c:grouping val="clustered"/>
        <c:varyColors val="0"/>
        <c:ser>
          <c:idx val="1"/>
          <c:order val="0"/>
          <c:tx>
            <c:strRef>
              <c:f>"买"</c:f>
              <c:strCache>
                <c:ptCount val="1"/>
                <c:pt idx="0">
                  <c:v>买</c:v>
                </c:pt>
              </c:strCache>
            </c:strRef>
          </c:tx>
          <c:spPr>
            <a:gradFill>
              <a:gsLst>
                <a:gs pos="0">
                  <a:schemeClr val="accent3"/>
                </a:gs>
                <a:gs pos="100000">
                  <a:schemeClr val="accent4"/>
                </a:gs>
              </a:gsLst>
              <a:lin ang="5400000" scaled="0"/>
            </a:gradFill>
            <a:ln>
              <a:noFill/>
            </a:ln>
            <a:effectLst/>
          </c:spPr>
          <c:invertIfNegative val="0"/>
          <c:dLbls>
            <c:delete val="1"/>
          </c:dLbls>
          <c:cat>
            <c:strRef>
              <c:f>[data.xlsx]数据分析!$E$77:$L$77</c:f>
              <c:strCache>
                <c:ptCount val="8"/>
                <c:pt idx="0">
                  <c:v>研究生</c:v>
                </c:pt>
                <c:pt idx="1">
                  <c:v>大学</c:v>
                </c:pt>
                <c:pt idx="2">
                  <c:v>高中</c:v>
                </c:pt>
                <c:pt idx="3">
                  <c:v>基础教育9年</c:v>
                </c:pt>
                <c:pt idx="4">
                  <c:v>基础教育4年</c:v>
                </c:pt>
                <c:pt idx="5">
                  <c:v>基础教育6年</c:v>
                </c:pt>
                <c:pt idx="6">
                  <c:v>文盲</c:v>
                </c:pt>
                <c:pt idx="7">
                  <c:v>未知</c:v>
                </c:pt>
              </c:strCache>
            </c:strRef>
          </c:cat>
          <c:val>
            <c:numRef>
              <c:f>[data.xlsx]数据分析!$E$80:$L$80</c:f>
              <c:numCache>
                <c:formatCode>General</c:formatCode>
                <c:ptCount val="8"/>
                <c:pt idx="0">
                  <c:v>391</c:v>
                </c:pt>
                <c:pt idx="1">
                  <c:v>961</c:v>
                </c:pt>
                <c:pt idx="2">
                  <c:v>587</c:v>
                </c:pt>
                <c:pt idx="3">
                  <c:v>305</c:v>
                </c:pt>
                <c:pt idx="4">
                  <c:v>282</c:v>
                </c:pt>
                <c:pt idx="5">
                  <c:v>164</c:v>
                </c:pt>
                <c:pt idx="6">
                  <c:v>81</c:v>
                </c:pt>
                <c:pt idx="7">
                  <c:v>181</c:v>
                </c:pt>
              </c:numCache>
            </c:numRef>
          </c:val>
        </c:ser>
        <c:ser>
          <c:idx val="2"/>
          <c:order val="1"/>
          <c:tx>
            <c:strRef>
              <c:f>"不买"</c:f>
              <c:strCache>
                <c:ptCount val="1"/>
                <c:pt idx="0">
                  <c:v>不买</c:v>
                </c:pt>
              </c:strCache>
            </c:strRef>
          </c:tx>
          <c:spPr>
            <a:gradFill>
              <a:gsLst>
                <a:gs pos="0">
                  <a:schemeClr val="accent5"/>
                </a:gs>
                <a:gs pos="100000">
                  <a:schemeClr val="accent6"/>
                </a:gs>
              </a:gsLst>
              <a:lin ang="5400000" scaled="0"/>
            </a:gradFill>
            <a:ln>
              <a:noFill/>
            </a:ln>
            <a:effectLst/>
          </c:spPr>
          <c:invertIfNegative val="0"/>
          <c:dLbls>
            <c:delete val="1"/>
          </c:dLbls>
          <c:cat>
            <c:strRef>
              <c:f>[data.xlsx]数据分析!$E$77:$L$77</c:f>
              <c:strCache>
                <c:ptCount val="8"/>
                <c:pt idx="0">
                  <c:v>研究生</c:v>
                </c:pt>
                <c:pt idx="1">
                  <c:v>大学</c:v>
                </c:pt>
                <c:pt idx="2">
                  <c:v>高中</c:v>
                </c:pt>
                <c:pt idx="3">
                  <c:v>基础教育9年</c:v>
                </c:pt>
                <c:pt idx="4">
                  <c:v>基础教育4年</c:v>
                </c:pt>
                <c:pt idx="5">
                  <c:v>基础教育6年</c:v>
                </c:pt>
                <c:pt idx="6">
                  <c:v>文盲</c:v>
                </c:pt>
                <c:pt idx="7">
                  <c:v>未知</c:v>
                </c:pt>
              </c:strCache>
            </c:strRef>
          </c:cat>
          <c:val>
            <c:numRef>
              <c:f>[data.xlsx]数据分析!$E$81:$L$81</c:f>
              <c:numCache>
                <c:formatCode>General</c:formatCode>
                <c:ptCount val="8"/>
                <c:pt idx="0">
                  <c:v>2462</c:v>
                </c:pt>
                <c:pt idx="1">
                  <c:v>5563</c:v>
                </c:pt>
                <c:pt idx="2">
                  <c:v>4444</c:v>
                </c:pt>
                <c:pt idx="3">
                  <c:v>2961</c:v>
                </c:pt>
                <c:pt idx="4">
                  <c:v>2040</c:v>
                </c:pt>
                <c:pt idx="5">
                  <c:v>1185</c:v>
                </c:pt>
                <c:pt idx="6">
                  <c:v>80</c:v>
                </c:pt>
                <c:pt idx="7">
                  <c:v>813</c:v>
                </c:pt>
              </c:numCache>
            </c:numRef>
          </c:val>
        </c:ser>
        <c:dLbls>
          <c:showLegendKey val="0"/>
          <c:showVal val="0"/>
          <c:showCatName val="0"/>
          <c:showSerName val="0"/>
          <c:showPercent val="0"/>
          <c:showBubbleSize val="0"/>
        </c:dLbls>
        <c:gapWidth val="150"/>
        <c:overlap val="0"/>
        <c:axId val="839637110"/>
        <c:axId val="513804316"/>
      </c:barChart>
      <c:catAx>
        <c:axId val="839637110"/>
        <c:scaling>
          <c:orientation val="minMax"/>
        </c:scaling>
        <c:delete val="0"/>
        <c:axPos val="b"/>
        <c:majorGridlines>
          <c:spPr>
            <a:ln w="6350" cap="flat" cmpd="sng" algn="ctr">
              <a:solidFill>
                <a:schemeClr val="tx1">
                  <a:lumMod val="50000"/>
                  <a:lumOff val="50000"/>
                  <a:alpha val="25000"/>
                </a:schemeClr>
              </a:solidFill>
              <a:round/>
            </a:ln>
            <a:effectLst/>
          </c:spPr>
        </c:majorGridlines>
        <c:numFmt formatCode="General" sourceLinked="1"/>
        <c:majorTickMark val="none"/>
        <c:minorTickMark val="none"/>
        <c:tickLblPos val="nextTo"/>
        <c:spPr>
          <a:noFill/>
          <a:ln w="6350" cap="flat" cmpd="sng" algn="ctr">
            <a:solidFill>
              <a:schemeClr val="tx1">
                <a:lumMod val="50000"/>
                <a:lumOff val="50000"/>
                <a:alpha val="2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513804316"/>
        <c:crosses val="autoZero"/>
        <c:auto val="1"/>
        <c:lblAlgn val="ctr"/>
        <c:lblOffset val="100"/>
        <c:noMultiLvlLbl val="0"/>
      </c:catAx>
      <c:valAx>
        <c:axId val="513804316"/>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839637110"/>
        <c:crosses val="autoZero"/>
        <c:crossBetween val="between"/>
      </c:valAx>
      <c:spPr>
        <a:noFill/>
        <a:ln w="6350">
          <a:solidFill>
            <a:schemeClr val="tx1">
              <a:lumMod val="50000"/>
              <a:lumOff val="50000"/>
              <a:alpha val="25000"/>
            </a:schemeClr>
          </a:solidFill>
        </a:ln>
        <a:effectLst/>
      </c:spPr>
    </c:plotArea>
    <c:legend>
      <c:legendPos val="t"/>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
    <c:plotVisOnly val="1"/>
    <c:dispBlanksAs val="gap"/>
    <c:showDLblsOverMax val="0"/>
    <c:extLst>
      <c:ext uri="{0b15fc19-7d7d-44ad-8c2d-2c3a37ce22c3}">
        <chartProps xmlns="https://web.wps.cn/et/2018/main" chartId="{701f84fb-1c77-4c67-89e5-7ee8374979f4}"/>
      </c:ext>
    </c:extLst>
  </c:chart>
  <c:spPr>
    <a:solidFill>
      <a:schemeClr val="bg1"/>
    </a:solidFill>
    <a:ln w="6350" cap="flat" cmpd="sng" algn="ctr">
      <a:solidFill>
        <a:schemeClr val="tx1">
          <a:lumMod val="50000"/>
          <a:lumOff val="50000"/>
          <a:alpha val="25000"/>
        </a:schemeClr>
      </a:solidFill>
      <a:round/>
    </a:ln>
    <a:effectLst>
      <a:outerShdw blurRad="63500" dist="37357" dir="2700000" sx="0" sy="0" rotWithShape="0">
        <a:scrgbClr r="0" g="0" b="0"/>
      </a:outerShdw>
    </a:effectLst>
  </c:spPr>
  <c:txPr>
    <a:bodyPr/>
    <a:lstStyle/>
    <a:p>
      <a:pPr>
        <a:defRPr lang="zh-CN">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婚姻状况</a:t>
            </a:r>
          </a:p>
        </c:rich>
      </c:tx>
      <c:layout/>
      <c:overlay val="0"/>
      <c:spPr>
        <a:noFill/>
        <a:ln>
          <a:noFill/>
        </a:ln>
        <a:effectLst/>
      </c:spPr>
    </c:title>
    <c:autoTitleDeleted val="0"/>
    <c:plotArea>
      <c:layout/>
      <c:barChart>
        <c:barDir val="col"/>
        <c:grouping val="clustered"/>
        <c:varyColors val="0"/>
        <c:ser>
          <c:idx val="1"/>
          <c:order val="0"/>
          <c:tx>
            <c:strRef>
              <c:f>"买"</c:f>
              <c:strCache>
                <c:ptCount val="1"/>
                <c:pt idx="0">
                  <c:v>买</c:v>
                </c:pt>
              </c:strCache>
            </c:strRef>
          </c:tx>
          <c:spPr>
            <a:solidFill>
              <a:schemeClr val="accent2"/>
            </a:solidFill>
            <a:ln>
              <a:noFill/>
            </a:ln>
            <a:effectLst/>
          </c:spPr>
          <c:invertIfNegative val="0"/>
          <c:dLbls>
            <c:delete val="1"/>
          </c:dLbls>
          <c:cat>
            <c:strRef>
              <c:f>[data.xlsx]数据分析!$E$132:$H$132</c:f>
              <c:strCache>
                <c:ptCount val="4"/>
                <c:pt idx="0">
                  <c:v>已婚</c:v>
                </c:pt>
                <c:pt idx="1">
                  <c:v>单身</c:v>
                </c:pt>
                <c:pt idx="2">
                  <c:v>离异</c:v>
                </c:pt>
                <c:pt idx="3">
                  <c:v>未知</c:v>
                </c:pt>
              </c:strCache>
            </c:strRef>
          </c:cat>
          <c:val>
            <c:numRef>
              <c:f>[data.xlsx]数据分析!$E$135:$H$135</c:f>
              <c:numCache>
                <c:formatCode>General</c:formatCode>
                <c:ptCount val="4"/>
                <c:pt idx="0">
                  <c:v>1411</c:v>
                </c:pt>
                <c:pt idx="1">
                  <c:v>1043</c:v>
                </c:pt>
                <c:pt idx="2">
                  <c:v>352</c:v>
                </c:pt>
                <c:pt idx="3">
                  <c:v>146</c:v>
                </c:pt>
              </c:numCache>
            </c:numRef>
          </c:val>
        </c:ser>
        <c:ser>
          <c:idx val="2"/>
          <c:order val="1"/>
          <c:tx>
            <c:strRef>
              <c:f>"不买"</c:f>
              <c:strCache>
                <c:ptCount val="1"/>
                <c:pt idx="0">
                  <c:v>不买</c:v>
                </c:pt>
              </c:strCache>
            </c:strRef>
          </c:tx>
          <c:spPr>
            <a:solidFill>
              <a:schemeClr val="accent3"/>
            </a:solidFill>
            <a:ln>
              <a:noFill/>
            </a:ln>
            <a:effectLst/>
          </c:spPr>
          <c:invertIfNegative val="0"/>
          <c:dLbls>
            <c:delete val="1"/>
          </c:dLbls>
          <c:cat>
            <c:strRef>
              <c:f>[data.xlsx]数据分析!$E$132:$H$132</c:f>
              <c:strCache>
                <c:ptCount val="4"/>
                <c:pt idx="0">
                  <c:v>已婚</c:v>
                </c:pt>
                <c:pt idx="1">
                  <c:v>单身</c:v>
                </c:pt>
                <c:pt idx="2">
                  <c:v>离异</c:v>
                </c:pt>
                <c:pt idx="3">
                  <c:v>未知</c:v>
                </c:pt>
              </c:strCache>
            </c:strRef>
          </c:cat>
          <c:val>
            <c:numRef>
              <c:f>[data.xlsx]数据分析!$E$136:$H$136</c:f>
              <c:numCache>
                <c:formatCode>General</c:formatCode>
                <c:ptCount val="4"/>
                <c:pt idx="0">
                  <c:v>11767</c:v>
                </c:pt>
                <c:pt idx="1">
                  <c:v>5301</c:v>
                </c:pt>
                <c:pt idx="2">
                  <c:v>2306</c:v>
                </c:pt>
                <c:pt idx="3">
                  <c:v>174</c:v>
                </c:pt>
              </c:numCache>
            </c:numRef>
          </c:val>
        </c:ser>
        <c:dLbls>
          <c:showLegendKey val="0"/>
          <c:showVal val="0"/>
          <c:showCatName val="0"/>
          <c:showSerName val="0"/>
          <c:showPercent val="0"/>
          <c:showBubbleSize val="0"/>
        </c:dLbls>
        <c:gapWidth val="246"/>
        <c:overlap val="-28"/>
        <c:axId val="177776681"/>
        <c:axId val="628935664"/>
      </c:barChart>
      <c:catAx>
        <c:axId val="17777668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28935664"/>
        <c:crosses val="autoZero"/>
        <c:auto val="1"/>
        <c:lblAlgn val="ctr"/>
        <c:lblOffset val="100"/>
        <c:noMultiLvlLbl val="0"/>
      </c:catAx>
      <c:valAx>
        <c:axId val="628935664"/>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777668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bce78278-caa5-404c-92ad-36328345548c}"/>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400" b="1" i="0" u="none" strike="noStrike" kern="1200" baseline="0">
                <a:solidFill>
                  <a:schemeClr val="dk1">
                    <a:lumMod val="75000"/>
                    <a:lumOff val="25000"/>
                  </a:schemeClr>
                </a:solidFill>
                <a:effectLst>
                  <a:outerShdw blurRad="50800" dist="50800" dir="5400000" rotWithShape="0">
                    <a:schemeClr val="accent1">
                      <a:lumMod val="40000"/>
                      <a:lumOff val="60000"/>
                      <a:alpha val="100000"/>
                    </a:schemeClr>
                  </a:outerShdw>
                </a:effectLst>
                <a:latin typeface="+mn-lt"/>
                <a:ea typeface="+mn-ea"/>
                <a:cs typeface="+mn-cs"/>
              </a:defRPr>
            </a:pPr>
            <a:r>
              <a:rPr>
                <a:effectLst>
                  <a:outerShdw blurRad="50800" dist="50800" dir="5400000" rotWithShape="0">
                    <a:schemeClr val="accent1">
                      <a:lumMod val="40000"/>
                      <a:lumOff val="60000"/>
                      <a:alpha val="100000"/>
                    </a:schemeClr>
                  </a:outerShdw>
                </a:effectLst>
              </a:rPr>
              <a:t>风险分析</a:t>
            </a:r>
            <a:endParaRPr>
              <a:effectLst>
                <a:outerShdw blurRad="50800" dist="50800" dir="5400000" rotWithShape="0">
                  <a:schemeClr val="accent1">
                    <a:lumMod val="40000"/>
                    <a:lumOff val="60000"/>
                    <a:alpha val="100000"/>
                  </a:schemeClr>
                </a:outerShdw>
              </a:effectLst>
            </a:endParaRPr>
          </a:p>
        </c:rich>
      </c:tx>
      <c:layout/>
      <c:overlay val="0"/>
      <c:spPr>
        <a:noFill/>
        <a:ln>
          <a:noFill/>
        </a:ln>
        <a:effectLst/>
      </c:spPr>
    </c:title>
    <c:autoTitleDeleted val="0"/>
    <c:view3D>
      <c:rotX val="30"/>
      <c:rotY val="0"/>
      <c:depthPercent val="100"/>
      <c:rAngAx val="0"/>
    </c:view3D>
    <c:floor>
      <c:thickness val="0"/>
      <c:spPr>
        <a:noFill/>
        <a:effectLst/>
      </c:spPr>
    </c:floor>
    <c:sideWall>
      <c:thickness val="0"/>
      <c:spPr>
        <a:noFill/>
        <a:effectLst/>
      </c:spPr>
    </c:sideWall>
    <c:backWall>
      <c:thickness val="0"/>
      <c:spPr>
        <a:noFill/>
        <a:effectLst/>
      </c:spPr>
    </c:backWall>
    <c:plotArea>
      <c:layout/>
      <c:pie3DChart>
        <c:varyColors val="1"/>
        <c:ser>
          <c:idx val="0"/>
          <c:order val="0"/>
          <c:spPr>
            <a:scene3d>
              <a:camera prst="orthographicFront"/>
              <a:lightRig rig="threePt" dir="t"/>
            </a:scene3d>
            <a:sp3d contourW="9525"/>
          </c:spPr>
          <c:explosion val="0"/>
          <c:dPt>
            <c:idx val="0"/>
            <c:bubble3D val="0"/>
            <c:spPr>
              <a:gradFill>
                <a:gsLst>
                  <a:gs pos="0">
                    <a:schemeClr val="accent1">
                      <a:hueOff val="-1670000"/>
                    </a:schemeClr>
                  </a:gs>
                  <a:gs pos="100000">
                    <a:schemeClr val="accent1"/>
                  </a:gs>
                </a:gsLst>
                <a:lin ang="5400000" scaled="0"/>
              </a:gradFill>
              <a:ln>
                <a:gradFill>
                  <a:gsLst>
                    <a:gs pos="0">
                      <a:schemeClr val="accent1">
                        <a:lumMod val="75000"/>
                        <a:hueOff val="-1670000"/>
                      </a:schemeClr>
                    </a:gs>
                    <a:gs pos="100000">
                      <a:schemeClr val="accent1">
                        <a:lumMod val="75000"/>
                      </a:schemeClr>
                    </a:gs>
                  </a:gsLst>
                  <a:lin ang="5400000" scaled="1"/>
                </a:gradFill>
              </a:ln>
              <a:effectLst/>
            </c:spPr>
          </c:dPt>
          <c:dPt>
            <c:idx val="1"/>
            <c:bubble3D val="0"/>
            <c:spPr>
              <a:gradFill>
                <a:gsLst>
                  <a:gs pos="0">
                    <a:schemeClr val="accent2">
                      <a:hueOff val="-1670000"/>
                    </a:schemeClr>
                  </a:gs>
                  <a:gs pos="100000">
                    <a:schemeClr val="accent2"/>
                  </a:gs>
                </a:gsLst>
                <a:lin ang="5400000" scaled="0"/>
              </a:gradFill>
              <a:ln>
                <a:gradFill>
                  <a:gsLst>
                    <a:gs pos="0">
                      <a:schemeClr val="accent2">
                        <a:lumMod val="75000"/>
                        <a:hueOff val="-1670000"/>
                      </a:schemeClr>
                    </a:gs>
                    <a:gs pos="100000">
                      <a:schemeClr val="accent2">
                        <a:lumMod val="75000"/>
                      </a:schemeClr>
                    </a:gs>
                  </a:gsLst>
                  <a:lin ang="5400000" scaled="1"/>
                </a:gradFill>
              </a:ln>
              <a:effectLst/>
            </c:spPr>
          </c:dPt>
          <c:dPt>
            <c:idx val="2"/>
            <c:bubble3D val="0"/>
            <c:spPr>
              <a:gradFill>
                <a:gsLst>
                  <a:gs pos="0">
                    <a:schemeClr val="accent3">
                      <a:hueOff val="-1670000"/>
                    </a:schemeClr>
                  </a:gs>
                  <a:gs pos="100000">
                    <a:schemeClr val="accent3"/>
                  </a:gs>
                </a:gsLst>
                <a:lin ang="5400000" scaled="0"/>
              </a:gradFill>
              <a:ln>
                <a:gradFill>
                  <a:gsLst>
                    <a:gs pos="0">
                      <a:schemeClr val="accent3">
                        <a:lumMod val="75000"/>
                        <a:hueOff val="-1670000"/>
                      </a:schemeClr>
                    </a:gs>
                    <a:gs pos="100000">
                      <a:schemeClr val="accent3">
                        <a:lumMod val="75000"/>
                      </a:schemeClr>
                    </a:gs>
                  </a:gsLst>
                  <a:lin ang="5400000" scaled="1"/>
                </a:gradFill>
              </a:ln>
              <a:effectLst/>
            </c:spPr>
          </c:dPt>
          <c:dLbls>
            <c:dLbl>
              <c:idx val="0"/>
              <c:layout/>
              <c:numFmt formatCode="General" sourceLinked="1"/>
              <c:spPr>
                <a:noFill/>
                <a:ln>
                  <a:noFill/>
                </a:ln>
                <a:effectLst/>
              </c:spPr>
              <c:txPr>
                <a:bodyPr rot="0" spcFirstLastPara="0" vertOverflow="ellipsis" vert="horz" wrap="square" lIns="38100" tIns="19050" rIns="38100" bIns="19050" anchor="ctr" anchorCtr="1"/>
                <a:lstStyle/>
                <a:p>
                  <a:pPr>
                    <a:defRPr lang="zh-CN" sz="1000" b="1" i="0" u="none" strike="noStrike" kern="1200" spc="0" baseline="0">
                      <a:solidFill>
                        <a:schemeClr val="accent1"/>
                      </a:solidFill>
                      <a:effectLst>
                        <a:outerShdw blurRad="50800" dist="50800" dir="5400000" rotWithShape="0">
                          <a:schemeClr val="accent1">
                            <a:lumMod val="40000"/>
                            <a:lumOff val="60000"/>
                            <a:alpha val="100000"/>
                          </a:schemeClr>
                        </a:outerShdw>
                      </a:effectLst>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dLbl>
              <c:idx val="1"/>
              <c:layout/>
              <c:numFmt formatCode="General" sourceLinked="1"/>
              <c:spPr>
                <a:noFill/>
                <a:ln>
                  <a:noFill/>
                </a:ln>
                <a:effectLst/>
              </c:spPr>
              <c:txPr>
                <a:bodyPr rot="0" spcFirstLastPara="0" vertOverflow="ellipsis" vert="horz" wrap="square" lIns="38100" tIns="19050" rIns="38100" bIns="19050" anchor="ctr" anchorCtr="1"/>
                <a:lstStyle/>
                <a:p>
                  <a:pPr>
                    <a:defRPr lang="zh-CN" sz="1000" b="1" i="0" u="none" strike="noStrike" kern="1200" spc="0" baseline="0">
                      <a:solidFill>
                        <a:schemeClr val="accent2"/>
                      </a:solidFill>
                      <a:effectLst>
                        <a:outerShdw blurRad="50800" dist="50800" dir="5400000" rotWithShape="0">
                          <a:schemeClr val="accent1">
                            <a:lumMod val="40000"/>
                            <a:lumOff val="60000"/>
                            <a:alpha val="100000"/>
                          </a:schemeClr>
                        </a:outerShdw>
                      </a:effectLst>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dLbl>
              <c:idx val="2"/>
              <c:layout/>
              <c:numFmt formatCode="General" sourceLinked="1"/>
              <c:spPr>
                <a:noFill/>
                <a:ln>
                  <a:noFill/>
                </a:ln>
                <a:effectLst/>
              </c:spPr>
              <c:txPr>
                <a:bodyPr rot="0" spcFirstLastPara="0" vertOverflow="ellipsis" vert="horz" wrap="square" lIns="38100" tIns="19050" rIns="38100" bIns="19050" anchor="ctr" anchorCtr="1"/>
                <a:lstStyle/>
                <a:p>
                  <a:pPr>
                    <a:defRPr lang="zh-CN" sz="1000" b="1" i="0" u="none" strike="noStrike" kern="1200" spc="0" baseline="0">
                      <a:solidFill>
                        <a:schemeClr val="accent3"/>
                      </a:solidFill>
                      <a:effectLst>
                        <a:outerShdw blurRad="50800" dist="50800" dir="5400000" rotWithShape="0">
                          <a:schemeClr val="accent1">
                            <a:lumMod val="40000"/>
                            <a:lumOff val="60000"/>
                            <a:alpha val="100000"/>
                          </a:schemeClr>
                        </a:outerShdw>
                      </a:effectLst>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numFmt formatCode="General" sourceLinked="1"/>
            <c:spPr>
              <a:noFill/>
              <a:ln>
                <a:noFill/>
              </a:ln>
              <a:effectLst/>
            </c:spPr>
            <c:txPr>
              <a:bodyPr rot="0" spcFirstLastPara="0" vertOverflow="ellipsis" vert="horz" wrap="square" lIns="38100" tIns="19050" rIns="38100" bIns="19050" anchor="ctr" anchorCtr="1"/>
              <a:lstStyle/>
              <a:p>
                <a:pPr>
                  <a:defRPr lang="zh-CN" sz="1000" b="1" i="0" u="none" strike="noStrike" kern="1200" spc="0" baseline="0">
                    <a:solidFill>
                      <a:schemeClr val="accent1"/>
                    </a:solidFill>
                    <a:effectLst>
                      <a:outerShdw blurRad="50800" dist="50800" dir="5400000" rotWithShape="0">
                        <a:schemeClr val="accent1">
                          <a:lumMod val="40000"/>
                          <a:lumOff val="60000"/>
                          <a:alpha val="100000"/>
                        </a:schemeClr>
                      </a:outerShdw>
                    </a:effectLst>
                    <a:latin typeface="+mn-lt"/>
                    <a:ea typeface="+mn-ea"/>
                    <a:cs typeface="+mn-cs"/>
                  </a:defRPr>
                </a:pPr>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strRef>
              <c:f>[data.xlsx]数据分析!$D$115:$F$115</c:f>
              <c:strCache>
                <c:ptCount val="3"/>
                <c:pt idx="0">
                  <c:v>risk_flag</c:v>
                </c:pt>
                <c:pt idx="1">
                  <c:v>高风险</c:v>
                </c:pt>
                <c:pt idx="2">
                  <c:v>低风险</c:v>
                </c:pt>
              </c:strCache>
            </c:strRef>
          </c:cat>
          <c:val>
            <c:numRef>
              <c:f>[data.xlsx]数据分析!$D$116:$F$116</c:f>
              <c:numCache>
                <c:formatCode>General</c:formatCode>
                <c:ptCount val="3"/>
                <c:pt idx="1">
                  <c:v>13347</c:v>
                </c:pt>
                <c:pt idx="2">
                  <c:v>9153</c:v>
                </c:pt>
              </c:numCache>
            </c:numRef>
          </c:val>
        </c:ser>
        <c:dLbls>
          <c:showLegendKey val="0"/>
          <c:showVal val="1"/>
          <c:showCatName val="0"/>
          <c:showSerName val="0"/>
          <c:showPercent val="0"/>
          <c:showBubbleSize val="0"/>
        </c:dLbls>
      </c:pie3DChart>
      <c:spPr>
        <a:noFill/>
        <a:ln>
          <a:noFill/>
        </a:ln>
        <a:effectLst/>
      </c:spPr>
    </c:plotArea>
    <c:plotVisOnly val="1"/>
    <c:dispBlanksAs val="gap"/>
    <c:showDLblsOverMax val="0"/>
    <c:extLst>
      <c:ext uri="{0b15fc19-7d7d-44ad-8c2d-2c3a37ce22c3}">
        <chartProps xmlns="https://web.wps.cn/et/2018/main" chartId="{e2c49247-cd77-4f9d-aa06-a39018a55d5e}"/>
      </c:ext>
    </c:extLst>
  </c:chart>
  <c:spPr>
    <a:solidFill>
      <a:schemeClr val="lt1">
        <a:lumMod val="96000"/>
      </a:schemeClr>
    </a:solidFill>
    <a:ln w="9525" cap="flat" cmpd="sng" algn="ctr">
      <a:solidFill>
        <a:schemeClr val="tx1">
          <a:lumMod val="15000"/>
          <a:lumOff val="85000"/>
        </a:schemeClr>
      </a:solidFill>
      <a:round/>
    </a:ln>
    <a:effectLst/>
  </c:spPr>
  <c:txPr>
    <a:bodyPr/>
    <a:lstStyle/>
    <a:p>
      <a:pPr>
        <a:defRPr lang="zh-CN">
          <a:effectLst>
            <a:outerShdw blurRad="50800" dist="50800" dir="5400000" rotWithShape="0">
              <a:schemeClr val="accent1">
                <a:lumMod val="40000"/>
                <a:lumOff val="60000"/>
                <a:alpha val="100000"/>
              </a:schemeClr>
            </a:outerShdw>
          </a:effectLst>
        </a:defRPr>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defTabSz="914400">
              <a:defRPr lang="zh-CN" sz="14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t>是否购买产品</a:t>
            </a:r>
          </a:p>
        </c:rich>
      </c:tx>
      <c:layout/>
      <c:overlay val="0"/>
      <c:spPr>
        <a:noFill/>
        <a:ln>
          <a:noFill/>
        </a:ln>
        <a:effectLst/>
      </c:spPr>
    </c:title>
    <c:autoTitleDeleted val="0"/>
    <c:view3D>
      <c:rotX val="30"/>
      <c:rotY val="0"/>
      <c:depthPercent val="100"/>
      <c:rAngAx val="0"/>
    </c:view3D>
    <c:floor>
      <c:thickness val="0"/>
      <c:spPr>
        <a:noFill/>
        <a:effectLst/>
      </c:spPr>
    </c:floor>
    <c:sideWall>
      <c:thickness val="0"/>
      <c:spPr>
        <a:noFill/>
        <a:effectLst/>
      </c:spPr>
    </c:sideWall>
    <c:backWall>
      <c:thickness val="0"/>
      <c:spPr>
        <a:noFill/>
        <a:effectLst/>
      </c:spPr>
    </c:backWall>
    <c:plotArea>
      <c:layout/>
      <c:pie3DChart>
        <c:varyColors val="1"/>
        <c:ser>
          <c:idx val="0"/>
          <c:order val="0"/>
          <c:spPr>
            <a:scene3d>
              <a:camera prst="orthographicFront"/>
              <a:lightRig rig="threePt" dir="t"/>
            </a:scene3d>
            <a:sp3d contourW="9525"/>
          </c:spPr>
          <c:explosion val="0"/>
          <c:dPt>
            <c:idx val="0"/>
            <c:bubble3D val="0"/>
            <c:spPr>
              <a:solidFill>
                <a:schemeClr val="accent1"/>
              </a:solidFill>
              <a:ln>
                <a:solidFill>
                  <a:schemeClr val="bg1"/>
                </a:solidFill>
              </a:ln>
              <a:effectLst/>
              <a:scene3d>
                <a:camera prst="orthographicFront"/>
                <a:lightRig rig="threePt" dir="t"/>
              </a:scene3d>
              <a:sp3d contourW="9525"/>
            </c:spPr>
          </c:dPt>
          <c:dPt>
            <c:idx val="1"/>
            <c:bubble3D val="0"/>
            <c:spPr>
              <a:solidFill>
                <a:schemeClr val="accent2"/>
              </a:solidFill>
              <a:ln>
                <a:solidFill>
                  <a:schemeClr val="bg1"/>
                </a:solidFill>
              </a:ln>
              <a:effectLst/>
              <a:scene3d>
                <a:camera prst="orthographicFront"/>
                <a:lightRig rig="threePt" dir="t"/>
              </a:scene3d>
              <a:sp3d contourW="9525"/>
            </c:spPr>
          </c:dPt>
          <c:dLbls>
            <c:numFmt formatCode="General" sourceLinked="1"/>
            <c:spPr>
              <a:noFill/>
              <a:ln>
                <a:noFill/>
              </a:ln>
              <a:effectLst/>
            </c:spPr>
            <c:txPr>
              <a:bodyPr rot="0" spcFirstLastPara="0" vertOverflow="ellipsis" vert="horz" wrap="square" lIns="38100" tIns="19050" rIns="38100" bIns="19050" anchor="ctr" anchorCtr="1" forceAA="0"/>
              <a:lstStyle/>
              <a:p>
                <a:pPr>
                  <a:defRPr lang="zh-CN" sz="10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[data.xlsx]数据分析!$E$101:$F$101</c:f>
              <c:strCache>
                <c:ptCount val="2"/>
                <c:pt idx="0">
                  <c:v>是</c:v>
                </c:pt>
                <c:pt idx="1">
                  <c:v>否</c:v>
                </c:pt>
              </c:strCache>
            </c:strRef>
          </c:cat>
          <c:val>
            <c:numRef>
              <c:f>[data.xlsx]数据分析!$E$102:$F$102</c:f>
              <c:numCache>
                <c:formatCode>General</c:formatCode>
                <c:ptCount val="2"/>
                <c:pt idx="0">
                  <c:v>2952</c:v>
                </c:pt>
                <c:pt idx="1">
                  <c:v>19548</c:v>
                </c:pt>
              </c:numCache>
            </c:numRef>
          </c:val>
        </c:ser>
        <c:dLbls>
          <c:showLegendKey val="0"/>
          <c:showVal val="1"/>
          <c:showCatName val="0"/>
          <c:showSerName val="0"/>
          <c:showPercent val="0"/>
          <c:showBubbleSize val="0"/>
        </c:dLbls>
      </c:pie3DChart>
      <c:spPr>
        <a:noFill/>
        <a:ln>
          <a:noFill/>
        </a:ln>
        <a:effectLst/>
      </c:spPr>
    </c:plotArea>
    <c:legend>
      <c:legendPos val="r"/>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
    <c:plotVisOnly val="1"/>
    <c:dispBlanksAs val="gap"/>
    <c:showDLblsOverMax val="0"/>
    <c:extLst>
      <c:ext uri="{0b15fc19-7d7d-44ad-8c2d-2c3a37ce22c3}">
        <chartProps xmlns="https://web.wps.cn/et/2018/main" chartId="{23891d3b-9a03-4e89-a1ef-cca7fe714b05}"/>
      </c:ext>
    </c:extLst>
  </c:chart>
  <c:spPr>
    <a:solidFill>
      <a:schemeClr val="bg1"/>
    </a:solidFill>
    <a:ln w="6350" cap="flat" cmpd="sng" algn="ctr">
      <a:solidFill>
        <a:schemeClr val="tx1">
          <a:lumMod val="50000"/>
          <a:lumOff val="50000"/>
          <a:alpha val="25000"/>
        </a:schemeClr>
      </a:solidFill>
      <a:round/>
    </a:ln>
    <a:effectLst/>
  </c:spPr>
  <c:txPr>
    <a:bodyPr/>
    <a:lstStyle/>
    <a:p>
      <a:pPr>
        <a:defRPr lang="zh-CN">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altLang="en-US"/>
              <a:t>营销活动成果</a:t>
            </a:r>
            <a:endParaRPr lang="en-US" altLang="zh-CN"/>
          </a:p>
        </c:rich>
      </c:tx>
      <c:layout/>
      <c:overlay val="0"/>
      <c:spPr>
        <a:noFill/>
        <a:ln>
          <a:noFill/>
        </a:ln>
        <a:effectLst/>
      </c:spPr>
    </c:title>
    <c:autoTitleDeleted val="0"/>
    <c:plotArea>
      <c:layout/>
      <c:pieChart>
        <c:varyColors val="1"/>
        <c:ser>
          <c:idx val="0"/>
          <c:order val="0"/>
          <c:spPr>
            <a:ln w="50800" cap="rnd">
              <a:solidFill>
                <a:schemeClr val="lt1"/>
              </a:solidFill>
              <a:prstDash val="sysDot"/>
              <a:round/>
            </a:ln>
            <a:effectLst>
              <a:innerShdw>
                <a:prstClr val="black">
                  <a:alpha val="100000"/>
                </a:prstClr>
              </a:innerShdw>
            </a:effectLst>
          </c:spPr>
          <c:explosion val="5"/>
          <c:dPt>
            <c:idx val="0"/>
            <c:bubble3D val="0"/>
            <c:spPr>
              <a:solidFill>
                <a:schemeClr val="accent1"/>
              </a:solidFill>
              <a:ln w="50800" cap="rnd">
                <a:solidFill>
                  <a:schemeClr val="lt1"/>
                </a:solidFill>
                <a:prstDash val="sysDot"/>
                <a:round/>
              </a:ln>
              <a:effectLst>
                <a:innerShdw>
                  <a:prstClr val="black">
                    <a:alpha val="100000"/>
                  </a:prstClr>
                </a:innerShdw>
              </a:effectLst>
            </c:spPr>
          </c:dPt>
          <c:dPt>
            <c:idx val="1"/>
            <c:bubble3D val="0"/>
            <c:spPr>
              <a:solidFill>
                <a:schemeClr val="accent2"/>
              </a:solidFill>
              <a:ln w="50800" cap="rnd">
                <a:solidFill>
                  <a:schemeClr val="lt1"/>
                </a:solidFill>
                <a:prstDash val="sysDot"/>
                <a:round/>
              </a:ln>
              <a:effectLst>
                <a:innerShdw>
                  <a:prstClr val="black">
                    <a:alpha val="100000"/>
                  </a:prstClr>
                </a:innerShdw>
              </a:effectLst>
            </c:spPr>
          </c:dPt>
          <c:dPt>
            <c:idx val="2"/>
            <c:bubble3D val="0"/>
            <c:spPr>
              <a:solidFill>
                <a:schemeClr val="accent3"/>
              </a:solidFill>
              <a:ln w="50800" cap="rnd">
                <a:solidFill>
                  <a:schemeClr val="lt1"/>
                </a:solidFill>
                <a:prstDash val="sysDot"/>
                <a:round/>
              </a:ln>
              <a:effectLst>
                <a:innerShdw>
                  <a:prstClr val="black">
                    <a:alpha val="100000"/>
                  </a:prstClr>
                </a:innerShdw>
              </a:effectLst>
            </c:spPr>
          </c:dPt>
          <c:dLbls>
            <c:numFmt formatCode="General" sourceLinked="1"/>
            <c:spPr>
              <a:no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multiLvlStrRef>
              <c:f>[data.xlsx]数据分析!$E$169:$G$170</c:f>
              <c:multiLvlStrCache>
                <c:ptCount val="3"/>
                <c:lvl>
                  <c:pt idx="0">
                    <c:v>success</c:v>
                  </c:pt>
                  <c:pt idx="1">
                    <c:v>failure</c:v>
                  </c:pt>
                  <c:pt idx="2">
                    <c:v>nonexistent</c:v>
                  </c:pt>
                </c:lvl>
                <c:lvl>
                  <c:pt idx="0">
                    <c:v>成功</c:v>
                  </c:pt>
                  <c:pt idx="1">
                    <c:v>失败</c:v>
                  </c:pt>
                  <c:pt idx="2">
                    <c:v>不存在</c:v>
                  </c:pt>
                </c:lvl>
              </c:multiLvlStrCache>
            </c:multiLvlStrRef>
          </c:cat>
          <c:val>
            <c:numRef>
              <c:f>[data.xlsx]数据分析!$E$171:$G$171</c:f>
              <c:numCache>
                <c:formatCode>General</c:formatCode>
                <c:ptCount val="3"/>
                <c:pt idx="0">
                  <c:v>3440</c:v>
                </c:pt>
                <c:pt idx="1">
                  <c:v>4442</c:v>
                </c:pt>
                <c:pt idx="2">
                  <c:v>14618</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
    <c:plotVisOnly val="1"/>
    <c:dispBlanksAs val="gap"/>
    <c:showDLblsOverMax val="0"/>
    <c:extLst>
      <c:ext uri="{0b15fc19-7d7d-44ad-8c2d-2c3a37ce22c3}">
        <chartProps xmlns="https://web.wps.cn/et/2018/main" chartId="{0d51deb8-c901-4cdf-829e-25a26786aaf5}"/>
      </c:ext>
    </c:extLst>
  </c:chart>
  <c:spPr>
    <a:solidFill>
      <a:schemeClr val="bg1"/>
    </a:solidFill>
    <a:ln w="6350" cap="flat" cmpd="sng" algn="ctr">
      <a:solidFill>
        <a:schemeClr val="tx1">
          <a:lumMod val="50000"/>
          <a:lumOff val="50000"/>
          <a:alpha val="25000"/>
        </a:schemeClr>
      </a:solidFill>
      <a:round/>
    </a:ln>
    <a:effectLst>
      <a:outerShdw blurRad="63500" dist="37357" dir="2700000" sx="0" sy="0" rotWithShape="0">
        <a:scrgbClr r="0" g="0" b="0"/>
      </a:outerShdw>
    </a:effectLst>
  </c:spPr>
  <c:txPr>
    <a:bodyPr/>
    <a:lstStyle/>
    <a:p>
      <a:pPr>
        <a:defRPr lang="zh-CN">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acrossLinear" id="2">
  <a:schemeClr val="accent1"/>
  <a:schemeClr val="accent2"/>
  <a:schemeClr val="accent3"/>
  <a:schemeClr val="accent4"/>
  <a:schemeClr val="accent5"/>
  <a:schemeClr val="accent6"/>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99">
  <cs:axisTitle>
    <cs:lnRef idx="0"/>
    <cs:fillRef idx="0"/>
    <cs:effectRef idx="0"/>
    <cs:fontRef idx="minor">
      <a:schemeClr val="dk1">
        <a:lumMod val="65000"/>
        <a:lumOff val="35000"/>
      </a:schemeClr>
    </cs:fontRef>
    <cs:defRPr sz="10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lt1">
          <a:lumMod val="96000"/>
        </a:schemeClr>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styleClr val="auto"/>
    </cs:lnRef>
    <cs:fillRef idx="0">
      <cs:styleClr val="auto"/>
    </cs:fillRef>
    <cs:effectRef idx="0"/>
    <cs:fontRef idx="minor">
      <a:schemeClr val="dk1"/>
    </cs:fontRef>
    <cs:spPr>
      <a:gradFill>
        <a:gsLst>
          <a:gs pos="0">
            <a:schemeClr val="phClr">
              <a:hueOff val="-1670000"/>
            </a:schemeClr>
          </a:gs>
          <a:gs pos="100000">
            <a:schemeClr val="phClr"/>
          </a:gs>
        </a:gsLst>
        <a:lin ang="5400000" scaled="0"/>
      </a:gradFill>
      <a:ln>
        <a:gradFill>
          <a:gsLst>
            <a:gs pos="0">
              <a:schemeClr val="phClr">
                <a:lumMod val="75000"/>
                <a:hueOff val="-1670000"/>
              </a:schemeClr>
            </a:gs>
            <a:gs pos="100000">
              <a:schemeClr val="phClr">
                <a:lumMod val="75000"/>
              </a:schemeClr>
            </a:gs>
          </a:gsLst>
          <a:lin ang="5400000" scaled="1"/>
        </a:gradFill>
      </a:ln>
      <a:effectLs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cap="flat" cmpd="sng" algn="ctr">
        <a:solidFill>
          <a:schemeClr val="dk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a:solidFill>
          <a:schemeClr val="dk1">
            <a:lumMod val="75000"/>
            <a:lumOff val="2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9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styleClr val="auto"/>
    </cs:lnRef>
    <cs:fillRef idx="1">
      <cs:styleClr val="auto"/>
    </cs:fillRef>
    <cs:effectRef idx="0"/>
    <cs:fontRef idx="minor">
      <a:schemeClr val="dk1"/>
    </cs:fontRef>
    <cs:spPr>
      <a:ln>
        <a:solidFill>
          <a:schemeClr val="bg1"/>
        </a:solidFill>
      </a:ln>
      <a:effectLs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自定义 23">
    <a:dk1>
      <a:srgbClr val="000000"/>
    </a:dk1>
    <a:lt1>
      <a:srgbClr val="FFFFFF"/>
    </a:lt1>
    <a:dk2>
      <a:srgbClr val="44546A"/>
    </a:dk2>
    <a:lt2>
      <a:srgbClr val="E7E6E6"/>
    </a:lt2>
    <a:accent1>
      <a:srgbClr val="4EC2C8"/>
    </a:accent1>
    <a:accent2>
      <a:srgbClr val="B2CC35"/>
    </a:accent2>
    <a:accent3>
      <a:srgbClr val="9ADBC5"/>
    </a:accent3>
    <a:accent4>
      <a:srgbClr val="F986A8"/>
    </a:accent4>
    <a:accent5>
      <a:srgbClr val="F98D70"/>
    </a:accent5>
    <a:accent6>
      <a:srgbClr val="F8DC39"/>
    </a:accent6>
    <a:hlink>
      <a:srgbClr val="0026E5"/>
    </a:hlink>
    <a:folHlink>
      <a:srgbClr val="7E1FAD"/>
    </a:folHlink>
  </a:clrScheme>
  <a:fontScheme name="WPS">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自定义 3">
    <a:dk1>
      <a:srgbClr val="000000"/>
    </a:dk1>
    <a:lt1>
      <a:srgbClr val="FFFFFF"/>
    </a:lt1>
    <a:dk2>
      <a:srgbClr val="44546A"/>
    </a:dk2>
    <a:lt2>
      <a:srgbClr val="E7E6E6"/>
    </a:lt2>
    <a:accent1>
      <a:srgbClr val="EE5796"/>
    </a:accent1>
    <a:accent2>
      <a:srgbClr val="F9B525"/>
    </a:accent2>
    <a:accent3>
      <a:srgbClr val="6D78FA"/>
    </a:accent3>
    <a:accent4>
      <a:srgbClr val="0EE2EF"/>
    </a:accent4>
    <a:accent5>
      <a:srgbClr val="93DE03"/>
    </a:accent5>
    <a:accent6>
      <a:srgbClr val="F5F804"/>
    </a:accent6>
    <a:hlink>
      <a:srgbClr val="0026E5"/>
    </a:hlink>
    <a:folHlink>
      <a:srgbClr val="7E1FAD"/>
    </a:folHlink>
  </a:clrScheme>
  <a:fontScheme name="WPS">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186</Words>
  <Characters>207</Characters>
  <Lines>0</Lines>
  <Paragraphs>0</Paragraphs>
  <TotalTime>149</TotalTime>
  <ScaleCrop>false</ScaleCrop>
  <LinksUpToDate>false</LinksUpToDate>
  <CharactersWithSpaces>237</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2025-04-24T07:54:00Z</dcterms:created>
  <dc:creator>Daphne</dc:creator>
  <cp:lastModifiedBy>鐘さん</cp:lastModifiedBy>
  <dcterms:modified xsi:type="dcterms:W3CDTF">2025-06-21T12:53:06Z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eyJoZGlkIjoiM2NiMGQ3MTFjMGNlMjFjZDAyNjVkYjlkYjUwYjUxMDgiLCJ1c2VySWQiOiI4MTQ1MjU3MzYifQ==</vt:lpwstr>
  </property>
  <property fmtid="{D5CDD505-2E9C-101B-9397-08002B2CF9AE}" pid="4" name="ICV">
    <vt:lpwstr>87055518BBD64CB3AB12ADB08F9A0A28_12</vt:lpwstr>
  </property>
</Properties>
</file>