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73EAE" w14:textId="62BAACEF" w:rsidR="002F072E" w:rsidRDefault="00510EFE" w:rsidP="000F74C5">
      <w:pPr>
        <w:pStyle w:val="PaperTitle"/>
        <w:rPr>
          <w:rFonts w:hint="eastAsia"/>
          <w:lang w:eastAsia="zh-CN"/>
        </w:rPr>
      </w:pPr>
      <w:r w:rsidRPr="00510EFE">
        <w:t xml:space="preserve">A </w:t>
      </w:r>
      <w:r w:rsidR="00DF67B3">
        <w:t>multi</w:t>
      </w:r>
      <w:r w:rsidR="00DF67B3">
        <w:noBreakHyphen/>
        <w:t>agent</w:t>
      </w:r>
      <w:r w:rsidR="00DF67B3">
        <w:rPr>
          <w:rFonts w:hint="eastAsia"/>
          <w:lang w:eastAsia="zh-CN"/>
        </w:rPr>
        <w:t xml:space="preserve"> </w:t>
      </w:r>
      <w:r w:rsidRPr="00510EFE">
        <w:t xml:space="preserve">Compliance-Aware LLM </w:t>
      </w:r>
      <w:r>
        <w:rPr>
          <w:rFonts w:hint="eastAsia"/>
          <w:lang w:eastAsia="zh-CN"/>
        </w:rPr>
        <w:t xml:space="preserve">chatbot </w:t>
      </w:r>
      <w:r w:rsidRPr="00510EFE">
        <w:t>for Sustainable Investment Advice under MiFID II and SFD</w:t>
      </w:r>
    </w:p>
    <w:p w14:paraId="178C8CD4" w14:textId="5D2891C3" w:rsidR="002F072E" w:rsidRPr="00277F6B" w:rsidRDefault="002F072E" w:rsidP="004860BB">
      <w:pPr>
        <w:pStyle w:val="AuthorName"/>
      </w:pPr>
      <w:r>
        <w:t>AAAI</w:t>
      </w:r>
      <w:r w:rsidR="006C402F">
        <w:t xml:space="preserve"> </w:t>
      </w:r>
      <w:r>
        <w:t>Press</w:t>
      </w:r>
      <w:r w:rsidR="00A96DC6">
        <w:t xml:space="preserve"> (This is the Author Name style)</w:t>
      </w:r>
    </w:p>
    <w:p w14:paraId="4A5FA557" w14:textId="7ED4A476" w:rsidR="002F072E" w:rsidRPr="009705E7" w:rsidRDefault="002F072E" w:rsidP="006A0BA4">
      <w:pPr>
        <w:pStyle w:val="AffiliationandAddress"/>
      </w:pPr>
      <w:r w:rsidRPr="00B810BB">
        <w:t>Association</w:t>
      </w:r>
      <w:r w:rsidR="006C402F" w:rsidRPr="00B810BB">
        <w:t xml:space="preserve"> </w:t>
      </w:r>
      <w:r w:rsidRPr="00B810BB">
        <w:t>for</w:t>
      </w:r>
      <w:r w:rsidR="006C402F" w:rsidRPr="00B810BB">
        <w:t xml:space="preserve"> </w:t>
      </w:r>
      <w:r w:rsidRPr="00B810BB">
        <w:t>the</w:t>
      </w:r>
      <w:r w:rsidR="006C402F" w:rsidRPr="00B810BB">
        <w:t xml:space="preserve"> </w:t>
      </w:r>
      <w:r w:rsidRPr="00B810BB">
        <w:t>Advancement</w:t>
      </w:r>
      <w:r w:rsidR="006C402F" w:rsidRPr="00B810BB">
        <w:t xml:space="preserve"> </w:t>
      </w:r>
      <w:r w:rsidRPr="00B810BB">
        <w:t>of</w:t>
      </w:r>
      <w:r w:rsidR="006C402F" w:rsidRPr="00B810BB">
        <w:t xml:space="preserve"> </w:t>
      </w:r>
      <w:r w:rsidRPr="00B810BB">
        <w:t>Artificial</w:t>
      </w:r>
      <w:r w:rsidR="006C402F" w:rsidRPr="00B810BB">
        <w:t xml:space="preserve"> </w:t>
      </w:r>
      <w:r w:rsidRPr="00B810BB">
        <w:t>Intelligence</w:t>
      </w:r>
      <w:r w:rsidR="00A96DC6" w:rsidRPr="00B810BB">
        <w:t xml:space="preserve"> (This is the Affiliation and Address style)</w:t>
      </w:r>
      <w:r w:rsidRPr="00B810BB">
        <w:br/>
      </w:r>
      <w:r w:rsidR="00FC7FA0">
        <w:t>proceedings-questions</w:t>
      </w:r>
      <w:r w:rsidRPr="00B810BB">
        <w:t>@aaai.org</w:t>
      </w:r>
      <w:r w:rsidR="00A96DC6" w:rsidRPr="00B810BB">
        <w:t xml:space="preserve"> (This is also the Affiliation and Address style)</w:t>
      </w:r>
      <w:r>
        <w:br/>
      </w:r>
    </w:p>
    <w:p w14:paraId="5256D27F" w14:textId="77777777" w:rsidR="002F072E" w:rsidRPr="006A0BA4" w:rsidRDefault="002F072E" w:rsidP="006A0BA4">
      <w:pPr>
        <w:pStyle w:val="AffiliationandAddress"/>
      </w:pPr>
    </w:p>
    <w:p w14:paraId="67D62E72" w14:textId="77777777" w:rsidR="002F072E" w:rsidRPr="00A168B0" w:rsidRDefault="002F072E" w:rsidP="00A168B0">
      <w:pPr>
        <w:pStyle w:val="Text"/>
        <w:sectPr w:rsidR="002F072E" w:rsidRPr="00A168B0" w:rsidSect="00991938">
          <w:type w:val="continuous"/>
          <w:pgSz w:w="12240" w:h="15840"/>
          <w:pgMar w:top="1800" w:right="1080" w:bottom="1800" w:left="1080" w:header="0" w:footer="0" w:gutter="0"/>
          <w:cols w:space="520"/>
          <w:titlePg/>
        </w:sectPr>
      </w:pPr>
    </w:p>
    <w:p w14:paraId="58DB8EFA" w14:textId="34441E97" w:rsidR="006C2B73" w:rsidRPr="006C052C" w:rsidRDefault="00D9083B" w:rsidP="0003496E">
      <w:pPr>
        <w:pStyle w:val="SectionHeading"/>
        <w:rPr>
          <w:rFonts w:eastAsia="Times"/>
          <w:szCs w:val="24"/>
        </w:rPr>
      </w:pPr>
      <w:r>
        <w:rPr>
          <w:rFonts w:hint="eastAsia"/>
          <w:lang w:eastAsia="zh-CN"/>
        </w:rPr>
        <w:t>Introduction</w:t>
      </w:r>
      <w:r w:rsidR="006C052C" w:rsidRPr="006A0BA4">
        <w:rPr>
          <w:rFonts w:eastAsia="Times"/>
        </w:rPr>
        <w:t xml:space="preserve"> </w:t>
      </w:r>
    </w:p>
    <w:p w14:paraId="35D0A43A" w14:textId="77777777" w:rsidR="00D9083B" w:rsidRDefault="00D9083B">
      <w:pPr>
        <w:pStyle w:val="Text"/>
        <w:rPr>
          <w:lang w:eastAsia="zh-CN"/>
        </w:rPr>
      </w:pPr>
      <w:bookmarkStart w:id="0" w:name="_Hlk117687802"/>
    </w:p>
    <w:p w14:paraId="478F42E8" w14:textId="5E9A97E8" w:rsidR="00D9083B" w:rsidRDefault="00D9083B">
      <w:pPr>
        <w:pStyle w:val="Text"/>
        <w:rPr>
          <w:lang w:eastAsia="zh-CN"/>
        </w:rPr>
      </w:pPr>
      <w:r>
        <w:t>Large Language Models (LLMs) are rapidly transforming financial advisory services by enabling natural, adaptive, and context</w:t>
      </w:r>
      <w:r>
        <w:noBreakHyphen/>
        <w:t>aware interactions with investors. Yet their deployment in sustainable finance introduces a unique set of regulatory challenges. Under MiFID II suitability rules and the Sustainable Finance Disclosure Regulation (SFDR), investment firms must ensure that sustainability preferences are elicited accurately, mapped to legally defined categories, and balanced against the investor’s financial profile. LLMs, however, are prone to hallucinations, over</w:t>
      </w:r>
      <w:r>
        <w:noBreakHyphen/>
        <w:t>accommodation, and inconsistent reasoning, which can inadvertently lead to greenwashing, mis-selling, or violations of best</w:t>
      </w:r>
      <w:r>
        <w:noBreakHyphen/>
        <w:t>interest obligations. These risks are amplified in sustainable finance, where regulatory definitions are technical, investor expectations are often vague, and product disclosures are complex. This proposal investigates how an LLM-based advisory system can be designed to operate within these constraints, ensuring that conversational flexibility does not compromise regulatory compliance. The central objective is to develop a framework that integrates formal regulatory logic, transparent reasoning, and multi-agent oversight to deliver compliant, auditable, and investor</w:t>
      </w:r>
      <w:r>
        <w:noBreakHyphen/>
        <w:t>centric sustainable investment guidance.</w:t>
      </w:r>
    </w:p>
    <w:p w14:paraId="0F7E1386" w14:textId="183C089A" w:rsidR="00706C83" w:rsidRDefault="00706C83">
      <w:pPr>
        <w:pStyle w:val="Text"/>
        <w:rPr>
          <w:rFonts w:hint="eastAsia"/>
          <w:lang w:eastAsia="zh-CN"/>
        </w:rPr>
      </w:pPr>
      <w:r w:rsidRPr="00706C83">
        <w:t>The advisory task can be understood as generating compliant recommendations at the intersection of investor expressions, product characteristics, and regulatory constraints. Investor inputs appear in natural language, while product data follow the structured requirements of SFDR and MiFID II, and the regulatory framework imposes rules on suitability, sustainability</w:t>
      </w:r>
      <w:r w:rsidRPr="00706C83">
        <w:noBreakHyphen/>
        <w:t>preference mapping, and conflict</w:t>
      </w:r>
      <w:r w:rsidRPr="00706C83">
        <w:noBreakHyphen/>
        <w:t>of</w:t>
      </w:r>
      <w:r w:rsidRPr="00706C83">
        <w:noBreakHyphen/>
        <w:t>interest control. The system must translate vague investor language into SFDR</w:t>
      </w:r>
      <w:r w:rsidRPr="00706C83">
        <w:noBreakHyphen/>
        <w:t xml:space="preserve">defined preference categories, ensure that sustainability preferences never override financial suitability, </w:t>
      </w:r>
      <w:r w:rsidRPr="00706C83">
        <w:t>and avoid exaggerated or misleading claims about environmental impact. Formally, it must satisfy suitability constraints, produce deterministic and auditable preference mappings, minimize hallucination risk, and prevent outputs that reflect institutional incentives rather than investor interests. The core challenge is achieving all of this while maintaining a natural and coherent conversational experience.</w:t>
      </w:r>
    </w:p>
    <w:p w14:paraId="7BB5FF13" w14:textId="2AE4AEFF" w:rsidR="00DF2CA5" w:rsidRPr="00510EFE" w:rsidRDefault="00510EFE" w:rsidP="00DF2CA5">
      <w:pPr>
        <w:pStyle w:val="BulletedList"/>
        <w:rPr>
          <w:rFonts w:hint="eastAsia"/>
          <w:lang w:eastAsia="zh-CN"/>
        </w:rPr>
      </w:pPr>
      <w:r w:rsidRPr="00510EFE">
        <w:rPr>
          <w:b/>
          <w:bCs/>
          <w:lang w:eastAsia="zh-CN"/>
        </w:rPr>
        <w:t>Expected Contributions</w:t>
      </w:r>
      <w:r>
        <w:rPr>
          <w:rFonts w:ascii="SimSun" w:eastAsia="SimSun" w:hAnsi="SimSun" w:cs="SimSun" w:hint="eastAsia"/>
          <w:b/>
          <w:bCs/>
          <w:lang w:eastAsia="zh-CN"/>
        </w:rPr>
        <w:t>：</w:t>
      </w:r>
      <w:r w:rsidRPr="00510EFE">
        <w:rPr>
          <w:lang w:eastAsia="zh-CN"/>
        </w:rPr>
        <w:t>This research is expected to produce a compliance</w:t>
      </w:r>
      <w:r w:rsidRPr="00510EFE">
        <w:rPr>
          <w:lang w:eastAsia="zh-CN"/>
        </w:rPr>
        <w:noBreakHyphen/>
        <w:t>aware LLM architecture tailored to sustainable investment advice, a formal protocol layer that operationalizes MiFID II and SFDR requirements within LLM workflows, and a multi-agent design that separates conversational fluency from regulatory enforcement. It will also introduce a benchmark suite for evaluating AI advisors under regulatory stress scenarios and provide a generalizable framework applicable to other high</w:t>
      </w:r>
      <w:r w:rsidRPr="00510EFE">
        <w:rPr>
          <w:lang w:eastAsia="zh-CN"/>
        </w:rPr>
        <w:noBreakHyphen/>
        <w:t>regulation domains such as healthcare and legal services. By bridging conversational AI with formal compliance logic, the project advances both responsible AI deployment and sustainable finance practice.</w:t>
      </w:r>
      <w:r w:rsidR="00DF2CA5">
        <w:rPr>
          <w:lang w:eastAsia="zh-CN"/>
        </w:rPr>
        <w:t xml:space="preserve"> Demo:</w:t>
      </w:r>
      <w:r w:rsidR="00DF2CA5" w:rsidRPr="00DF2CA5">
        <w:t xml:space="preserve"> </w:t>
      </w:r>
      <w:hyperlink r:id="rId8" w:history="1">
        <w:r w:rsidR="00DF2CA5" w:rsidRPr="0092084D">
          <w:rPr>
            <w:rStyle w:val="Hyperlink"/>
            <w:lang w:eastAsia="zh-CN"/>
          </w:rPr>
          <w:t>http://127.0.0.1:8000/</w:t>
        </w:r>
      </w:hyperlink>
    </w:p>
    <w:p w14:paraId="5D377D5D" w14:textId="72CE5866" w:rsidR="00510EFE" w:rsidRPr="00510EFE" w:rsidRDefault="00EE04F2" w:rsidP="00EE04F2">
      <w:pPr>
        <w:pStyle w:val="SectionHeading"/>
        <w:outlineLvl w:val="0"/>
        <w:rPr>
          <w:rFonts w:hint="eastAsia"/>
          <w:lang w:eastAsia="zh-CN"/>
        </w:rPr>
      </w:pPr>
      <w:r>
        <w:t>Methodology</w:t>
      </w:r>
    </w:p>
    <w:p w14:paraId="4F708129" w14:textId="68AF72EF" w:rsidR="00EE04F2" w:rsidRDefault="00510EFE" w:rsidP="00EE04F2">
      <w:pPr>
        <w:pStyle w:val="BulletedList"/>
        <w:ind w:left="0" w:firstLine="0"/>
        <w:rPr>
          <w:rFonts w:hint="eastAsia"/>
          <w:lang w:eastAsia="zh-CN"/>
        </w:rPr>
      </w:pPr>
      <w:r w:rsidRPr="00510EFE">
        <w:rPr>
          <w:lang w:eastAsia="zh-CN"/>
        </w:rPr>
        <w:t>The proposed framework integrates a compliance protocol layer with a multi-agent LLM architecture. The compliance layer encodes MiFID II and SFDR requirements into a regulatory ontology, rule-based guardrails, and deterministic logic trees.</w:t>
      </w:r>
      <w:r w:rsidR="00923EF2">
        <w:rPr>
          <w:rStyle w:val="FootnoteReference"/>
          <w:lang w:eastAsia="zh-CN"/>
        </w:rPr>
        <w:footnoteReference w:id="1"/>
      </w:r>
      <w:r w:rsidRPr="00510EFE">
        <w:rPr>
          <w:lang w:eastAsia="zh-CN"/>
        </w:rPr>
        <w:t xml:space="preserve"> This layer governs the advisory process by enforcing mandatory steps such as prioritizing financial suitability, triggering standardized ESMA</w:t>
      </w:r>
      <w:r w:rsidRPr="00510EFE">
        <w:rPr>
          <w:lang w:eastAsia="zh-CN"/>
        </w:rPr>
        <w:noBreakHyphen/>
        <w:t>compliant questions when sustainability preferences arise, and inserting risk warnings when product characteristics exceed the investor’s risk tolerance. Above this foundation, a multi-agent architecture separates conversational, regulatory, and auditing functions. A user-facing agent manages natural language interaction and clarifies sustainability concepts. A preference</w:t>
      </w:r>
      <w:r w:rsidRPr="00510EFE">
        <w:rPr>
          <w:lang w:eastAsia="zh-CN"/>
        </w:rPr>
        <w:noBreakHyphen/>
        <w:t>mapping agent translates investor language into structured SFDR categories using ontology</w:t>
      </w:r>
      <w:r w:rsidRPr="00510EFE">
        <w:rPr>
          <w:lang w:eastAsia="zh-CN"/>
        </w:rPr>
        <w:noBreakHyphen/>
        <w:t xml:space="preserve">guided parsing. A </w:t>
      </w:r>
      <w:r w:rsidRPr="00510EFE">
        <w:rPr>
          <w:lang w:eastAsia="zh-CN"/>
        </w:rPr>
        <w:lastRenderedPageBreak/>
        <w:t>compliance critic agent evaluates candidate responses for misleading claims, hallucinations, suitability violations, and conflict</w:t>
      </w:r>
      <w:r w:rsidRPr="00510EFE">
        <w:rPr>
          <w:lang w:eastAsia="zh-CN"/>
        </w:rPr>
        <w:noBreakHyphen/>
        <w:t>of</w:t>
      </w:r>
      <w:r w:rsidRPr="00510EFE">
        <w:rPr>
          <w:lang w:eastAsia="zh-CN"/>
        </w:rPr>
        <w:noBreakHyphen/>
        <w:t>interest patterns. An audit agent generates a transparent compliance trace for each recommendation, documenting data sources, reasoning steps, and regulatory justifications. Retrieval</w:t>
      </w:r>
      <w:r w:rsidRPr="00510EFE">
        <w:rPr>
          <w:lang w:eastAsia="zh-CN"/>
        </w:rPr>
        <w:noBreakHyphen/>
        <w:t>augmented generation ensures that all factual claims are grounded in audited product documentation, SFDR disclosures, and EU Taxonomy data. A dialogue state machine coordinates the advisory flow, guiding the system through preference elicitation, risk assessment, sustainability mapping, recommendation generation, and compliance justification.</w:t>
      </w:r>
      <w:bookmarkEnd w:id="0"/>
    </w:p>
    <w:p w14:paraId="147AD07B" w14:textId="237E1710" w:rsidR="002F072E" w:rsidRDefault="00EE04F2" w:rsidP="004860BB">
      <w:pPr>
        <w:pStyle w:val="SectionHeading"/>
        <w:outlineLvl w:val="0"/>
        <w:rPr>
          <w:rFonts w:hint="eastAsia"/>
          <w:lang w:eastAsia="zh-CN"/>
        </w:rPr>
      </w:pPr>
      <w:r w:rsidRPr="00EE04F2">
        <w:t>Evaluation</w:t>
      </w:r>
    </w:p>
    <w:p w14:paraId="6478E0C8" w14:textId="16E44767" w:rsidR="00A96DC6" w:rsidRDefault="00EE04F2" w:rsidP="00EE04F2">
      <w:pPr>
        <w:pStyle w:val="Text"/>
        <w:rPr>
          <w:lang w:eastAsia="zh-CN"/>
        </w:rPr>
      </w:pPr>
      <w:bookmarkStart w:id="1" w:name="_Hlk117687846"/>
      <w:r>
        <w:t>The system will be evaluated through stress</w:t>
      </w:r>
      <w:r>
        <w:noBreakHyphen/>
        <w:t>test scenarios designed to probe its robustness under regulatory pressure. These include cases where investor sustainability preferences conflict with financial risk constraints, where users express unrealistic expectations about environmental impact, where firm incentives create potential conflicts of interest, and where sustainability preferences are expressed in vague or ambiguous language. Evaluation metrics will measure compliance accuracy, hallucination rate, preference</w:t>
      </w:r>
      <w:r>
        <w:noBreakHyphen/>
        <w:t>mapping precision, investor understanding, and the completeness of compliance traces. Together, these assessments will determine whether the system can deliver consistent, transparent, and regulation</w:t>
      </w:r>
      <w:r>
        <w:noBreakHyphen/>
        <w:t xml:space="preserve">aligned advice across diverse conversational </w:t>
      </w:r>
      <w:proofErr w:type="spellStart"/>
      <w:proofErr w:type="gramStart"/>
      <w:r>
        <w:t>contexts.</w:t>
      </w:r>
      <w:r w:rsidR="009D03F1">
        <w:t>Proposed</w:t>
      </w:r>
      <w:proofErr w:type="spellEnd"/>
      <w:proofErr w:type="gramEnd"/>
      <w:r w:rsidR="009D03F1">
        <w:t xml:space="preserve"> metrics as followed</w:t>
      </w:r>
    </w:p>
    <w:p w14:paraId="62A30341" w14:textId="49821EF3" w:rsidR="00C86656" w:rsidRPr="00C86656" w:rsidRDefault="00C86656" w:rsidP="00C86656">
      <w:pPr>
        <w:pStyle w:val="Text"/>
        <w:rPr>
          <w:rFonts w:hint="eastAsia"/>
          <w:lang w:eastAsia="zh-CN"/>
        </w:rPr>
      </w:pPr>
      <w:r w:rsidRPr="00C86656">
        <w:rPr>
          <w:b/>
          <w:bCs/>
          <w:lang w:eastAsia="zh-CN"/>
        </w:rPr>
        <w:t>Hallucination Rate</w:t>
      </w:r>
      <w:r w:rsidRPr="00C86656">
        <w:rPr>
          <w:lang w:eastAsia="zh-CN"/>
        </w:rPr>
        <w:t xml:space="preserve"> Captures the frequency of unsupported or exaggerated claims, especially when users express unrealistic expectations about environmental impact.</w:t>
      </w:r>
      <w:r w:rsidR="00D67A18" w:rsidRPr="00D67A18">
        <w:t xml:space="preserve"> </w:t>
      </w:r>
      <w:r w:rsidR="00D67A18">
        <w:t>measured via expert annotation.</w:t>
      </w:r>
    </w:p>
    <w:p w14:paraId="22C0C4A2" w14:textId="0A8CB878" w:rsidR="00C86656" w:rsidRDefault="00C86656" w:rsidP="00C86656">
      <w:pPr>
        <w:pStyle w:val="Text"/>
        <w:rPr>
          <w:lang w:eastAsia="zh-CN"/>
        </w:rPr>
      </w:pPr>
      <w:r w:rsidRPr="00C86656">
        <w:rPr>
          <w:b/>
          <w:bCs/>
          <w:lang w:eastAsia="zh-CN"/>
        </w:rPr>
        <w:t>Preference Mapping Precision</w:t>
      </w:r>
      <w:r w:rsidR="009D03F1">
        <w:rPr>
          <w:b/>
          <w:bCs/>
          <w:lang w:eastAsia="zh-CN"/>
        </w:rPr>
        <w:t xml:space="preserve"> </w:t>
      </w:r>
      <w:r w:rsidRPr="00C86656">
        <w:rPr>
          <w:lang w:eastAsia="zh-CN"/>
        </w:rPr>
        <w:t>Evaluates how accurately the system converts vague ESG expressions into SFDR</w:t>
      </w:r>
      <w:r w:rsidRPr="00C86656">
        <w:rPr>
          <w:lang w:eastAsia="zh-CN"/>
        </w:rPr>
        <w:noBreakHyphen/>
        <w:t>defined preference categories through structured elicitation.</w:t>
      </w:r>
      <w:r w:rsidR="00D67A18" w:rsidRPr="00D67A18">
        <w:t xml:space="preserve"> </w:t>
      </w:r>
      <w:r w:rsidR="00D67A18">
        <w:t>alignment with expert</w:t>
      </w:r>
      <w:r w:rsidR="00D67A18">
        <w:noBreakHyphen/>
        <w:t>labeled SFDR categories.</w:t>
      </w:r>
    </w:p>
    <w:p w14:paraId="058E703A" w14:textId="2F511548" w:rsidR="00DF2CA5" w:rsidRPr="00C86656" w:rsidRDefault="00DF2CA5" w:rsidP="00C86656">
      <w:pPr>
        <w:pStyle w:val="Text"/>
        <w:rPr>
          <w:rFonts w:hint="eastAsia"/>
          <w:lang w:eastAsia="zh-CN"/>
        </w:rPr>
      </w:pPr>
      <w:r w:rsidRPr="00C86656">
        <w:rPr>
          <w:b/>
          <w:bCs/>
          <w:lang w:eastAsia="zh-CN"/>
        </w:rPr>
        <w:t xml:space="preserve">Compliance Accuracy </w:t>
      </w:r>
      <w:r w:rsidRPr="00C86656">
        <w:rPr>
          <w:lang w:eastAsia="zh-CN"/>
        </w:rPr>
        <w:t>Measures whether the system consistently enforces MiFID II suitability rules when sustainability preferences conflict with financial risk constraints.</w:t>
      </w:r>
      <w:r w:rsidRPr="00D67A18">
        <w:t xml:space="preserve"> </w:t>
      </w:r>
      <w:r>
        <w:t>% of responses satisfying regulatory constraints.</w:t>
      </w:r>
    </w:p>
    <w:p w14:paraId="2B4ED383" w14:textId="5276D7D0" w:rsidR="009D03F1" w:rsidRDefault="00C86656" w:rsidP="00C86656">
      <w:pPr>
        <w:pStyle w:val="Text"/>
        <w:rPr>
          <w:rFonts w:hint="eastAsia"/>
          <w:lang w:eastAsia="zh-CN"/>
        </w:rPr>
      </w:pPr>
      <w:r w:rsidRPr="00C86656">
        <w:rPr>
          <w:b/>
          <w:bCs/>
          <w:lang w:eastAsia="zh-CN"/>
        </w:rPr>
        <w:t>Conflict</w:t>
      </w:r>
      <w:r w:rsidRPr="00C86656">
        <w:rPr>
          <w:b/>
          <w:bCs/>
          <w:lang w:eastAsia="zh-CN"/>
        </w:rPr>
        <w:noBreakHyphen/>
        <w:t>of</w:t>
      </w:r>
      <w:r w:rsidRPr="00C86656">
        <w:rPr>
          <w:b/>
          <w:bCs/>
          <w:lang w:eastAsia="zh-CN"/>
        </w:rPr>
        <w:noBreakHyphen/>
        <w:t>Interest Robustness</w:t>
      </w:r>
      <w:r w:rsidR="009D03F1">
        <w:rPr>
          <w:b/>
          <w:bCs/>
          <w:lang w:eastAsia="zh-CN"/>
        </w:rPr>
        <w:t xml:space="preserve"> </w:t>
      </w:r>
      <w:r w:rsidRPr="00C86656">
        <w:rPr>
          <w:lang w:eastAsia="zh-CN"/>
        </w:rPr>
        <w:t xml:space="preserve">Assesses whether the system </w:t>
      </w:r>
      <w:r w:rsidR="00DF2CA5" w:rsidRPr="00DF2CA5">
        <w:rPr>
          <w:lang w:eastAsia="zh-CN"/>
        </w:rPr>
        <w:t>Robust</w:t>
      </w:r>
      <w:r w:rsidR="00DF2CA5">
        <w:rPr>
          <w:rFonts w:hint="eastAsia"/>
          <w:lang w:eastAsia="zh-CN"/>
        </w:rPr>
        <w:t xml:space="preserve"> to risk</w:t>
      </w:r>
      <w:r w:rsidR="00DF2CA5">
        <w:rPr>
          <w:lang w:eastAsia="zh-CN"/>
        </w:rPr>
        <w:t xml:space="preserve">, such as </w:t>
      </w:r>
      <w:r w:rsidRPr="00C86656">
        <w:rPr>
          <w:lang w:eastAsia="zh-CN"/>
        </w:rPr>
        <w:t>deprioritizes or transparently discloses high</w:t>
      </w:r>
      <w:r w:rsidRPr="00C86656">
        <w:rPr>
          <w:lang w:eastAsia="zh-CN"/>
        </w:rPr>
        <w:noBreakHyphen/>
        <w:t>commission products when they appear among candidate recommendations.</w:t>
      </w:r>
    </w:p>
    <w:p w14:paraId="4DDF9996" w14:textId="6A757D61" w:rsidR="00C86656" w:rsidRPr="00C86656" w:rsidRDefault="00C86656" w:rsidP="00C86656">
      <w:pPr>
        <w:pStyle w:val="Text"/>
        <w:rPr>
          <w:lang w:eastAsia="zh-CN"/>
        </w:rPr>
      </w:pPr>
      <w:r w:rsidRPr="00C86656">
        <w:rPr>
          <w:b/>
          <w:bCs/>
          <w:lang w:eastAsia="zh-CN"/>
        </w:rPr>
        <w:t xml:space="preserve">Audit Score </w:t>
      </w:r>
      <w:r w:rsidRPr="00C86656">
        <w:rPr>
          <w:lang w:eastAsia="zh-CN"/>
        </w:rPr>
        <w:t>Measures the completeness and clarity of the compliance trace, including data provenance, reasoning steps, and regulatory justification.</w:t>
      </w:r>
    </w:p>
    <w:p w14:paraId="2F5B567E" w14:textId="77777777" w:rsidR="00C86656" w:rsidRPr="00EE04F2" w:rsidRDefault="00C86656" w:rsidP="00EE04F2">
      <w:pPr>
        <w:pStyle w:val="Text"/>
        <w:rPr>
          <w:rFonts w:hint="eastAsia"/>
          <w:lang w:eastAsia="zh-CN"/>
        </w:rPr>
      </w:pPr>
    </w:p>
    <w:bookmarkEnd w:id="1"/>
    <w:p w14:paraId="38EDF3D3" w14:textId="77777777" w:rsidR="00D1487C" w:rsidRDefault="00D1487C" w:rsidP="00BB057A">
      <w:pPr>
        <w:pStyle w:val="SectionHeading"/>
      </w:pPr>
      <w:r>
        <w:t>Ackno</w:t>
      </w:r>
      <w:r w:rsidR="00BB057A">
        <w:t>wledgments</w:t>
      </w:r>
    </w:p>
    <w:p w14:paraId="2C54D438" w14:textId="3119CF91" w:rsidR="00042C8F" w:rsidRDefault="00D1487C" w:rsidP="00D1487C">
      <w:pPr>
        <w:pStyle w:val="Text"/>
      </w:pPr>
      <w:r>
        <w:t>The</w:t>
      </w:r>
      <w:r w:rsidR="006C402F">
        <w:t xml:space="preserve"> </w:t>
      </w:r>
      <w:r>
        <w:t>preparation</w:t>
      </w:r>
      <w:r w:rsidR="006C402F">
        <w:t xml:space="preserve"> </w:t>
      </w:r>
      <w:r>
        <w:t>of</w:t>
      </w:r>
      <w:r w:rsidR="006C402F">
        <w:t xml:space="preserve"> </w:t>
      </w:r>
      <w:r>
        <w:t>the</w:t>
      </w:r>
      <w:r w:rsidR="006C402F">
        <w:t xml:space="preserve"> </w:t>
      </w:r>
      <w:r>
        <w:t>files</w:t>
      </w:r>
      <w:r w:rsidR="006C402F">
        <w:t xml:space="preserve"> </w:t>
      </w:r>
      <w:r>
        <w:t>that</w:t>
      </w:r>
      <w:r w:rsidR="006C402F">
        <w:t xml:space="preserve"> </w:t>
      </w:r>
      <w:r>
        <w:t>implement</w:t>
      </w:r>
      <w:r w:rsidR="006C402F">
        <w:t xml:space="preserve"> </w:t>
      </w:r>
      <w:r>
        <w:t>these</w:t>
      </w:r>
      <w:r w:rsidR="006C402F">
        <w:t xml:space="preserve"> </w:t>
      </w:r>
      <w:r>
        <w:t>instructions</w:t>
      </w:r>
      <w:r w:rsidR="006C402F">
        <w:t xml:space="preserve"> </w:t>
      </w:r>
      <w:r>
        <w:t>was</w:t>
      </w:r>
      <w:r w:rsidR="006C402F">
        <w:t xml:space="preserve"> </w:t>
      </w:r>
      <w:r>
        <w:t>supported</w:t>
      </w:r>
      <w:r w:rsidR="006C402F">
        <w:t xml:space="preserve"> </w:t>
      </w:r>
      <w:r>
        <w:t>by</w:t>
      </w:r>
      <w:r w:rsidR="006C402F">
        <w:t xml:space="preserve"> </w:t>
      </w:r>
      <w:r>
        <w:t>The</w:t>
      </w:r>
      <w:r w:rsidR="006C402F">
        <w:t xml:space="preserve"> </w:t>
      </w:r>
      <w:r>
        <w:t>Live</w:t>
      </w:r>
      <w:r w:rsidR="006C402F">
        <w:t xml:space="preserve"> </w:t>
      </w:r>
      <w:r>
        <w:t>Oak</w:t>
      </w:r>
      <w:r w:rsidR="006C402F">
        <w:t xml:space="preserve"> </w:t>
      </w:r>
      <w:r>
        <w:t>Press,</w:t>
      </w:r>
      <w:r w:rsidR="006C402F">
        <w:t xml:space="preserve"> </w:t>
      </w:r>
      <w:r>
        <w:t>LLC,</w:t>
      </w:r>
      <w:r w:rsidR="006C402F">
        <w:t xml:space="preserve"> </w:t>
      </w:r>
      <w:r>
        <w:t>and</w:t>
      </w:r>
      <w:r w:rsidR="006C402F">
        <w:t xml:space="preserve"> </w:t>
      </w:r>
      <w:r>
        <w:t>AAAI</w:t>
      </w:r>
      <w:r w:rsidR="006C402F">
        <w:t xml:space="preserve"> </w:t>
      </w:r>
      <w:r>
        <w:t>Press.</w:t>
      </w:r>
    </w:p>
    <w:p w14:paraId="31F30FB5" w14:textId="77777777" w:rsidR="00042C8F" w:rsidRDefault="00042C8F" w:rsidP="00D1487C">
      <w:pPr>
        <w:pStyle w:val="Text"/>
      </w:pPr>
    </w:p>
    <w:p w14:paraId="3922B6C7" w14:textId="4D5E33B9" w:rsidR="00D1487C" w:rsidRDefault="00D1487C" w:rsidP="00D1487C">
      <w:pPr>
        <w:pStyle w:val="Text"/>
      </w:pPr>
      <w:r>
        <w:t>Thank</w:t>
      </w:r>
      <w:r w:rsidR="006C402F">
        <w:t xml:space="preserve"> </w:t>
      </w:r>
      <w:r>
        <w:t>you</w:t>
      </w:r>
      <w:r w:rsidR="006C402F">
        <w:t xml:space="preserve"> </w:t>
      </w:r>
      <w:r>
        <w:t>for</w:t>
      </w:r>
      <w:r w:rsidR="006C402F">
        <w:t xml:space="preserve"> </w:t>
      </w:r>
      <w:r>
        <w:t>reading</w:t>
      </w:r>
      <w:r w:rsidR="006C402F">
        <w:t xml:space="preserve"> </w:t>
      </w:r>
      <w:r>
        <w:t>these</w:t>
      </w:r>
      <w:r w:rsidR="006C402F">
        <w:t xml:space="preserve"> </w:t>
      </w:r>
      <w:r>
        <w:t>instructions</w:t>
      </w:r>
      <w:r w:rsidR="006C402F">
        <w:t xml:space="preserve"> </w:t>
      </w:r>
      <w:r>
        <w:t>carefully.</w:t>
      </w:r>
      <w:r w:rsidR="006C402F">
        <w:t xml:space="preserve"> </w:t>
      </w:r>
      <w:r>
        <w:t>We</w:t>
      </w:r>
      <w:r w:rsidR="006C402F">
        <w:t xml:space="preserve"> </w:t>
      </w:r>
      <w:r>
        <w:t>look</w:t>
      </w:r>
      <w:r w:rsidR="006C402F">
        <w:t xml:space="preserve"> </w:t>
      </w:r>
      <w:r>
        <w:t>forward</w:t>
      </w:r>
      <w:r w:rsidR="006C402F">
        <w:t xml:space="preserve"> </w:t>
      </w:r>
      <w:r>
        <w:t>to</w:t>
      </w:r>
      <w:r w:rsidR="006C402F">
        <w:t xml:space="preserve"> </w:t>
      </w:r>
      <w:r>
        <w:t>receiving</w:t>
      </w:r>
      <w:r w:rsidR="006C402F">
        <w:t xml:space="preserve"> </w:t>
      </w:r>
      <w:r>
        <w:t>your</w:t>
      </w:r>
      <w:r w:rsidR="006C402F">
        <w:t xml:space="preserve"> </w:t>
      </w:r>
      <w:r>
        <w:t>electronic</w:t>
      </w:r>
      <w:r w:rsidR="006C402F">
        <w:t xml:space="preserve"> </w:t>
      </w:r>
      <w:r>
        <w:t>files!</w:t>
      </w:r>
    </w:p>
    <w:sectPr w:rsidR="00D1487C"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8ED49" w14:textId="77777777" w:rsidR="006F3BDA" w:rsidRDefault="006F3BDA">
      <w:r>
        <w:separator/>
      </w:r>
    </w:p>
  </w:endnote>
  <w:endnote w:type="continuationSeparator" w:id="0">
    <w:p w14:paraId="77A05880" w14:textId="77777777" w:rsidR="006F3BDA" w:rsidRDefault="006F3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916F3" w14:textId="77777777" w:rsidR="006F3BDA" w:rsidRDefault="006F3BDA">
      <w:r>
        <w:separator/>
      </w:r>
    </w:p>
  </w:footnote>
  <w:footnote w:type="continuationSeparator" w:id="0">
    <w:p w14:paraId="4953E60B" w14:textId="77777777" w:rsidR="006F3BDA" w:rsidRDefault="006F3BDA">
      <w:r>
        <w:continuationSeparator/>
      </w:r>
    </w:p>
  </w:footnote>
  <w:footnote w:id="1">
    <w:p w14:paraId="20AC21A2" w14:textId="0A3ADD40" w:rsidR="00923EF2" w:rsidRDefault="00923EF2">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{"citationID":"1qHOwrXs","properties":{"formattedCitation":"\\uc0\\u8220{}ESMA35-43-3172_Guidelines_on_certain_aspects_of_the_MiFID_II_suitability_requirements,\\uc0\\u8221{} accessed March 1, 2026, https://www.esma.europa.eu/sites/default/files/2023-04/ESMA35-43-3172_Guidelines_on_certain_aspects_of_the_MiFID_II_suitability_requirements.pdf.","plainCitation":"“ESMA35-43-3172_Guidelines_on_certain_aspects_of_the_MiFID_II_suitability_requirements,” accessed March 1, 2026, https://www.esma.europa.eu/sites/default/files/2023-04/ESMA35-43-3172_Guidelines_on_certain_aspects_of_the_MiFID_II_suitability_requirements.pdf.","noteIndex":1},"citationItems":[{"id":13164,"uris":["http://zotero.org/users/10773447/items/E9ZU74QE"],"itemData":{"id":13164,"type":"webpage","language":"en","title":"ESMA35-43-3172_Guidelines_on_certain_aspects_of_the_MiFID_II_suitability_requirements","URL":"https://www.esma.europa.eu/sites/default/files/2023-04/ESMA35-43-3172_Guidelines_on_certain_aspects_of_the_MiFID_II_suitability_requirements.pdf","accessed":{"date-parts":[["2026",3,1]]}}}],"schema":"https://github.com/citation-style-language/schema/raw/master/csl-citation.json"} </w:instrText>
      </w:r>
      <w:r>
        <w:fldChar w:fldCharType="separate"/>
      </w:r>
      <w:r w:rsidRPr="00923EF2">
        <w:rPr>
          <w:rFonts w:eastAsia="SimSun"/>
          <w:szCs w:val="24"/>
        </w:rPr>
        <w:t>“ESMA35-43-3172_Guidelines_on_certain_aspects_of_the_MiFID_II_suitability_requirements,” accessed March 1, 2026, https://www.esma.europa.eu/sites/default/files/2023-04/ESMA35-43-3172_Guidelines_on_certain_aspects_of_the_MiFID_II_suitability_requirements.pdf.</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751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699E"/>
    <w:rsid w:val="0002326B"/>
    <w:rsid w:val="000262A1"/>
    <w:rsid w:val="000333F1"/>
    <w:rsid w:val="0003496E"/>
    <w:rsid w:val="00034AE8"/>
    <w:rsid w:val="00040B45"/>
    <w:rsid w:val="00042C8F"/>
    <w:rsid w:val="00046432"/>
    <w:rsid w:val="00084E73"/>
    <w:rsid w:val="000A15B9"/>
    <w:rsid w:val="000B04FD"/>
    <w:rsid w:val="000C7D58"/>
    <w:rsid w:val="000F2AB6"/>
    <w:rsid w:val="000F5366"/>
    <w:rsid w:val="000F74C5"/>
    <w:rsid w:val="0012252E"/>
    <w:rsid w:val="00123351"/>
    <w:rsid w:val="00125765"/>
    <w:rsid w:val="00134ECD"/>
    <w:rsid w:val="00144E10"/>
    <w:rsid w:val="00195717"/>
    <w:rsid w:val="001A21DA"/>
    <w:rsid w:val="001B1AD8"/>
    <w:rsid w:val="001C1D36"/>
    <w:rsid w:val="0025233E"/>
    <w:rsid w:val="00275B23"/>
    <w:rsid w:val="00277F6B"/>
    <w:rsid w:val="0028791D"/>
    <w:rsid w:val="0029011A"/>
    <w:rsid w:val="002A2503"/>
    <w:rsid w:val="002A6C1B"/>
    <w:rsid w:val="002C29F7"/>
    <w:rsid w:val="002C46E9"/>
    <w:rsid w:val="002F072E"/>
    <w:rsid w:val="002F76DD"/>
    <w:rsid w:val="00304E83"/>
    <w:rsid w:val="00312EB5"/>
    <w:rsid w:val="0031405E"/>
    <w:rsid w:val="00316485"/>
    <w:rsid w:val="003336C8"/>
    <w:rsid w:val="00343E49"/>
    <w:rsid w:val="0039237E"/>
    <w:rsid w:val="003979AC"/>
    <w:rsid w:val="003A45BD"/>
    <w:rsid w:val="003D6BD2"/>
    <w:rsid w:val="00406F01"/>
    <w:rsid w:val="0044415D"/>
    <w:rsid w:val="00447E63"/>
    <w:rsid w:val="004634C6"/>
    <w:rsid w:val="00467891"/>
    <w:rsid w:val="004859FF"/>
    <w:rsid w:val="004860BB"/>
    <w:rsid w:val="005077D5"/>
    <w:rsid w:val="00510EFE"/>
    <w:rsid w:val="00532F0B"/>
    <w:rsid w:val="0055305A"/>
    <w:rsid w:val="0055397B"/>
    <w:rsid w:val="00560F5B"/>
    <w:rsid w:val="0057656A"/>
    <w:rsid w:val="00581093"/>
    <w:rsid w:val="00583749"/>
    <w:rsid w:val="00596DB8"/>
    <w:rsid w:val="005C324A"/>
    <w:rsid w:val="005D4C5E"/>
    <w:rsid w:val="005E5CB0"/>
    <w:rsid w:val="00606C5B"/>
    <w:rsid w:val="00677D63"/>
    <w:rsid w:val="0068089F"/>
    <w:rsid w:val="00691794"/>
    <w:rsid w:val="006A0BA4"/>
    <w:rsid w:val="006A75D1"/>
    <w:rsid w:val="006C052C"/>
    <w:rsid w:val="006C2B73"/>
    <w:rsid w:val="006C402F"/>
    <w:rsid w:val="006E091D"/>
    <w:rsid w:val="006F3BDA"/>
    <w:rsid w:val="00706C83"/>
    <w:rsid w:val="007611F8"/>
    <w:rsid w:val="00764694"/>
    <w:rsid w:val="0078353B"/>
    <w:rsid w:val="00783D5A"/>
    <w:rsid w:val="007A4445"/>
    <w:rsid w:val="007C2E80"/>
    <w:rsid w:val="007F510E"/>
    <w:rsid w:val="007F7B6C"/>
    <w:rsid w:val="00804543"/>
    <w:rsid w:val="0081202E"/>
    <w:rsid w:val="008123B3"/>
    <w:rsid w:val="00820E68"/>
    <w:rsid w:val="00893A67"/>
    <w:rsid w:val="008B1047"/>
    <w:rsid w:val="008D3C1E"/>
    <w:rsid w:val="008D50EE"/>
    <w:rsid w:val="008E1722"/>
    <w:rsid w:val="008E59C6"/>
    <w:rsid w:val="00910357"/>
    <w:rsid w:val="00917B75"/>
    <w:rsid w:val="00923EF2"/>
    <w:rsid w:val="00963C4C"/>
    <w:rsid w:val="009651E8"/>
    <w:rsid w:val="009705E7"/>
    <w:rsid w:val="009748A2"/>
    <w:rsid w:val="00991938"/>
    <w:rsid w:val="00994813"/>
    <w:rsid w:val="009A7241"/>
    <w:rsid w:val="009D03F1"/>
    <w:rsid w:val="009F1ADE"/>
    <w:rsid w:val="009F5A1F"/>
    <w:rsid w:val="00A07277"/>
    <w:rsid w:val="00A168B0"/>
    <w:rsid w:val="00A47E08"/>
    <w:rsid w:val="00A55642"/>
    <w:rsid w:val="00A61DF9"/>
    <w:rsid w:val="00A70A27"/>
    <w:rsid w:val="00A96DC6"/>
    <w:rsid w:val="00AA60FC"/>
    <w:rsid w:val="00AC310A"/>
    <w:rsid w:val="00AE01AA"/>
    <w:rsid w:val="00AF14B5"/>
    <w:rsid w:val="00B17F6B"/>
    <w:rsid w:val="00B24E45"/>
    <w:rsid w:val="00B27264"/>
    <w:rsid w:val="00B3738D"/>
    <w:rsid w:val="00B772CC"/>
    <w:rsid w:val="00B810BB"/>
    <w:rsid w:val="00BB057A"/>
    <w:rsid w:val="00BB4ECA"/>
    <w:rsid w:val="00BE0788"/>
    <w:rsid w:val="00BE1B27"/>
    <w:rsid w:val="00C222D1"/>
    <w:rsid w:val="00C25819"/>
    <w:rsid w:val="00C36E0E"/>
    <w:rsid w:val="00C42993"/>
    <w:rsid w:val="00C471C0"/>
    <w:rsid w:val="00C86656"/>
    <w:rsid w:val="00C9546A"/>
    <w:rsid w:val="00CB3350"/>
    <w:rsid w:val="00CD0720"/>
    <w:rsid w:val="00CD4BAB"/>
    <w:rsid w:val="00CF5ACD"/>
    <w:rsid w:val="00D03F22"/>
    <w:rsid w:val="00D1487C"/>
    <w:rsid w:val="00D40218"/>
    <w:rsid w:val="00D404D9"/>
    <w:rsid w:val="00D6640C"/>
    <w:rsid w:val="00D67A18"/>
    <w:rsid w:val="00D72488"/>
    <w:rsid w:val="00D823D3"/>
    <w:rsid w:val="00D85DD6"/>
    <w:rsid w:val="00D9083B"/>
    <w:rsid w:val="00DC209B"/>
    <w:rsid w:val="00DC2C43"/>
    <w:rsid w:val="00DD6974"/>
    <w:rsid w:val="00DF2CA5"/>
    <w:rsid w:val="00DF67B3"/>
    <w:rsid w:val="00E63746"/>
    <w:rsid w:val="00E76079"/>
    <w:rsid w:val="00E839A5"/>
    <w:rsid w:val="00E85A92"/>
    <w:rsid w:val="00EB5090"/>
    <w:rsid w:val="00EC0D6E"/>
    <w:rsid w:val="00EC6320"/>
    <w:rsid w:val="00ED1AD2"/>
    <w:rsid w:val="00EE04F2"/>
    <w:rsid w:val="00EF19E8"/>
    <w:rsid w:val="00F60368"/>
    <w:rsid w:val="00F6558B"/>
    <w:rsid w:val="00F907BA"/>
    <w:rsid w:val="00F91520"/>
    <w:rsid w:val="00FB295A"/>
    <w:rsid w:val="00FC7FA0"/>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SimSu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0BB"/>
    <w:rPr>
      <w:rFonts w:ascii="Times New Roman" w:eastAsia="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7F510E"/>
    <w:pPr>
      <w:spacing w:line="200" w:lineRule="exact"/>
      <w:jc w:val="both"/>
    </w:pPr>
    <w:rPr>
      <w:sz w:val="18"/>
    </w:rPr>
  </w:style>
  <w:style w:type="paragraph" w:customStyle="1" w:styleId="PaperTitle">
    <w:name w:val="Paper Title"/>
    <w:basedOn w:val="Normal"/>
    <w:rsid w:val="00277F6B"/>
    <w:pPr>
      <w:tabs>
        <w:tab w:val="left" w:pos="200"/>
      </w:tabs>
      <w:jc w:val="center"/>
    </w:pPr>
    <w:rPr>
      <w:b/>
      <w:sz w:val="29"/>
    </w:rPr>
  </w:style>
  <w:style w:type="paragraph" w:customStyle="1" w:styleId="SectionHeading">
    <w:name w:val="Section Heading"/>
    <w:basedOn w:val="Normal"/>
    <w:rsid w:val="00F91520"/>
    <w:pPr>
      <w:keepNext/>
      <w:tabs>
        <w:tab w:val="left" w:pos="200"/>
      </w:tabs>
      <w:spacing w:before="360" w:after="120" w:line="300" w:lineRule="exact"/>
      <w:jc w:val="center"/>
    </w:pPr>
    <w:rPr>
      <w:b/>
    </w:rPr>
  </w:style>
  <w:style w:type="paragraph" w:customStyle="1" w:styleId="Text">
    <w:name w:val="Text"/>
    <w:basedOn w:val="Normal"/>
    <w:link w:val="TextChar"/>
    <w:rsid w:val="00F91520"/>
    <w:pPr>
      <w:tabs>
        <w:tab w:val="left" w:pos="200"/>
      </w:tabs>
      <w:spacing w:line="240" w:lineRule="exact"/>
      <w:jc w:val="both"/>
    </w:pPr>
    <w:rPr>
      <w:sz w:val="20"/>
    </w:r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4860BB"/>
    <w:pPr>
      <w:spacing w:before="240" w:line="300" w:lineRule="exact"/>
      <w:jc w:val="center"/>
    </w:pPr>
    <w:rPr>
      <w:b/>
    </w:rPr>
  </w:style>
  <w:style w:type="paragraph" w:customStyle="1" w:styleId="AffiliationandAddress">
    <w:name w:val="Affiliation and Address"/>
    <w:basedOn w:val="Normal"/>
    <w:rsid w:val="00C9546A"/>
    <w:pPr>
      <w:spacing w:before="60" w:line="240" w:lineRule="exact"/>
      <w:jc w:val="center"/>
    </w:pPr>
    <w:rPr>
      <w:sz w:val="20"/>
    </w:rPr>
  </w:style>
  <w:style w:type="paragraph" w:customStyle="1" w:styleId="Extract">
    <w:name w:val="Extract"/>
    <w:basedOn w:val="Normal"/>
    <w:next w:val="Normal"/>
    <w:rsid w:val="004860BB"/>
    <w:pPr>
      <w:tabs>
        <w:tab w:val="left" w:pos="200"/>
      </w:tabs>
      <w:spacing w:before="120" w:line="220" w:lineRule="exact"/>
      <w:ind w:left="200" w:right="200"/>
      <w:jc w:val="both"/>
    </w:pPr>
    <w:rPr>
      <w:sz w:val="20"/>
    </w:r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rPr>
      <w:sz w:val="20"/>
    </w:r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7F510E"/>
    <w:rPr>
      <w:rFonts w:ascii="Times New Roman" w:eastAsia="Times New Roman" w:hAnsi="Times New Roman"/>
      <w:sz w:val="18"/>
    </w:rPr>
  </w:style>
  <w:style w:type="paragraph" w:customStyle="1" w:styleId="FigureCaption">
    <w:name w:val="Figure Caption"/>
    <w:basedOn w:val="Text"/>
    <w:qFormat/>
    <w:rsid w:val="00277F6B"/>
    <w:pPr>
      <w:spacing w:before="120" w:after="240"/>
      <w:jc w:val="center"/>
    </w:pPr>
  </w:style>
  <w:style w:type="paragraph" w:customStyle="1" w:styleId="ExternalPaperLinks">
    <w:name w:val="External Paper Links"/>
    <w:basedOn w:val="Text"/>
    <w:link w:val="ExternalPaperLinksChar"/>
    <w:qFormat/>
    <w:rsid w:val="00040B45"/>
    <w:pPr>
      <w:spacing w:before="240" w:after="120"/>
      <w:ind w:left="288" w:hanging="288"/>
      <w:contextualSpacing/>
      <w:jc w:val="left"/>
    </w:pPr>
  </w:style>
  <w:style w:type="character" w:customStyle="1" w:styleId="ExternalPaperLinksChar">
    <w:name w:val="External Paper Links Char"/>
    <w:basedOn w:val="TextChar"/>
    <w:link w:val="ExternalPaperLinks"/>
    <w:rsid w:val="00040B45"/>
    <w:rPr>
      <w:rFonts w:ascii="Times New Roman" w:eastAsia="Times New Roman" w:hAnsi="Times New Roman"/>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Normal"/>
    <w:qFormat/>
    <w:rsid w:val="002A6C1B"/>
    <w:pPr>
      <w:jc w:val="center"/>
    </w:pPr>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paragraph" w:customStyle="1" w:styleId="NumberedList">
    <w:name w:val="Numbered List"/>
    <w:basedOn w:val="Text"/>
    <w:link w:val="NumberedListChar"/>
    <w:qFormat/>
    <w:rsid w:val="00046432"/>
    <w:pPr>
      <w:numPr>
        <w:numId w:val="1"/>
      </w:numPr>
      <w:ind w:left="490" w:hanging="288"/>
    </w:pPr>
  </w:style>
  <w:style w:type="character" w:customStyle="1" w:styleId="TextChar">
    <w:name w:val="Text Char"/>
    <w:basedOn w:val="DefaultParagraphFont"/>
    <w:link w:val="Text"/>
    <w:rsid w:val="00046432"/>
    <w:rPr>
      <w:rFonts w:ascii="Times New Roman" w:eastAsia="Times New Roman" w:hAnsi="Times New Roman"/>
    </w:rPr>
  </w:style>
  <w:style w:type="character" w:customStyle="1" w:styleId="NumberedListChar">
    <w:name w:val="Numbered List Char"/>
    <w:basedOn w:val="TextChar"/>
    <w:link w:val="NumberedList"/>
    <w:rsid w:val="00046432"/>
    <w:rPr>
      <w:rFonts w:ascii="Times New Roman" w:eastAsia="Times New Roman" w:hAnsi="Times New Roman"/>
    </w:rPr>
  </w:style>
  <w:style w:type="character" w:styleId="Hyperlink">
    <w:name w:val="Hyperlink"/>
    <w:basedOn w:val="DefaultParagraphFont"/>
    <w:uiPriority w:val="99"/>
    <w:unhideWhenUsed/>
    <w:rsid w:val="00DF2CA5"/>
    <w:rPr>
      <w:color w:val="0000FF" w:themeColor="hyperlink"/>
      <w:u w:val="single"/>
    </w:rPr>
  </w:style>
  <w:style w:type="character" w:styleId="UnresolvedMention">
    <w:name w:val="Unresolved Mention"/>
    <w:basedOn w:val="DefaultParagraphFont"/>
    <w:uiPriority w:val="99"/>
    <w:semiHidden/>
    <w:unhideWhenUsed/>
    <w:rsid w:val="00DF2CA5"/>
    <w:rPr>
      <w:color w:val="605E5C"/>
      <w:shd w:val="clear" w:color="auto" w:fill="E1DFDD"/>
    </w:rPr>
  </w:style>
  <w:style w:type="character" w:styleId="FootnoteReference">
    <w:name w:val="footnote reference"/>
    <w:basedOn w:val="DefaultParagraphFont"/>
    <w:uiPriority w:val="99"/>
    <w:semiHidden/>
    <w:unhideWhenUsed/>
    <w:rsid w:val="00923E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72961">
      <w:bodyDiv w:val="1"/>
      <w:marLeft w:val="0"/>
      <w:marRight w:val="0"/>
      <w:marTop w:val="0"/>
      <w:marBottom w:val="0"/>
      <w:divBdr>
        <w:top w:val="none" w:sz="0" w:space="0" w:color="auto"/>
        <w:left w:val="none" w:sz="0" w:space="0" w:color="auto"/>
        <w:bottom w:val="none" w:sz="0" w:space="0" w:color="auto"/>
        <w:right w:val="none" w:sz="0" w:space="0" w:color="auto"/>
      </w:divBdr>
    </w:div>
    <w:div w:id="387262876">
      <w:bodyDiv w:val="1"/>
      <w:marLeft w:val="0"/>
      <w:marRight w:val="0"/>
      <w:marTop w:val="0"/>
      <w:marBottom w:val="0"/>
      <w:divBdr>
        <w:top w:val="none" w:sz="0" w:space="0" w:color="auto"/>
        <w:left w:val="none" w:sz="0" w:space="0" w:color="auto"/>
        <w:bottom w:val="none" w:sz="0" w:space="0" w:color="auto"/>
        <w:right w:val="none" w:sz="0" w:space="0" w:color="auto"/>
      </w:divBdr>
    </w:div>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769768">
      <w:bodyDiv w:val="1"/>
      <w:marLeft w:val="0"/>
      <w:marRight w:val="0"/>
      <w:marTop w:val="0"/>
      <w:marBottom w:val="0"/>
      <w:divBdr>
        <w:top w:val="none" w:sz="0" w:space="0" w:color="auto"/>
        <w:left w:val="none" w:sz="0" w:space="0" w:color="auto"/>
        <w:bottom w:val="none" w:sz="0" w:space="0" w:color="auto"/>
        <w:right w:val="none" w:sz="0" w:space="0" w:color="auto"/>
      </w:divBdr>
    </w:div>
    <w:div w:id="838153132">
      <w:bodyDiv w:val="1"/>
      <w:marLeft w:val="0"/>
      <w:marRight w:val="0"/>
      <w:marTop w:val="0"/>
      <w:marBottom w:val="0"/>
      <w:divBdr>
        <w:top w:val="none" w:sz="0" w:space="0" w:color="auto"/>
        <w:left w:val="none" w:sz="0" w:space="0" w:color="auto"/>
        <w:bottom w:val="none" w:sz="0" w:space="0" w:color="auto"/>
        <w:right w:val="none" w:sz="0" w:space="0" w:color="auto"/>
      </w:divBdr>
    </w:div>
    <w:div w:id="878467557">
      <w:bodyDiv w:val="1"/>
      <w:marLeft w:val="0"/>
      <w:marRight w:val="0"/>
      <w:marTop w:val="0"/>
      <w:marBottom w:val="0"/>
      <w:divBdr>
        <w:top w:val="none" w:sz="0" w:space="0" w:color="auto"/>
        <w:left w:val="none" w:sz="0" w:space="0" w:color="auto"/>
        <w:bottom w:val="none" w:sz="0" w:space="0" w:color="auto"/>
        <w:right w:val="none" w:sz="0" w:space="0" w:color="auto"/>
      </w:divBdr>
    </w:div>
    <w:div w:id="966159376">
      <w:bodyDiv w:val="1"/>
      <w:marLeft w:val="0"/>
      <w:marRight w:val="0"/>
      <w:marTop w:val="0"/>
      <w:marBottom w:val="0"/>
      <w:divBdr>
        <w:top w:val="none" w:sz="0" w:space="0" w:color="auto"/>
        <w:left w:val="none" w:sz="0" w:space="0" w:color="auto"/>
        <w:bottom w:val="none" w:sz="0" w:space="0" w:color="auto"/>
        <w:right w:val="none" w:sz="0" w:space="0" w:color="auto"/>
      </w:divBdr>
    </w:div>
    <w:div w:id="1084760735">
      <w:bodyDiv w:val="1"/>
      <w:marLeft w:val="0"/>
      <w:marRight w:val="0"/>
      <w:marTop w:val="0"/>
      <w:marBottom w:val="0"/>
      <w:divBdr>
        <w:top w:val="none" w:sz="0" w:space="0" w:color="auto"/>
        <w:left w:val="none" w:sz="0" w:space="0" w:color="auto"/>
        <w:bottom w:val="none" w:sz="0" w:space="0" w:color="auto"/>
        <w:right w:val="none" w:sz="0" w:space="0" w:color="auto"/>
      </w:divBdr>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505052054">
      <w:bodyDiv w:val="1"/>
      <w:marLeft w:val="0"/>
      <w:marRight w:val="0"/>
      <w:marTop w:val="0"/>
      <w:marBottom w:val="0"/>
      <w:divBdr>
        <w:top w:val="none" w:sz="0" w:space="0" w:color="auto"/>
        <w:left w:val="none" w:sz="0" w:space="0" w:color="auto"/>
        <w:bottom w:val="none" w:sz="0" w:space="0" w:color="auto"/>
        <w:right w:val="none" w:sz="0" w:space="0" w:color="auto"/>
      </w:divBdr>
    </w:div>
    <w:div w:id="1593468356">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338F1-3BE0-43A4-B8C0-B0DEEF433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6989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Juice Qrange</cp:lastModifiedBy>
  <cp:revision>2</cp:revision>
  <cp:lastPrinted>2022-06-28T13:25:00Z</cp:lastPrinted>
  <dcterms:created xsi:type="dcterms:W3CDTF">2026-03-02T09:05:00Z</dcterms:created>
  <dcterms:modified xsi:type="dcterms:W3CDTF">2026-03-02T09:05:00Z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id="kAHnI3nK"/&gt;&lt;style id="http://www.zotero.org/styles/chicago-notes-bibliography" locale="en-US" hasBibliography="1" bibliographyStyleHasBeenSet="0"/&gt;&lt;prefs&gt;&lt;pref name="fieldType" value="Field"/&gt;&lt;pr</vt:lpwstr>
  </property>
  <property fmtid="{D5CDD505-2E9C-101B-9397-08002B2CF9AE}" pid="3" name="ZOTERO_PREF_2">
    <vt:lpwstr>ef name="automaticJournalAbbreviations" value="true"/&gt;&lt;pref name="noteType" value="1"/&gt;&lt;/prefs&gt;&lt;/data&gt;</vt:lpwstr>
  </property>
</Properties>
</file>