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严琰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:2001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12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26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上海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视觉传达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艺术与考古学院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>:3244397647@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qq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.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phone(Long/Short):17300989270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第一志愿:</w:t>
            </w:r>
            <w:r>
              <w:rPr>
                <w:rFonts w:hint="default" w:ascii="微软雅黑" w:hAnsi="微软雅黑" w:eastAsia="微软雅黑" w:cs="Arial Unicode MS"/>
                <w:b/>
              </w:rPr>
              <w:t>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</w:t>
            </w:r>
            <w:r>
              <w:rPr>
                <w:rFonts w:hint="default" w:ascii="微软雅黑" w:hAnsi="微软雅黑" w:eastAsia="微软雅黑" w:cs="Arial Unicode MS"/>
                <w:b/>
              </w:rPr>
              <w:t>A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没有遗憾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没有别的工作经验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（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没有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兴趣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更多有趣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有意思的单和营造更强的团队责任感吧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和大家友好合作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比较顺利的完成项目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有能力落实想法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的好合作者</w:t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之前已经在组里了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边学边做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695" cy="503555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7EF99B88"/>
    <w:rsid w:val="7F7F6622"/>
    <w:rsid w:val="A1DE435D"/>
    <w:rsid w:val="EDF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ScaleCrop>false</ScaleCrop>
  <LinksUpToDate>false</LinksUpToDate>
  <CharactersWithSpaces>715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2017-05-09T09:45:00Z</dcterms:created>
  <dc:creator>Microsoft Office 用户</dc:creator>
  <cp:lastModifiedBy>yy</cp:lastModifiedBy>
  <dcterms:modified xsi:type="dcterms:W3CDTF">2021-05-15T09:46:22Z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