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BF8C3">
      <w:pPr>
        <w:spacing w:line="300" w:lineRule="auto"/>
        <w:jc w:val="center"/>
        <w:rPr>
          <w:rFonts w:ascii="Times New Roman" w:hAnsi="Times New Roman" w:eastAsia="宋体"/>
          <w:sz w:val="32"/>
          <w:szCs w:val="44"/>
        </w:rPr>
      </w:pPr>
      <w:r>
        <w:rPr>
          <w:rFonts w:hint="eastAsia" w:ascii="Times New Roman" w:hAnsi="Times New Roman" w:eastAsia="宋体"/>
          <w:b/>
          <w:sz w:val="28"/>
          <w:szCs w:val="44"/>
        </w:rPr>
        <w:t>第</w:t>
      </w:r>
      <w:r>
        <w:rPr>
          <w:rFonts w:hint="eastAsia" w:ascii="Times New Roman" w:hAnsi="Times New Roman" w:eastAsia="宋体"/>
          <w:b/>
          <w:sz w:val="28"/>
          <w:szCs w:val="44"/>
          <w:lang w:val="en-US" w:eastAsia="zh-CN"/>
        </w:rPr>
        <w:t>十一</w:t>
      </w:r>
      <w:r>
        <w:rPr>
          <w:rFonts w:hint="eastAsia" w:ascii="Times New Roman" w:hAnsi="Times New Roman" w:eastAsia="宋体"/>
          <w:b/>
          <w:sz w:val="28"/>
          <w:szCs w:val="44"/>
        </w:rPr>
        <w:t>届（2</w:t>
      </w:r>
      <w:r>
        <w:rPr>
          <w:rFonts w:ascii="Times New Roman" w:hAnsi="Times New Roman" w:eastAsia="宋体"/>
          <w:b/>
          <w:sz w:val="28"/>
          <w:szCs w:val="44"/>
        </w:rPr>
        <w:t>02</w:t>
      </w:r>
      <w:r>
        <w:rPr>
          <w:rFonts w:hint="eastAsia" w:ascii="Times New Roman" w:hAnsi="Times New Roman" w:eastAsia="宋体"/>
          <w:b/>
          <w:sz w:val="28"/>
          <w:szCs w:val="44"/>
          <w:lang w:val="en-US" w:eastAsia="zh-CN"/>
        </w:rPr>
        <w:t>6</w:t>
      </w:r>
      <w:r>
        <w:rPr>
          <w:rFonts w:hint="eastAsia" w:ascii="Times New Roman" w:hAnsi="Times New Roman" w:eastAsia="宋体"/>
          <w:b/>
          <w:sz w:val="28"/>
          <w:szCs w:val="44"/>
        </w:rPr>
        <w:t>年）中国高校计算机大赛—移动应用创新赛</w:t>
      </w:r>
    </w:p>
    <w:p w14:paraId="0E11205E">
      <w:pPr>
        <w:spacing w:line="30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36"/>
        </w:rPr>
        <w:t>初赛作品说明文档</w:t>
      </w:r>
    </w:p>
    <w:p w14:paraId="0C661806">
      <w:pPr>
        <w:spacing w:after="120" w:line="300" w:lineRule="auto"/>
        <w:ind w:left="0" w:leftChars="0" w:firstLine="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作品名称：《</w:t>
      </w:r>
      <w:r>
        <w:rPr>
          <w:rFonts w:hint="eastAsia" w:ascii="Times New Roman" w:hAnsi="Times New Roman" w:eastAsia="宋体"/>
          <w:b w:val="0"/>
          <w:sz w:val="24"/>
        </w:rPr>
        <w:t>呼吸岛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 xml:space="preserve"> Liminal</w:t>
      </w:r>
      <w:r>
        <w:rPr>
          <w:rFonts w:ascii="Times New Roman" w:hAnsi="Times New Roman" w:eastAsia="宋体"/>
          <w:b w:val="0"/>
          <w:sz w:val="24"/>
        </w:rPr>
        <w:t>》</w:t>
      </w:r>
    </w:p>
    <w:p w14:paraId="38D2616B">
      <w:pPr>
        <w:spacing w:after="120" w:line="300" w:lineRule="auto"/>
        <w:ind w:left="0" w:leftChars="0" w:firstLine="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产品定位：</w:t>
      </w:r>
      <w:r>
        <w:rPr>
          <w:rFonts w:ascii="Times New Roman" w:hAnsi="Times New Roman" w:eastAsia="宋体" w:cs="Segoe UI"/>
          <w:i w:val="0"/>
          <w:iCs w:val="0"/>
          <w:caps w:val="0"/>
          <w:spacing w:val="0"/>
          <w:sz w:val="24"/>
          <w:szCs w:val="24"/>
          <w:shd w:val="clear" w:fill="FFFFFF"/>
        </w:rPr>
        <w:t>VR沉浸式非药物疼痛数字疗法平台</w:t>
      </w:r>
    </w:p>
    <w:p w14:paraId="192F6DB0">
      <w:pPr>
        <w:spacing w:before="200" w:after="120" w:line="300" w:lineRule="auto"/>
        <w:ind w:left="0" w:leftChars="0" w:firstLine="0"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sz w:val="28"/>
          <w:lang w:val="en-US" w:eastAsia="zh-CN"/>
        </w:rPr>
        <w:t>1、</w:t>
      </w:r>
      <w:r>
        <w:rPr>
          <w:rFonts w:ascii="Times New Roman" w:hAnsi="Times New Roman" w:eastAsia="宋体"/>
          <w:b/>
          <w:sz w:val="28"/>
        </w:rPr>
        <w:t>问题背景与用户分析（200字）</w:t>
      </w:r>
    </w:p>
    <w:p w14:paraId="155A3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firstLine="420" w:firstLineChars="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中国慢性疼痛患者超3亿人，非药物镇痛手段极度匮乏。烧伤患者每次换药经历的是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人类能承受的最剧烈的疼痛之一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，术后患者面临阿片类药物依赖风险，晚期癌症患者中66%伴有中重度疼痛，产妇在分娩中承受间歇性剧痛却因恐惧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被麻醉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而咬牙硬扛。传统疼痛管理高度依赖止痛药物，但药物有成瘾性、副作用和耐药性问题，而专业认知行为疗法（CBT）费用高昂、可及性差。</w:t>
      </w:r>
    </w:p>
    <w:p w14:paraId="53131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firstLine="420" w:firstLineChars="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目标用户覆盖四类核心人群：烧伤换药患者、术后康复患者、癌症慢性疼痛患者及待产产妇，同时也服务于疼痛科/烧伤科/产科医生以及患者家属。</w:t>
      </w:r>
    </w:p>
    <w:p w14:paraId="1332A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firstLine="420" w:firstLineChars="0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核心痛点在于：缺乏安全、有效、可居家使用的非药物镇痛工具，缺乏个性化疼痛管理方案，</w:t>
      </w:r>
      <w:r>
        <w:rPr>
          <w:rFonts w:hint="eastAsia" w:ascii="Times New Roman" w:hAnsi="Times New Roman" w:eastAsia="宋体"/>
        </w:rPr>
        <w:t>以及医患之间缺乏客观的疼痛数据桥梁。</w:t>
      </w:r>
    </w:p>
    <w:p w14:paraId="307279C7">
      <w:pPr>
        <w:spacing w:before="200" w:after="120" w:line="300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2、相关竞品分析（200字）</w:t>
      </w:r>
      <w:bookmarkStart w:id="0" w:name="_GoBack"/>
      <w:bookmarkEnd w:id="0"/>
    </w:p>
    <w:p w14:paraId="4D42547E">
      <w:pPr>
        <w:pStyle w:val="2"/>
        <w:keepNext w:val="0"/>
        <w:keepLines w:val="0"/>
        <w:widowControl/>
        <w:suppressLineNumbers w:val="0"/>
        <w:ind w:firstLine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国际标杆产品RelieVRx已获FDA De Novo授权（Class II医疗器械），临床数据显示疼痛强度降低2.0分（10分量表）、阿片类药物用量减少30%-50%，效果可持续长达24个月。但其存在六大明显不足：</w:t>
      </w:r>
    </w:p>
    <w:p w14:paraId="38BFB22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仅面向慢性下背痛单一病种，</w:t>
      </w:r>
    </w:p>
    <w:p w14:paraId="5FA2072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场景固定缺乏个性化推荐，</w:t>
      </w:r>
    </w:p>
    <w:p w14:paraId="55491A7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纯VR端体验无手机App配套，</w:t>
      </w:r>
    </w:p>
    <w:p w14:paraId="5894365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数据不与可穿戴设备联动，</w:t>
      </w:r>
    </w:p>
    <w:p w14:paraId="70E6855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无社区/社交支持，</w:t>
      </w:r>
    </w:p>
    <w:p w14:paraId="3A0E5FF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无中文版与本土化适配。</w:t>
      </w:r>
    </w:p>
    <w:p w14:paraId="7E115395">
      <w:pPr>
        <w:pStyle w:val="2"/>
        <w:keepNext w:val="0"/>
        <w:keepLines w:val="0"/>
        <w:widowControl/>
        <w:suppressLineNumbers w:val="0"/>
        <w:ind w:firstLine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国内竞品尚处于早期阶段，场景数量有限，缺乏多维疼痛评估和AI个性化推荐能力，且无跨病种的深度定制方案。我们的差异化机会在于：手机App+VR头显双端协同架构、AI驱动的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千人千痛千方案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个性化推荐、四大核心病种深度定制模式、生物反馈与可穿戴设备联动，以及社区互助与医生端数据中台的完整闭环。</w:t>
      </w:r>
    </w:p>
    <w:p w14:paraId="15C3D9DE">
      <w:pPr>
        <w:spacing w:before="200" w:after="120" w:line="300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3、可行性分析（300字）</w:t>
      </w:r>
    </w:p>
    <w:p w14:paraId="4748C23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ascii="Times New Roman" w:hAnsi="Times New Roman" w:eastAsia="宋体"/>
        </w:rPr>
      </w:pPr>
      <w:r>
        <w:rPr>
          <w:rStyle w:val="5"/>
          <w:rFonts w:ascii="Times New Roman" w:hAnsi="Times New Roman" w:eastAsia="宋体"/>
        </w:rPr>
        <w:t>技术可行性</w:t>
      </w:r>
      <w:r>
        <w:rPr>
          <w:rFonts w:ascii="Times New Roman" w:hAnsi="Times New Roman" w:eastAsia="宋体"/>
        </w:rPr>
        <w:t>：</w:t>
      </w:r>
    </w:p>
    <w:p w14:paraId="65812A78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VR场景开发基于Unity/Unreal Engine，适配Pico 4和Meta Quest等主流头显；</w:t>
      </w:r>
    </w:p>
    <w:p w14:paraId="5DC2B52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移动端采用SwiftUI（iOS）与Kotlin（Android）原生开发；生物反馈通过iOS HealthKit、Apple Watch HRV API及蓝牙手环SDK实现；</w:t>
      </w:r>
    </w:p>
    <w:p w14:paraId="7D7CC2DD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AI推荐引擎采用协同过滤与规则引擎结合的轻量级模型，支持端侧推理；</w:t>
      </w:r>
    </w:p>
    <w:p w14:paraId="4F867E72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数据安全遵循HIPAA标准及中国《个人信息保护法》要求。最小可行产品（MVP）为iPhone App + Pico头显 + 3个核心场景，开发周期可控。</w:t>
      </w:r>
    </w:p>
    <w:p w14:paraId="6DA45C98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hanging="420" w:firstLineChars="0"/>
        <w:rPr>
          <w:rFonts w:ascii="Times New Roman" w:hAnsi="Times New Roman" w:eastAsia="宋体"/>
        </w:rPr>
      </w:pPr>
      <w:r>
        <w:rPr>
          <w:rStyle w:val="5"/>
          <w:rFonts w:ascii="Times New Roman" w:hAnsi="Times New Roman" w:eastAsia="宋体"/>
        </w:rPr>
        <w:t>市场可行性</w:t>
      </w:r>
      <w:r>
        <w:rPr>
          <w:rFonts w:ascii="Times New Roman" w:hAnsi="Times New Roman" w:eastAsia="宋体"/>
        </w:rPr>
        <w:t>：</w:t>
      </w:r>
    </w:p>
    <w:p w14:paraId="6EB8E606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900" w:leftChars="0" w:right="0" w:righ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全球VR医疗市场从2026年$75.8亿增长至2034年$669.1亿，CAGR达31.3%；</w:t>
      </w:r>
    </w:p>
    <w:p w14:paraId="5B999A00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900" w:leftChars="0" w:right="0" w:righ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中国慢性疼痛患者基数超3亿，数字疗法领域刚刚起步，政策支持力度加大，市场窗口期明确。</w:t>
      </w:r>
    </w:p>
    <w:p w14:paraId="6D72256E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ascii="Times New Roman" w:hAnsi="Times New Roman" w:eastAsia="宋体"/>
        </w:rPr>
      </w:pPr>
      <w:r>
        <w:rPr>
          <w:rStyle w:val="5"/>
          <w:rFonts w:ascii="Times New Roman" w:hAnsi="Times New Roman" w:eastAsia="宋体"/>
        </w:rPr>
        <w:t>经济可行性</w:t>
      </w:r>
      <w:r>
        <w:rPr>
          <w:rFonts w:ascii="Times New Roman" w:hAnsi="Times New Roman" w:eastAsia="宋体"/>
        </w:rPr>
        <w:t>：</w:t>
      </w:r>
    </w:p>
    <w:p w14:paraId="70FF662F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多线变现模式覆盖B2C订阅（¥29/月）、B2H医院打包方案、B2B企业健康福利、B2I保险合作及场景商城，医生端SaaS提供专业版增值服务，商业模式清晰且可持续。</w:t>
      </w:r>
    </w:p>
    <w:p w14:paraId="39945CE4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ascii="Times New Roman" w:hAnsi="Times New Roman" w:eastAsia="宋体"/>
        </w:rPr>
      </w:pPr>
      <w:r>
        <w:rPr>
          <w:rStyle w:val="5"/>
          <w:rFonts w:ascii="Times New Roman" w:hAnsi="Times New Roman" w:eastAsia="宋体"/>
        </w:rPr>
        <w:t>临床可行性</w:t>
      </w:r>
      <w:r>
        <w:rPr>
          <w:rFonts w:ascii="Times New Roman" w:hAnsi="Times New Roman" w:eastAsia="宋体"/>
        </w:rPr>
        <w:t>：</w:t>
      </w:r>
    </w:p>
    <w:p w14:paraId="557E9161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90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产品设计框架对标FDA已批准的RelieVRx数字疗法，四大病种模式的每一项设计均源自已发表的RCT临床研究或正在运行的医院项目，具备扎实的循证医学基础。</w:t>
      </w:r>
    </w:p>
    <w:p w14:paraId="45218F36">
      <w:pPr>
        <w:spacing w:before="200" w:after="120" w:line="300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4、App创新点（300字）</w:t>
      </w:r>
    </w:p>
    <w:p w14:paraId="151C6E89">
      <w:pPr>
        <w:pStyle w:val="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right="0" w:rightChars="0" w:hanging="420" w:firstLineChars="0"/>
        <w:rPr>
          <w:rFonts w:ascii="Times New Roman" w:hAnsi="Times New Roman" w:eastAsia="宋体"/>
          <w:b/>
          <w:bCs/>
        </w:rPr>
      </w:pPr>
      <w:r>
        <w:rPr>
          <w:rFonts w:ascii="Times New Roman" w:hAnsi="Times New Roman" w:eastAsia="宋体"/>
          <w:b/>
          <w:bCs/>
        </w:rPr>
        <w:t>核心创新一：四大病种深度定制模式。</w:t>
      </w:r>
    </w:p>
    <w:p w14:paraId="61793EA0">
      <w:pPr>
        <w:pStyle w:val="2"/>
        <w:keepNext w:val="0"/>
        <w:keepLines w:val="0"/>
        <w:widowControl/>
        <w:suppressLineNumbers w:val="0"/>
        <w:ind w:firstLine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不是一套场景打天下，而是针对烧伤换药、术后疼痛、癌症慢性痛和分娩产痛四类完全不同疼痛机制的患者，提供纵向深度定制的专属场景、专属功能和专属治疗节奏——例如烧伤模式的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冰火对抗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温度意象系统和VR辅助物理治疗，分娩模式的全球首创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宫缩同步VR呼吸引导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（蓝牙连接胎心监护仪自动检测宫缩波形，VR场景中海浪涨落与产妇宫缩实时同步）。</w:t>
      </w:r>
    </w:p>
    <w:p w14:paraId="5F81A476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ascii="Times New Roman" w:hAnsi="Times New Roman" w:eastAsia="宋体"/>
          <w:b/>
          <w:bCs/>
        </w:rPr>
      </w:pPr>
      <w:r>
        <w:rPr>
          <w:rFonts w:ascii="Times New Roman" w:hAnsi="Times New Roman" w:eastAsia="宋体"/>
          <w:b/>
          <w:bCs/>
        </w:rPr>
        <w:t>核心创新二：AI驱动</w:t>
      </w:r>
      <w:r>
        <w:rPr>
          <w:rFonts w:hint="eastAsia" w:ascii="Times New Roman" w:hAnsi="Times New Roman" w:eastAsia="宋体"/>
          <w:b/>
          <w:bCs/>
          <w:lang w:eastAsia="zh-CN"/>
        </w:rPr>
        <w:t>“</w:t>
      </w:r>
      <w:r>
        <w:rPr>
          <w:rFonts w:ascii="Times New Roman" w:hAnsi="Times New Roman" w:eastAsia="宋体"/>
          <w:b/>
          <w:bCs/>
        </w:rPr>
        <w:t>千人千痛千方案</w:t>
      </w:r>
      <w:r>
        <w:rPr>
          <w:rFonts w:hint="eastAsia" w:ascii="Times New Roman" w:hAnsi="Times New Roman" w:eastAsia="宋体"/>
          <w:b/>
          <w:bCs/>
          <w:lang w:eastAsia="zh-CN"/>
        </w:rPr>
        <w:t>”</w:t>
      </w:r>
      <w:r>
        <w:rPr>
          <w:rFonts w:ascii="Times New Roman" w:hAnsi="Times New Roman" w:eastAsia="宋体"/>
          <w:b/>
          <w:bCs/>
        </w:rPr>
        <w:t>。</w:t>
      </w:r>
    </w:p>
    <w:p w14:paraId="1E5A04CE"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t>通过多维疼痛画像（位置、性质、频率、诱因、情绪状态），AI自动识别疼痛类型并推荐最优场景组合，持续学习每个患者的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剂量-反应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关系，实现真正的个性化治疗。</w:t>
      </w:r>
    </w:p>
    <w:p w14:paraId="4CDD63A1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ascii="Times New Roman" w:hAnsi="Times New Roman" w:eastAsia="宋体"/>
          <w:b/>
          <w:bCs/>
        </w:rPr>
      </w:pPr>
      <w:r>
        <w:rPr>
          <w:rFonts w:ascii="Times New Roman" w:hAnsi="Times New Roman" w:eastAsia="宋体"/>
          <w:b/>
          <w:bCs/>
        </w:rPr>
        <w:t>核心创新三：功能性疼痛评估体系。</w:t>
      </w:r>
    </w:p>
    <w:p w14:paraId="24A89C21"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t>摒弃传统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0-10打分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的极度主观方式，引入基于日常活动能力的Functional Pain Scale，治疗目标从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追求0分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转向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从6分降到3分——让患者重新能生活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。</w:t>
      </w:r>
    </w:p>
    <w:p w14:paraId="32855964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ascii="Times New Roman" w:hAnsi="Times New Roman" w:eastAsia="宋体"/>
          <w:b/>
          <w:bCs/>
        </w:rPr>
      </w:pPr>
      <w:r>
        <w:rPr>
          <w:rFonts w:ascii="Times New Roman" w:hAnsi="Times New Roman" w:eastAsia="宋体"/>
          <w:b/>
          <w:bCs/>
        </w:rPr>
        <w:t>核心创新四：家属同步参与系统。</w:t>
      </w:r>
    </w:p>
    <w:p w14:paraId="568A19A8">
      <w:pPr>
        <w:pStyle w:val="2"/>
        <w:keepNext w:val="0"/>
        <w:keepLines w:val="0"/>
        <w:widowControl/>
        <w:suppressLineNumbers w:val="0"/>
        <w:ind w:firstLine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iPad实时同步VR画面，家属可语音留言传递至患者VR中，在分娩场景中伴侣同步陪产呼吸，在癌痛场景中家属留言成为临终关怀的温暖陪伴。</w:t>
      </w:r>
    </w:p>
    <w:p w14:paraId="76EF0E2C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ascii="Times New Roman" w:hAnsi="Times New Roman" w:eastAsia="宋体"/>
          <w:b/>
          <w:bCs/>
        </w:rPr>
      </w:pPr>
      <w:r>
        <w:rPr>
          <w:rFonts w:ascii="Times New Roman" w:hAnsi="Times New Roman" w:eastAsia="宋体"/>
          <w:b/>
          <w:bCs/>
        </w:rPr>
        <w:t>核心创新五：完整数据闭环。</w:t>
      </w:r>
    </w:p>
    <w:p w14:paraId="187DAD38">
      <w:pPr>
        <w:pStyle w:val="2"/>
        <w:keepNext w:val="0"/>
        <w:keepLines w:val="0"/>
        <w:widowControl/>
        <w:suppressLineNumbers w:val="0"/>
        <w:ind w:firstLine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从疼痛评估→VR治疗→生物反馈→数据追踪→AI分析→医生远程管理，形成打通患者-家属-医生三方的一体化平台。</w:t>
      </w:r>
    </w:p>
    <w:p w14:paraId="0A7E3EE6">
      <w:pPr>
        <w:spacing w:before="200" w:after="120" w:line="300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5、应用前景（200字）</w:t>
      </w:r>
    </w:p>
    <w:p w14:paraId="24F0EFA1">
      <w:pPr>
        <w:pStyle w:val="2"/>
        <w:keepNext w:val="0"/>
        <w:keepLines w:val="0"/>
        <w:widowControl/>
        <w:suppressLineNumbers w:val="0"/>
        <w:ind w:firstLine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产品以B2H模式（医院合作）为切入点，优先进入烧伤科、疼痛科、康复科和产科，通过临床效果积累循证证据；随后以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ascii="Times New Roman" w:hAnsi="Times New Roman" w:eastAsia="宋体"/>
        </w:rPr>
        <w:t>医院租借/购买头显+居家延续方案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实现从院内到居家的全场景覆盖，通过手机Cardboard方案（成本低至¥50-100）降低使用门槛，触达更广泛的患者群体。中期将接入商业健康险，作为数字疗法纳入保险报销目录，进一步降低用户付费压力。远期可拓展至企业员工健康福利市场和海外市场。</w:t>
      </w:r>
    </w:p>
    <w:p w14:paraId="02649847">
      <w:pPr>
        <w:pStyle w:val="2"/>
        <w:keepNext w:val="0"/>
        <w:keepLines w:val="0"/>
        <w:widowControl/>
        <w:suppressLineNumbers w:val="0"/>
        <w:ind w:firstLine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全球VR医疗市场正以超31%的年复合增长率高速扩张，中国作为拥有3亿疼痛患者的巨大市场且数字疗法刚刚起步，先发优势显著。该产品不仅具有清晰的商业回报预期，更具有减少阿片类药物依赖、降低社会医疗支出、改善数亿疼痛患者生活质量的重大社会价值。</w:t>
      </w:r>
    </w:p>
    <w:p w14:paraId="58BE9D58">
      <w:pPr>
        <w:spacing w:after="120" w:line="300" w:lineRule="auto"/>
        <w:ind w:firstLine="480"/>
        <w:rPr>
          <w:rFonts w:ascii="Times New Roman" w:hAnsi="Times New Roman" w:eastAsia="宋体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iti SC Medium">
    <w:altName w:val="Noto Serif SC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+中文正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9F9D7"/>
    <w:multiLevelType w:val="singleLevel"/>
    <w:tmpl w:val="8E19F9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ECE9D89"/>
    <w:multiLevelType w:val="singleLevel"/>
    <w:tmpl w:val="9ECE9D89"/>
    <w:lvl w:ilvl="0" w:tentative="0">
      <w:start w:val="1"/>
      <w:numFmt w:val="bullet"/>
      <w:lvlText w:val="•"/>
      <w:lvlJc w:val="left"/>
      <w:pPr>
        <w:ind w:left="90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2">
    <w:nsid w:val="ADF42CD8"/>
    <w:multiLevelType w:val="singleLevel"/>
    <w:tmpl w:val="ADF42CD8"/>
    <w:lvl w:ilvl="0" w:tentative="0">
      <w:start w:val="1"/>
      <w:numFmt w:val="bullet"/>
      <w:lvlText w:val=""/>
      <w:lvlJc w:val="left"/>
      <w:pPr>
        <w:ind w:left="-60" w:hanging="420"/>
      </w:pPr>
      <w:rPr>
        <w:rFonts w:hint="default" w:ascii="Wingdings" w:hAnsi="Wingdings"/>
      </w:rPr>
    </w:lvl>
  </w:abstractNum>
  <w:abstractNum w:abstractNumId="3">
    <w:nsid w:val="B93BC6CA"/>
    <w:multiLevelType w:val="singleLevel"/>
    <w:tmpl w:val="B93BC6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299BD3E"/>
    <w:multiLevelType w:val="singleLevel"/>
    <w:tmpl w:val="E299BD3E"/>
    <w:lvl w:ilvl="0" w:tentative="0">
      <w:start w:val="1"/>
      <w:numFmt w:val="bullet"/>
      <w:lvlText w:val="•"/>
      <w:lvlJc w:val="left"/>
      <w:pPr>
        <w:ind w:left="90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5">
    <w:nsid w:val="166E8606"/>
    <w:multiLevelType w:val="singleLevel"/>
    <w:tmpl w:val="166E8606"/>
    <w:lvl w:ilvl="0" w:tentative="0">
      <w:start w:val="1"/>
      <w:numFmt w:val="bullet"/>
      <w:lvlText w:val="•"/>
      <w:lvlJc w:val="left"/>
      <w:pPr>
        <w:ind w:left="90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6">
    <w:nsid w:val="272EB50D"/>
    <w:multiLevelType w:val="singleLevel"/>
    <w:tmpl w:val="272EB50D"/>
    <w:lvl w:ilvl="0" w:tentative="0">
      <w:start w:val="1"/>
      <w:numFmt w:val="bullet"/>
      <w:lvlText w:val="•"/>
      <w:lvlJc w:val="left"/>
      <w:pPr>
        <w:ind w:left="90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7">
    <w:nsid w:val="3D65FB6B"/>
    <w:multiLevelType w:val="singleLevel"/>
    <w:tmpl w:val="3D65FB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661128E"/>
    <w:multiLevelType w:val="singleLevel"/>
    <w:tmpl w:val="466112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7B7A8C91"/>
    <w:multiLevelType w:val="singleLevel"/>
    <w:tmpl w:val="7B7A8C91"/>
    <w:lvl w:ilvl="0" w:tentative="0">
      <w:start w:val="1"/>
      <w:numFmt w:val="bullet"/>
      <w:lvlText w:val="•"/>
      <w:lvlJc w:val="left"/>
      <w:pPr>
        <w:ind w:left="90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8E"/>
    <w:rsid w:val="00232746"/>
    <w:rsid w:val="0030704A"/>
    <w:rsid w:val="00525897"/>
    <w:rsid w:val="00740E52"/>
    <w:rsid w:val="00A14CAC"/>
    <w:rsid w:val="00B2728E"/>
    <w:rsid w:val="00BA546F"/>
    <w:rsid w:val="00C96373"/>
    <w:rsid w:val="0E0C7680"/>
    <w:rsid w:val="26257A69"/>
    <w:rsid w:val="475C20BB"/>
    <w:rsid w:val="662066D3"/>
    <w:rsid w:val="69120C16"/>
    <w:rsid w:val="6A66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before="50" w:beforeLines="50" w:after="50" w:afterLines="50"/>
      <w:ind w:firstLine="0" w:firstLineChars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1313</Words>
  <Characters>1337</Characters>
  <Lines>1</Lines>
  <Paragraphs>1</Paragraphs>
  <TotalTime>11</TotalTime>
  <ScaleCrop>false</ScaleCrop>
  <LinksUpToDate>false</LinksUpToDate>
  <CharactersWithSpaces>1342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2024-05-29T09:43:00Z</dcterms:created>
  <dc:creator>Bloody Sun</dc:creator>
  <cp:keywords>当时, 人生后期规划, 安心计划, 执行人, 数字遗产</cp:keywords>
  <cp:lastModifiedBy>Bloody Sun</cp:lastModifiedBy>
  <dcterms:modified xsi:type="dcterms:W3CDTF">2026-07-06T15:33:45Z</dcterms:modified>
  <dc:subject>移动应用创新赛初赛作品说明</dc:subject>
  <dc:title>《当时》初赛作品说明文档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2036A049B2D94557A6AB69272A523BAB_13</vt:lpwstr>
  </property>
  <property fmtid="{D5CDD505-2E9C-101B-9397-08002B2CF9AE}" pid="4" name="KSOTemplateDocerSaveRecord">
    <vt:lpwstr>eyJoZGlkIjoiMTA1ZmU5YTNiMjE0ZTMyZmEyYmEzYTZhMDJjOWIxMTUiLCJ1c2VySWQiOiIxMDczNDI2NjMzIn0=</vt:lpwstr>
  </property>
</Properties>
</file>