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0" w:history="1">
            <w:r w:rsidRPr="008C2483">
              <w:rPr>
                <w:rStyle w:val="Hyperlink"/>
                <w:noProof/>
              </w:rPr>
              <w:t>Design der Anwendung</w:t>
            </w:r>
            <w:r>
              <w:rPr>
                <w:noProof/>
                <w:webHidden/>
              </w:rPr>
              <w:tab/>
            </w:r>
            <w:r>
              <w:rPr>
                <w:noProof/>
                <w:webHidden/>
              </w:rPr>
              <w:fldChar w:fldCharType="begin"/>
            </w:r>
            <w:r>
              <w:rPr>
                <w:noProof/>
                <w:webHidden/>
              </w:rPr>
              <w:instrText xml:space="preserve"> PAGEREF _Toc36476370 \h </w:instrText>
            </w:r>
            <w:r>
              <w:rPr>
                <w:noProof/>
                <w:webHidden/>
              </w:rPr>
            </w:r>
            <w:r>
              <w:rPr>
                <w:noProof/>
                <w:webHidden/>
              </w:rPr>
              <w:fldChar w:fldCharType="separate"/>
            </w:r>
            <w:r>
              <w:rPr>
                <w:noProof/>
                <w:webHidden/>
              </w:rPr>
              <w:t>3</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1" w:history="1">
            <w:r w:rsidRPr="008C2483">
              <w:rPr>
                <w:rStyle w:val="Hyperlink"/>
                <w:noProof/>
              </w:rPr>
              <w:t>Benutzerführung</w:t>
            </w:r>
            <w:r>
              <w:rPr>
                <w:noProof/>
                <w:webHidden/>
              </w:rPr>
              <w:tab/>
            </w:r>
            <w:r>
              <w:rPr>
                <w:noProof/>
                <w:webHidden/>
              </w:rPr>
              <w:fldChar w:fldCharType="begin"/>
            </w:r>
            <w:r>
              <w:rPr>
                <w:noProof/>
                <w:webHidden/>
              </w:rPr>
              <w:instrText xml:space="preserve"> PAGEREF _Toc36476371 \h </w:instrText>
            </w:r>
            <w:r>
              <w:rPr>
                <w:noProof/>
                <w:webHidden/>
              </w:rPr>
            </w:r>
            <w:r>
              <w:rPr>
                <w:noProof/>
                <w:webHidden/>
              </w:rPr>
              <w:fldChar w:fldCharType="separate"/>
            </w:r>
            <w:r>
              <w:rPr>
                <w:noProof/>
                <w:webHidden/>
              </w:rPr>
              <w:t>3</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2" w:history="1">
            <w:r w:rsidRPr="008C2483">
              <w:rPr>
                <w:rStyle w:val="Hyperlink"/>
                <w:noProof/>
              </w:rPr>
              <w:t>Dokumentation der Anwendung</w:t>
            </w:r>
            <w:r>
              <w:rPr>
                <w:noProof/>
                <w:webHidden/>
              </w:rPr>
              <w:tab/>
            </w:r>
            <w:r>
              <w:rPr>
                <w:noProof/>
                <w:webHidden/>
              </w:rPr>
              <w:fldChar w:fldCharType="begin"/>
            </w:r>
            <w:r>
              <w:rPr>
                <w:noProof/>
                <w:webHidden/>
              </w:rPr>
              <w:instrText xml:space="preserve"> PAGEREF _Toc36476372 \h </w:instrText>
            </w:r>
            <w:r>
              <w:rPr>
                <w:noProof/>
                <w:webHidden/>
              </w:rPr>
            </w:r>
            <w:r>
              <w:rPr>
                <w:noProof/>
                <w:webHidden/>
              </w:rPr>
              <w:fldChar w:fldCharType="separate"/>
            </w:r>
            <w:r>
              <w:rPr>
                <w:noProof/>
                <w:webHidden/>
              </w:rPr>
              <w:t>4</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3" w:history="1">
            <w:r w:rsidRPr="008C2483">
              <w:rPr>
                <w:rStyle w:val="Hyperlink"/>
                <w:noProof/>
              </w:rPr>
              <w:t>UML-Diagramm</w:t>
            </w:r>
            <w:r>
              <w:rPr>
                <w:noProof/>
                <w:webHidden/>
              </w:rPr>
              <w:tab/>
            </w:r>
            <w:r>
              <w:rPr>
                <w:noProof/>
                <w:webHidden/>
              </w:rPr>
              <w:fldChar w:fldCharType="begin"/>
            </w:r>
            <w:r>
              <w:rPr>
                <w:noProof/>
                <w:webHidden/>
              </w:rPr>
              <w:instrText xml:space="preserve"> PAGEREF _Toc36476373 \h </w:instrText>
            </w:r>
            <w:r>
              <w:rPr>
                <w:noProof/>
                <w:webHidden/>
              </w:rPr>
            </w:r>
            <w:r>
              <w:rPr>
                <w:noProof/>
                <w:webHidden/>
              </w:rPr>
              <w:fldChar w:fldCharType="separate"/>
            </w:r>
            <w:r>
              <w:rPr>
                <w:noProof/>
                <w:webHidden/>
              </w:rPr>
              <w:t>5</w:t>
            </w:r>
            <w:r>
              <w:rPr>
                <w:noProof/>
                <w:webHidden/>
              </w:rPr>
              <w:fldChar w:fldCharType="end"/>
            </w:r>
          </w:hyperlink>
        </w:p>
        <w:p w:rsidR="008B08FC" w:rsidRDefault="008B08FC">
          <w:pPr>
            <w:pStyle w:val="Verzeichnis1"/>
            <w:tabs>
              <w:tab w:val="right" w:leader="dot" w:pos="9062"/>
            </w:tabs>
            <w:rPr>
              <w:noProof/>
              <w:sz w:val="22"/>
              <w:szCs w:val="22"/>
              <w:lang w:eastAsia="de-DE"/>
            </w:rPr>
          </w:pPr>
          <w:hyperlink w:anchor="_Toc36476374" w:history="1">
            <w:r w:rsidRPr="008C2483">
              <w:rPr>
                <w:rStyle w:val="Hyperlink"/>
                <w:noProof/>
              </w:rPr>
              <w:t>Lastenheft</w:t>
            </w:r>
            <w:r>
              <w:rPr>
                <w:noProof/>
                <w:webHidden/>
              </w:rPr>
              <w:tab/>
            </w:r>
            <w:r>
              <w:rPr>
                <w:noProof/>
                <w:webHidden/>
              </w:rPr>
              <w:fldChar w:fldCharType="begin"/>
            </w:r>
            <w:r>
              <w:rPr>
                <w:noProof/>
                <w:webHidden/>
              </w:rPr>
              <w:instrText xml:space="preserve"> PAGEREF _Toc36476374 \h </w:instrText>
            </w:r>
            <w:r>
              <w:rPr>
                <w:noProof/>
                <w:webHidden/>
              </w:rPr>
            </w:r>
            <w:r>
              <w:rPr>
                <w:noProof/>
                <w:webHidden/>
              </w:rPr>
              <w:fldChar w:fldCharType="separate"/>
            </w:r>
            <w:r>
              <w:rPr>
                <w:noProof/>
                <w:webHidden/>
              </w:rPr>
              <w:t>6</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proofErr w:type="spellStart"/>
            <w:r>
              <w:rPr>
                <w:rFonts w:ascii="Arial" w:hAnsi="Arial" w:cs="Arial"/>
                <w:sz w:val="20"/>
                <w:szCs w:val="20"/>
              </w:rPr>
              <w:t>Nickname</w:t>
            </w:r>
            <w:proofErr w:type="spellEnd"/>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Name des Spielercharakters. Dieser ist, im Gegensatz zu dem Namen des Accounts des jeweiligen Users, für andere Teilnehmer an dieser Session frei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xml:space="preserve">// code </w:t>
      </w:r>
      <w:proofErr w:type="spellStart"/>
      <w:r w:rsidRPr="009C378A">
        <w:rPr>
          <w:rFonts w:ascii="Courier New" w:eastAsia="Times New Roman" w:hAnsi="Courier New" w:cs="Courier New"/>
          <w:i/>
          <w:iCs/>
          <w:color w:val="408080"/>
          <w:lang w:eastAsia="de-DE"/>
        </w:rPr>
        <w:t>follows</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here</w:t>
      </w:r>
      <w:proofErr w:type="spellEnd"/>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C</w:t>
      </w:r>
      <w:proofErr w:type="spellStart"/>
      <w:r w:rsidR="00243750">
        <w:t>onfluence</w:t>
      </w:r>
      <w:proofErr w:type="spellEnd"/>
      <w:r w:rsidR="00EF207D">
        <w:t xml:space="preserve"> </w:t>
      </w:r>
      <w:r>
        <w:t>dokumentiert</w:t>
      </w:r>
      <w:r w:rsidR="00EF207D">
        <w:t>.</w:t>
      </w:r>
    </w:p>
    <w:p w:rsidR="005B6D3A" w:rsidRPr="005C59DF" w:rsidRDefault="005B6D3A" w:rsidP="005B6D3A">
      <w:pPr>
        <w:spacing w:line="276" w:lineRule="auto"/>
        <w:rPr>
          <w:rFonts w:ascii="Arial" w:hAnsi="Arial" w:cs="Arial"/>
          <w:sz w:val="22"/>
          <w:szCs w:val="22"/>
        </w:rPr>
      </w:pPr>
      <w:r w:rsidRPr="005C59DF">
        <w:br w:type="page"/>
      </w:r>
      <w:bookmarkStart w:id="4" w:name="_GoBack"/>
      <w:bookmarkEnd w:id="4"/>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4025766" cy="16002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1">
                      <a:extLst>
                        <a:ext uri="{28A0092B-C50C-407E-A947-70E740481C1C}">
                          <a14:useLocalDpi xmlns:a14="http://schemas.microsoft.com/office/drawing/2010/main" val="0"/>
                        </a:ext>
                      </a:extLst>
                    </a:blip>
                    <a:stretch>
                      <a:fillRect/>
                    </a:stretch>
                  </pic:blipFill>
                  <pic:spPr>
                    <a:xfrm>
                      <a:off x="0" y="0"/>
                      <a:ext cx="4074632" cy="1619624"/>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AB4E5C" w:rsidP="00AB4E5C">
            <w:pPr>
              <w:pStyle w:val="Listenabsatz"/>
              <w:numPr>
                <w:ilvl w:val="0"/>
                <w:numId w:val="6"/>
              </w:numPr>
              <w:rPr>
                <w:rFonts w:ascii="Arial" w:hAnsi="Arial" w:cs="Arial"/>
                <w:sz w:val="20"/>
                <w:szCs w:val="20"/>
              </w:rPr>
            </w:pPr>
            <w:proofErr w:type="spellStart"/>
            <w:r>
              <w:rPr>
                <w:rFonts w:ascii="Arial" w:hAnsi="Arial" w:cs="Arial"/>
                <w:sz w:val="20"/>
                <w:szCs w:val="20"/>
              </w:rPr>
              <w:t>Nickname</w:t>
            </w:r>
            <w:proofErr w:type="spellEnd"/>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63E" w:rsidRDefault="0017463E" w:rsidP="00250345">
      <w:pPr>
        <w:spacing w:after="0" w:line="240" w:lineRule="auto"/>
      </w:pPr>
      <w:r>
        <w:separator/>
      </w:r>
    </w:p>
  </w:endnote>
  <w:endnote w:type="continuationSeparator" w:id="0">
    <w:p w:rsidR="0017463E" w:rsidRDefault="0017463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63E" w:rsidRDefault="0017463E" w:rsidP="00250345">
      <w:pPr>
        <w:spacing w:after="0" w:line="240" w:lineRule="auto"/>
      </w:pPr>
      <w:r>
        <w:separator/>
      </w:r>
    </w:p>
  </w:footnote>
  <w:footnote w:type="continuationSeparator" w:id="0">
    <w:p w:rsidR="0017463E" w:rsidRDefault="0017463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7463E"/>
    <w:rsid w:val="00183E5D"/>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751A8"/>
    <w:rsid w:val="00AB4E5C"/>
    <w:rsid w:val="00B303C2"/>
    <w:rsid w:val="00B57959"/>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4764"/>
    <w:rsid w:val="00EF207D"/>
    <w:rsid w:val="00F14C19"/>
    <w:rsid w:val="00F16BC6"/>
    <w:rsid w:val="00F20A67"/>
    <w:rsid w:val="00F34885"/>
    <w:rsid w:val="00F57666"/>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1E23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D6897FB5-00BD-46B2-BAA4-4C3A361B6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1653</Words>
  <Characters>10418</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55</cp:revision>
  <dcterms:created xsi:type="dcterms:W3CDTF">2020-03-30T10:12:00Z</dcterms:created>
  <dcterms:modified xsi:type="dcterms:W3CDTF">2020-03-30T14:00:00Z</dcterms:modified>
</cp:coreProperties>
</file>