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sz w:val="48"/>
          <w:szCs w:val="48"/>
        </w:rPr>
      </w:pPr>
      <w:r w:rsidDel="00000000" w:rsidR="00000000" w:rsidRPr="00000000">
        <w:rPr>
          <w:sz w:val="32"/>
          <w:szCs w:val="32"/>
          <w:rtl w:val="0"/>
        </w:rPr>
        <w:t xml:space="preserve">Groupe 6:</w:t>
      </w:r>
      <w:r w:rsidDel="00000000" w:rsidR="00000000" w:rsidRPr="00000000">
        <w:rPr>
          <w:sz w:val="24"/>
          <w:szCs w:val="24"/>
          <w:rtl w:val="0"/>
        </w:rPr>
        <w:tab/>
      </w:r>
      <w:r w:rsidDel="00000000" w:rsidR="00000000" w:rsidRPr="00000000">
        <w:rPr>
          <w:sz w:val="48"/>
          <w:szCs w:val="48"/>
          <w:rtl w:val="0"/>
        </w:rPr>
        <w:tab/>
        <w:tab/>
        <w:tab/>
      </w:r>
      <w:r w:rsidDel="00000000" w:rsidR="00000000" w:rsidRPr="00000000">
        <w:rPr>
          <w:sz w:val="64"/>
          <w:szCs w:val="64"/>
          <w:rtl w:val="0"/>
        </w:rPr>
        <w:t xml:space="preserve">Compte rendu :</w:t>
      </w:r>
      <w:r w:rsidDel="00000000" w:rsidR="00000000" w:rsidRPr="00000000">
        <w:rPr>
          <w:rtl w:val="0"/>
        </w:rPr>
      </w:r>
    </w:p>
    <w:p w:rsidR="00000000" w:rsidDel="00000000" w:rsidP="00000000" w:rsidRDefault="00000000" w:rsidRPr="00000000" w14:paraId="00000002">
      <w:pPr>
        <w:jc w:val="left"/>
        <w:rPr>
          <w:sz w:val="48"/>
          <w:szCs w:val="48"/>
        </w:rPr>
      </w:pPr>
      <w:r w:rsidDel="00000000" w:rsidR="00000000" w:rsidRPr="00000000">
        <w:rPr>
          <w:sz w:val="24"/>
          <w:szCs w:val="24"/>
          <w:rtl w:val="0"/>
        </w:rPr>
        <w:t xml:space="preserve">GUEZ Quentin</w:t>
      </w:r>
      <w:r w:rsidDel="00000000" w:rsidR="00000000" w:rsidRPr="00000000">
        <w:rPr>
          <w:sz w:val="48"/>
          <w:szCs w:val="48"/>
          <w:rtl w:val="0"/>
        </w:rPr>
        <w:tab/>
        <w:tab/>
        <w:tab/>
        <w:tab/>
      </w:r>
      <w:r w:rsidDel="00000000" w:rsidR="00000000" w:rsidRPr="00000000">
        <w:rPr>
          <w:sz w:val="64"/>
          <w:szCs w:val="64"/>
          <w:rtl w:val="0"/>
        </w:rPr>
        <w:t xml:space="preserve">Suivi 0 </w:t>
      </w: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FARDEAU Pierre</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FORNES Brendan</w:t>
      </w:r>
    </w:p>
    <w:p w:rsidR="00000000" w:rsidDel="00000000" w:rsidP="00000000" w:rsidRDefault="00000000" w:rsidRPr="00000000" w14:paraId="00000005">
      <w:pPr>
        <w:jc w:val="left"/>
        <w:rPr>
          <w:sz w:val="32"/>
          <w:szCs w:val="32"/>
        </w:rPr>
      </w:pPr>
      <w:r w:rsidDel="00000000" w:rsidR="00000000" w:rsidRPr="00000000">
        <w:rPr>
          <w:sz w:val="24"/>
          <w:szCs w:val="24"/>
          <w:rtl w:val="0"/>
        </w:rPr>
        <w:t xml:space="preserve">BUON Léa</w:t>
      </w: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sz w:val="32"/>
          <w:szCs w:val="32"/>
          <w:rtl w:val="0"/>
        </w:rPr>
        <w:tab/>
      </w:r>
      <w:r w:rsidDel="00000000" w:rsidR="00000000" w:rsidRPr="00000000">
        <w:rPr>
          <w:sz w:val="28"/>
          <w:szCs w:val="28"/>
          <w:rtl w:val="0"/>
        </w:rPr>
        <w:t xml:space="preserve">Le suivi 0 s’est tenu le mardi 05 février à 18h pour le cas de notre groupe. Tout d’abord, notre professeur tuteur de ce suivi, M. </w:t>
      </w:r>
      <w:r w:rsidDel="00000000" w:rsidR="00000000" w:rsidRPr="00000000">
        <w:rPr>
          <w:sz w:val="28"/>
          <w:szCs w:val="28"/>
          <w:rtl w:val="0"/>
        </w:rPr>
        <w:t xml:space="preserve">Ernet</w:t>
      </w:r>
      <w:r w:rsidDel="00000000" w:rsidR="00000000" w:rsidRPr="00000000">
        <w:rPr>
          <w:sz w:val="28"/>
          <w:szCs w:val="28"/>
          <w:rtl w:val="0"/>
        </w:rPr>
        <w:t xml:space="preserve"> est venu vérifier les documents que nous devions présenter pour ce suivi, et ce pour chacun des groupes présent. </w:t>
      </w: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tl w:val="0"/>
        </w:rPr>
        <w:tab/>
        <w:t xml:space="preserve">Il a validé les outils que nous avons choisi d’utiliser ainsi que le macro-planning et le tryptique PCD que nous avions commencé en TD de gestion de projet. Cependant, des réserves ont été émises lors de la validation du diagramme COQ. Il a aussi été remarqué le manque d’une légende dans notre présentation des tâches précisant notamment le ou les responsable(s) de chaque tâche. Il nous a ensuite été demandé de partager l’accès aux outils ou logiciels que nous utilisons afin de permettre aux professeurs responsables de suivre notre projet au cours de son développement. Enfin, un compte rendu résumant l’utilisation de l’outil de gestion de projet sera à réaliser à la fin de ce projet.</w:t>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sz w:val="28"/>
          <w:szCs w:val="28"/>
          <w:rtl w:val="0"/>
        </w:rPr>
        <w:tab/>
        <w:t xml:space="preserve">Une fois que tous les groupes ont été validés, nous avons pu poser des questions sur le fonctionnement de l’application chacun à notre tour. Les éléments que nous avons trouvé important de noter sont listés ci-dessous :</w:t>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 des identifiants de connexion ne sont pas nécessaire</w:t>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 l’application est multi plateforme</w:t>
      </w:r>
    </w:p>
    <w:p w:rsidR="00000000" w:rsidDel="00000000" w:rsidP="00000000" w:rsidRDefault="00000000" w:rsidRPr="00000000" w14:paraId="0000000E">
      <w:pPr>
        <w:jc w:val="left"/>
        <w:rPr>
          <w:sz w:val="28"/>
          <w:szCs w:val="28"/>
        </w:rPr>
      </w:pPr>
      <w:r w:rsidDel="00000000" w:rsidR="00000000" w:rsidRPr="00000000">
        <w:rPr>
          <w:sz w:val="28"/>
          <w:szCs w:val="28"/>
          <w:rtl w:val="0"/>
        </w:rPr>
        <w:t xml:space="preserve">- le nombre d’écoute n’est pas limité excepté dans le mode examen</w:t>
      </w:r>
    </w:p>
    <w:p w:rsidR="00000000" w:rsidDel="00000000" w:rsidP="00000000" w:rsidRDefault="00000000" w:rsidRPr="00000000" w14:paraId="0000000F">
      <w:pPr>
        <w:jc w:val="left"/>
        <w:rPr>
          <w:sz w:val="28"/>
          <w:szCs w:val="28"/>
        </w:rPr>
      </w:pPr>
      <w:r w:rsidDel="00000000" w:rsidR="00000000" w:rsidRPr="00000000">
        <w:rPr>
          <w:sz w:val="28"/>
          <w:szCs w:val="28"/>
          <w:rtl w:val="0"/>
        </w:rPr>
        <w:t xml:space="preserve">- le bouton solution est toujours présent sauf en mode examen et permet l’accès à la solution de la section correspondante</w:t>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 l’ajout de raccourcis clavier est préconisé</w:t>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 les données enregistrées contiennent le texte, l’aide ainsi que les options incluses avec l’exercice</w:t>
      </w:r>
    </w:p>
    <w:p w:rsidR="00000000" w:rsidDel="00000000" w:rsidP="00000000" w:rsidRDefault="00000000" w:rsidRPr="00000000" w14:paraId="00000012">
      <w:pPr>
        <w:jc w:val="left"/>
        <w:rPr>
          <w:sz w:val="28"/>
          <w:szCs w:val="28"/>
        </w:rPr>
      </w:pPr>
      <w:r w:rsidDel="00000000" w:rsidR="00000000" w:rsidRPr="00000000">
        <w:rPr>
          <w:sz w:val="28"/>
          <w:szCs w:val="28"/>
          <w:rtl w:val="0"/>
        </w:rPr>
        <w:t xml:space="preserve">- il n’y a pas de reconnaissance en milieu de mot</w:t>
      </w:r>
    </w:p>
    <w:p w:rsidR="00000000" w:rsidDel="00000000" w:rsidP="00000000" w:rsidRDefault="00000000" w:rsidRPr="00000000" w14:paraId="00000013">
      <w:pPr>
        <w:jc w:val="left"/>
        <w:rPr>
          <w:sz w:val="28"/>
          <w:szCs w:val="28"/>
        </w:rPr>
      </w:pPr>
      <w:r w:rsidDel="00000000" w:rsidR="00000000" w:rsidRPr="00000000">
        <w:rPr>
          <w:sz w:val="28"/>
          <w:szCs w:val="28"/>
          <w:rtl w:val="0"/>
        </w:rPr>
        <w:t xml:space="preserve">- en mode examen, le compteur de faute n’est pas affiché</w:t>
      </w:r>
    </w:p>
    <w:p w:rsidR="00000000" w:rsidDel="00000000" w:rsidP="00000000" w:rsidRDefault="00000000" w:rsidRPr="00000000" w14:paraId="00000014">
      <w:pPr>
        <w:jc w:val="left"/>
        <w:rPr>
          <w:sz w:val="28"/>
          <w:szCs w:val="28"/>
        </w:rPr>
      </w:pPr>
      <w:r w:rsidDel="00000000" w:rsidR="00000000" w:rsidRPr="00000000">
        <w:rPr>
          <w:sz w:val="28"/>
          <w:szCs w:val="28"/>
          <w:rtl w:val="0"/>
        </w:rPr>
        <w:t xml:space="preserve">- il peut être judicieux de démarrer le chronomètre au moment du démarrage de la lecture du document</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