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李娜妮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2018-12-4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做了1年交互设计师，专业电子信息工程（中国传媒大学），目前gap中，申请美国交互设计专业。有6/7个月的学习时间，明年9月去读书。想做有挑战性的工作，自己认为的和实际的还是有差距。如果转行成功，就留在国内工作，做数据分析师。今年6月开始关注优达数据分析，终极目标是做数据科学家。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每天有6-10小时的学习时间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python和sql选择的都是自己确定的，选了“我不知道的”就是不知道，不大懂编程，只有一点点语法的了解，没有真正编过。概率那块儿的比较模糊。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一半一半，两种方式自己都挺依赖。沟通偏多。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求职/转岗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互联网公司（没有细分领域）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继续留在北京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四五月份找工作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是否已有明确的意向岗位（JD？）：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数据岗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原来学了产品设计，做熟悉之后觉得与自己的预期差距较大，数据岗是自己做设计的时候发现的，产生了浓厚的兴趣，特别喜欢。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优势：兴趣浓厚、时间充裕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劣势：比较担心python觉得是一个比较大的挑战，但自己特别想学好。有拖延症，需要被push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