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B5D19B3" w14:textId="77777777" w:rsidR="003E070E" w:rsidRPr="00A36100" w:rsidRDefault="003E070E" w:rsidP="003E070E">
      <w:pPr>
        <w:pStyle w:val="Body"/>
        <w:jc w:val="both"/>
      </w:pPr>
      <w:r w:rsidRPr="00A36100">
        <w:t xml:space="preserve">We </w:t>
      </w:r>
      <w:r>
        <w:t xml:space="preserve">constructed </w:t>
      </w:r>
      <w:r w:rsidRPr="00A36100">
        <w:t xml:space="preserve">a literature-based, minimal protein network model </w:t>
      </w:r>
      <w:r>
        <w:t>with the goal of</w:t>
      </w:r>
      <w:r w:rsidRPr="00A36100">
        <w:t xml:space="preserve"> captur</w:t>
      </w:r>
      <w:r>
        <w:t>ing</w:t>
      </w:r>
      <w:r w:rsidRPr="00A36100">
        <w:t xml:space="preserve"> the heterogeneous cell response seen in our experiments. Overall, this work examines whether our current understanding of the cellular signaling network can be used to evaluate and predict tumor growth and treatment response. Whether a tumor will grow or shrink ultimately depends on the distribution of decisions </w:t>
      </w:r>
      <w:r>
        <w:t>by</w:t>
      </w:r>
      <w:r w:rsidRPr="00A36100">
        <w:t xml:space="preserve"> the </w:t>
      </w:r>
      <w:r>
        <w:t>population</w:t>
      </w:r>
      <w:r w:rsidRPr="00A36100">
        <w:t xml:space="preserve"> of cells to either continue dividing, die, or enter quiescence. To gain a better understanding of how heterogeneity in cell fate decision is linked to the underlying protein signaling network, we propose a simplified model of the process. </w:t>
      </w:r>
      <w:r>
        <w:t>W</w:t>
      </w:r>
      <w:r w:rsidRPr="00A36100">
        <w:t>hen designing our model</w:t>
      </w:r>
      <w:r>
        <w:t>,</w:t>
      </w:r>
      <w:r w:rsidRPr="00A36100">
        <w:t xml:space="preserve"> we </w:t>
      </w:r>
      <w:r>
        <w:t>highlight</w:t>
      </w:r>
      <w:r w:rsidRPr="00A36100">
        <w:t xml:space="preserve"> several important features. We have chosen to focus on the fate decision process that directs a cell into mitosis or apoptosis. </w:t>
      </w:r>
      <w:r>
        <w:t>However, t</w:t>
      </w:r>
      <w:r w:rsidRPr="00A36100">
        <w:t xml:space="preserve">he entirety of the process is complex and not fully known. First, it was necessary for our model to be able to integrate external signals through receptor tyrosine kinases (RTKs) and integrin. Both are canonical signaling axes that drive AKT and ERK activation. Second, we needed to include modules to incorporate cell death and division. Third, </w:t>
      </w:r>
      <w:r>
        <w:t>we needed to r</w:t>
      </w:r>
      <w:r w:rsidRPr="00A36100">
        <w:t>eturn population dynamics and capture stochastic features</w:t>
      </w:r>
      <w:r>
        <w:t xml:space="preserve"> to</w:t>
      </w:r>
      <w:r w:rsidRPr="00A36100">
        <w:t xml:space="preserve"> </w:t>
      </w:r>
      <w:r>
        <w:t>l</w:t>
      </w:r>
      <w:r w:rsidRPr="00A36100">
        <w:t>ink protein network signaling to cell population</w:t>
      </w:r>
      <w:r>
        <w:t xml:space="preserve">. </w:t>
      </w:r>
      <w:r w:rsidRPr="00A36100">
        <w:t xml:space="preserve">The model is purposefully simple to focus on network structure and behavior. As a starting point, we have simplified </w:t>
      </w:r>
      <w:r>
        <w:t xml:space="preserve">the </w:t>
      </w:r>
      <w:r w:rsidRPr="00A36100">
        <w:t xml:space="preserve">signaling upstream of mitosis, and instead </w:t>
      </w:r>
      <w:r>
        <w:t>implement</w:t>
      </w:r>
      <w:r w:rsidRPr="00A36100">
        <w:t xml:space="preserve"> a mapping of cell surface molecules to AKT and ERK activation levels. In our simplified model, AKT and ERK signaling set the threshold for fate decision. </w:t>
      </w:r>
    </w:p>
    <w:p w14:paraId="61FC2D1A" w14:textId="63967582" w:rsidR="00AB365A" w:rsidRDefault="003E070E" w:rsidP="003E070E">
      <w:pPr>
        <w:ind w:firstLine="360"/>
        <w:jc w:val="both"/>
      </w:pPr>
      <w:r>
        <w:t>In this chapter,</w:t>
      </w:r>
      <w:r w:rsidRPr="00A36100">
        <w:t xml:space="preserve"> we present an overview of the signaling pathway as a review for our model, highlighting important caveats of our approach and highlighting the complexity of the cellular signaling network. Building on the design principles laid out by </w:t>
      </w:r>
      <w:proofErr w:type="spellStart"/>
      <w:r w:rsidRPr="00A36100">
        <w:t>Goldbeter</w:t>
      </w:r>
      <w:proofErr w:type="spellEnd"/>
      <w:r w:rsidRPr="00A36100">
        <w:t>, we use a similar framework to model the cellular decision between division, apoptosis, and quiescence</w:t>
      </w:r>
      <w:r>
        <w:t xml:space="preserve"> </w:t>
      </w:r>
      <w:r>
        <w:fldChar w:fldCharType="begin" w:fldLock="1"/>
      </w:r>
      <w:r>
        <w:instrText>ADDIN CSL_CITATION {"citationItems":[{"id":"ITEM-1","itemData":{"DOI":"10.1098/rsfs.2010.0008","ISBN":"2042-8901 (Electronic)\\r2042-8898 (Linking)","ISSN":"2042-8898","PMID":"22419972","abstract":"We previously proposed a detailed, 39-variable model for the network of cyclin-dependent kinases (Cdks) that controls progression along the successive phases of the mammalian cell cycle. Here, we propose a skeleton, 5-variable model for the Cdk network that can be seen as the backbone of the more detailed model for the mammalian cell cycle. In the presence of sufficient amounts of growth factor, the skeleton model also passes from a stable steady state to sustained oscillations of the various cyclin/Cdk complexes. This transition corresponds to the switch from quiescence to cell proliferation. Sequential activation of the cyclin/Cdk complexes allows the ordered progression along the G1, S, G2 and M phases of the cell cycle. The 5-variable model can also account for the existence of a restriction point in G1, and for endoreplication. Like the detailed model, it contains multiple oscillatory circuits and can display complex oscillatory behaviour such as quasi-periodic oscillations and chaos. We compare the dynamical properties of the skeleton model with those of the more detailed model for the mammalian cell cycle.","author":[{"dropping-particle":"","family":"Gerard","given":"C.","non-dropping-particle":"","parse-names":false,"suffix":""},{"dropping-particle":"","family":"Goldbeter","given":"Albert","non-dropping-particle":"","parse-names":false,"suffix":""}],"container-title":"Interface Focus","id":"ITEM-1","issue":"1","issued":{"date-parts":[["2011"]]},"page":"24-35","title":"A skeleton model for the network of cyclin-dependent kinases driving the mammalian cell cycle","type":"article-journal","volume":"1"},"uris":["http://www.mendeley.com/documents/?uuid=280af4f8-85f9-3528-88eb-a124f3ee6f3f"]}],"mendeley":{"formattedCitation":"[56]","plainTextFormattedCitation":"[56]","previouslyFormattedCitation":"[56]"},"properties":{"noteIndex":0},"schema":"https://github.com/citation-style-language/schema/raw/master/csl-citation.json"}</w:instrText>
      </w:r>
      <w:r>
        <w:fldChar w:fldCharType="separate"/>
      </w:r>
      <w:r w:rsidRPr="00836B29">
        <w:rPr>
          <w:noProof/>
        </w:rPr>
        <w:t>[56]</w:t>
      </w:r>
      <w:r>
        <w:fldChar w:fldCharType="end"/>
      </w:r>
      <w:r w:rsidRPr="00A36100">
        <w:t xml:space="preserve">. The model contains three modules: the mitosis module positioned around the cyclin network, a simple </w:t>
      </w:r>
      <w:r w:rsidRPr="00A36100">
        <w:lastRenderedPageBreak/>
        <w:t xml:space="preserve">apoptosis switch, and </w:t>
      </w:r>
      <w:r>
        <w:t xml:space="preserve">a component that integrates </w:t>
      </w:r>
      <w:r w:rsidRPr="00A36100">
        <w:t>the signal transduction network from external cues</w:t>
      </w:r>
      <w:r>
        <w:t xml:space="preserve"> (Figure 3.1)</w:t>
      </w:r>
      <w:r w:rsidRPr="00A36100">
        <w:t xml:space="preserve">. </w:t>
      </w:r>
      <w:r>
        <w:t>This system allows us to ask: W</w:t>
      </w:r>
      <w:r w:rsidRPr="00A36100">
        <w:t>hat does the topology of the signaling network tell us? What types of cellular phenomena can be captured with a simple model</w:t>
      </w:r>
      <w:r>
        <w:t>?</w:t>
      </w:r>
      <w:r w:rsidRPr="00A36100">
        <w:t xml:space="preserve"> </w:t>
      </w:r>
      <w:r>
        <w:t>W</w:t>
      </w:r>
      <w:r w:rsidRPr="00A36100">
        <w:t>here do we need to add more complexity?</w:t>
      </w:r>
      <w:r>
        <w:t xml:space="preserve"> Finally, we can probe the model to gain insight into expected cancer cell behavior and potential mechanisms thereof. </w:t>
      </w:r>
    </w:p>
    <w:p w14:paraId="5458F610" w14:textId="77777777" w:rsidR="003E070E" w:rsidRPr="003E070E" w:rsidRDefault="003E070E" w:rsidP="003E070E">
      <w:pPr>
        <w:numPr>
          <w:ilvl w:val="1"/>
          <w:numId w:val="0"/>
        </w:numPr>
        <w:ind w:left="576" w:hanging="576"/>
        <w:contextualSpacing/>
        <w:jc w:val="left"/>
        <w:outlineLvl w:val="1"/>
        <w:rPr>
          <w:b/>
          <w:bCs w:val="0"/>
        </w:rPr>
      </w:pPr>
      <w:bookmarkStart w:id="0" w:name="_Toc49318297"/>
      <w:r w:rsidRPr="003E070E">
        <w:rPr>
          <w:b/>
          <w:bCs w:val="0"/>
        </w:rPr>
        <w:t>Signal transduction network</w:t>
      </w:r>
      <w:bookmarkEnd w:id="0"/>
    </w:p>
    <w:p w14:paraId="73E4958E" w14:textId="77777777" w:rsidR="003E070E" w:rsidRPr="003E070E" w:rsidRDefault="003E070E" w:rsidP="003E070E">
      <w:pPr>
        <w:ind w:firstLine="360"/>
        <w:jc w:val="both"/>
      </w:pPr>
      <w:r w:rsidRPr="003E070E">
        <w:t xml:space="preserve">Our goal is to connect cell surface signaling to cell fate decision. The cell surface contains a multitude of proteins that allow the cell to sense its surroundings. The microenvironment has been shown to have a significant effect, both in our studies and prior work, on cell behavior and tumor treatment response. However, modeling the full transduction network is outside the scope of this project and the capability of our stochastic technique. Understanding the signal transduction network and its feedback has its own set of challenges. In the current study, we have chosen to map RTK expression and signaling directly to AKT and ERK activation levels. However, we offer a brief review of the pathway from receptor to AKT and ERK activation. Regardless of mechanism, both integrins and RTKs signal through AKT and ERK. These signaling axes are major signaling nodes within the cell. The idea is part of an emerging theory of so-called “bow-tie” signaling that represents a characteristic feature of robust, evolvable systems </w:t>
      </w:r>
      <w:r w:rsidRPr="003E070E">
        <w:fldChar w:fldCharType="begin" w:fldLock="1"/>
      </w:r>
      <w:r w:rsidRPr="003E070E">
        <w:instrText>ADDIN CSL_CITATION {"citationItems":[{"id":"ITEM-1","itemData":{"DOI":"10.1371/journal.pcbi.1004055","ISSN":"15537358","PMID":"25798588","abstract":"Bow-tie or hourglass structure is a common architectural feature found in many biological systems. A bow-tie in a multi-layered structure occurs when intermediate layers have much fewer components than the input and output layers. Examples include metabolism where a handful of building blocks mediate between multiple input nutrients and multiple output biomass components, and signaling networks where information from numerous receptor types passes through a small set of signaling pathways to regulate multiple output genes. Little is known, however, about how bow-tie architectures evolve. Here, we address the evolution of bow-tie architectures using simulations of multi-layered systems evolving to fulfill a given input-output goal. We find that bow-ties spontaneously evolve when the information in the evolutionary goal can be compressed. Mathematically speaking, bow-ties evolve when the rank of the input-output matrix describing the evolutionary goal is deficient. The maximal compression possible (the rank of the goal) determines the size of the narrowest part of the network—that is the bow-tie. A further requirement is that a process is active to reduce the number of links in the network, such as product-rule mutations, otherwise a non-bow-tie solution is found in the evolutionary simulations. This offers a mechanism to understand a common architectural principle of biological systems, and a way to quantitate the effective rank of the goals under which they evolved.","author":[{"dropping-particle":"","family":"Friedlander","given":"Tamar","non-dropping-particle":"","parse-names":false,"suffix":""},{"dropping-particle":"","family":"Mayo","given":"Avraham E.","non-dropping-particle":"","parse-names":false,"suffix":""},{"dropping-particle":"","family":"Tlusty","given":"Tsvi","non-dropping-particle":"","parse-names":false,"suffix":""},{"dropping-particle":"","family":"Alon","given":"Uri","non-dropping-particle":"","parse-names":false,"suffix":""}],"container-title":"PLoS Computational Biology","id":"ITEM-1","issued":{"date-parts":[["2015"]]},"title":"Evolution of Bow-Tie Architectures in Biology","type":"article-journal"},"uris":["http://www.mendeley.com/documents/?uuid=5e3b964a-cf5f-4133-ab6b-6933920efdbc"]}],"mendeley":{"formattedCitation":"[62]","plainTextFormattedCitation":"[62]","previouslyFormattedCitation":"[62]"},"properties":{"noteIndex":0},"schema":"https://github.com/citation-style-language/schema/raw/master/csl-citation.json"}</w:instrText>
      </w:r>
      <w:r w:rsidRPr="003E070E">
        <w:fldChar w:fldCharType="separate"/>
      </w:r>
      <w:r w:rsidRPr="003E070E">
        <w:rPr>
          <w:noProof/>
        </w:rPr>
        <w:t>[62]</w:t>
      </w:r>
      <w:r w:rsidRPr="003E070E">
        <w:fldChar w:fldCharType="end"/>
      </w:r>
      <w:r w:rsidRPr="003E070E">
        <w:t xml:space="preserve">. The amount of plasticity afforded to the signaling network from RTKs and integrins is considerable. </w:t>
      </w:r>
    </w:p>
    <w:p w14:paraId="234A6F4F" w14:textId="77777777" w:rsidR="003E070E" w:rsidRPr="003E070E" w:rsidRDefault="003E070E" w:rsidP="003E070E">
      <w:pPr>
        <w:jc w:val="both"/>
      </w:pPr>
    </w:p>
    <w:p w14:paraId="799CF3F3" w14:textId="77777777" w:rsidR="003E070E" w:rsidRPr="003E070E" w:rsidRDefault="003E070E" w:rsidP="003E070E">
      <w:pPr>
        <w:numPr>
          <w:ilvl w:val="2"/>
          <w:numId w:val="0"/>
        </w:numPr>
        <w:ind w:left="720" w:hanging="720"/>
        <w:contextualSpacing/>
        <w:jc w:val="left"/>
        <w:outlineLvl w:val="2"/>
        <w:rPr>
          <w:b/>
          <w:bCs w:val="0"/>
        </w:rPr>
      </w:pPr>
      <w:bookmarkStart w:id="1" w:name="_Toc49318298"/>
      <w:r w:rsidRPr="003E070E">
        <w:rPr>
          <w:b/>
          <w:bCs w:val="0"/>
        </w:rPr>
        <w:t>Receptor tyrosine kinases (RTKs)</w:t>
      </w:r>
      <w:bookmarkEnd w:id="1"/>
    </w:p>
    <w:p w14:paraId="1547B1B5" w14:textId="77777777" w:rsidR="003E070E" w:rsidRPr="003E070E" w:rsidRDefault="003E070E" w:rsidP="003E070E">
      <w:pPr>
        <w:ind w:firstLine="360"/>
        <w:jc w:val="both"/>
      </w:pPr>
      <w:r w:rsidRPr="003E070E">
        <w:t xml:space="preserve">RTKs represent an important class of proteins within oncogene-addicted cancers. The receptor family is often overexpressed or possesses activating mutations, leading to disease progression. This cancer subclass derives its name from the apparent reliance on oncogene signaling for </w:t>
      </w:r>
      <w:r w:rsidRPr="003E070E">
        <w:lastRenderedPageBreak/>
        <w:t xml:space="preserve">continued survival. In this study, we focus on two of the receptors from the RTK family: hepatocyte growth factor receptor (HGFR or cMet) and EGFR (or ErbB1 or Her1). RTKs have similar molecular architecture with a single transmembrane helix that connects an extracellular ligand binding domain to an intracellular, conserved protein tyrosine kinase (PTK) domain </w:t>
      </w:r>
      <w:r w:rsidRPr="003E070E">
        <w:fldChar w:fldCharType="begin" w:fldLock="1"/>
      </w:r>
      <w:r w:rsidRPr="003E070E">
        <w:instrText>ADDIN CSL_CITATION {"citationItems":[{"id":"ITEM-1","itemData":{"DOI":"10.1016/j.cell.2010.06.011","ISBN":"1097-4172 (Electronic) 0092-8674 (Linking)","ISSN":"00928674","PMID":"20602996","abstract":"Recent structural studies of receptor tyrosine kinases (RTKs) have revealed unexpected diversity in the mechanisms of their activation by growth factor ligands. Strategies for inducing dimerization by ligand binding are surprisingly diverse, as are mechanisms that couple this event to activation of the intracellular tyrosine kinase domains. As our understanding of these details becomes increasingly sophisticated, it provides an important context for therapeutically countering the effects of pathogenic RTK mutations in cancer and other diseases. Much remains to be learned, however, about the complex signaling networks downstream from RTKs and how alterations in these networks are translated into cellular responses. © 2010 Elsevier Inc.","author":[{"dropping-particle":"","family":"Lemmon","given":"Mark A.","non-dropping-particle":"","parse-names":false,"suffix":""},{"dropping-particle":"","family":"Schlessinger","given":"Joseph","non-dropping-particle":"","parse-names":false,"suffix":""}],"container-title":"Cell","id":"ITEM-1","issued":{"date-parts":[["2010"]]},"title":"Cell signaling by receptor tyrosine kinases","type":"article"},"uris":["http://www.mendeley.com/documents/?uuid=a8fd6a56-ef50-43f0-9d1d-837ed092857c"]}],"mendeley":{"formattedCitation":"[63]","plainTextFormattedCitation":"[63]","previouslyFormattedCitation":"[63]"},"properties":{"noteIndex":0},"schema":"https://github.com/citation-style-language/schema/raw/master/csl-citation.json"}</w:instrText>
      </w:r>
      <w:r w:rsidRPr="003E070E">
        <w:fldChar w:fldCharType="separate"/>
      </w:r>
      <w:r w:rsidRPr="003E070E">
        <w:rPr>
          <w:noProof/>
        </w:rPr>
        <w:t>[63]</w:t>
      </w:r>
      <w:r w:rsidRPr="003E070E">
        <w:fldChar w:fldCharType="end"/>
      </w:r>
      <w:r w:rsidRPr="003E070E">
        <w:t>. Upon ligand binding, the receptor can either homo- or heterodimerize with subsequent tyrosine autophosphorylation. Both cMet and EGFR have shown the capability to signal through the same pathways, ultimately activating both AKT and ERK.</w:t>
      </w:r>
    </w:p>
    <w:p w14:paraId="7A792D1D" w14:textId="77777777" w:rsidR="003E070E" w:rsidRPr="003E070E" w:rsidRDefault="003E070E" w:rsidP="003E070E">
      <w:pPr>
        <w:ind w:firstLine="360"/>
        <w:jc w:val="both"/>
      </w:pPr>
      <w:r w:rsidRPr="003E070E">
        <w:t xml:space="preserve">The </w:t>
      </w:r>
      <w:proofErr w:type="spellStart"/>
      <w:r w:rsidRPr="003E070E">
        <w:t>ErbB</w:t>
      </w:r>
      <w:proofErr w:type="spellEnd"/>
      <w:r w:rsidRPr="003E070E">
        <w:t xml:space="preserve"> family consists of four different members that are structurally similar. We focus on EGFR as it is often mutated in NSCLC. The cytoplasmic domain has at minimum 20 tyrosine residues capable of phosphorylation, seven of which are autophosphorylation sites </w:t>
      </w:r>
      <w:r w:rsidRPr="003E070E">
        <w:fldChar w:fldCharType="begin" w:fldLock="1"/>
      </w:r>
      <w:r w:rsidRPr="003E070E">
        <w:instrText>ADDIN CSL_CITATION {"citationItems":[{"id":"ITEM-1","itemData":{"DOI":"10.1002/pmic.200800204","ISBN":"1615-9853","ISSN":"16159853","PMID":"18846509","abstract":"The epidermal growth factor receptor (EGFR/ErbB1/Her1) belongs to the ErbB family of receptor tyrosine kinases (RTKs) and is a key player in the regulation of cell proliferation, differentiation, survival, and migration. Overexpression and mutational changes of EGFR have been identified in a variety of human cancers and the regulation of EGFR signaling plays a critical role in tumor development and progression. Due to its biological significance the EGFR signaling network is a widely used model system for the development of analytical techniques. Novel quantitative proteomics and phosphoproteomics approaches play an important role in the characterization of signaling pathways in a time and stimulus dependent manner. Recent studies discussed in this review provide new insights into different aspects of EGFR signal transduction, such as regulation and dynamics of its phosphorylation sites, association with interaction partners and identification of regulated phosphoproteins. Correlation of data from functional proteomics studies with results from other fields of signal transduction research by systems biology will be necessary to integrate and translate these findings into successful clinical applications.","author":[{"dropping-particle":"","family":"Morandell","given":"Sandra","non-dropping-particle":"","parse-names":false,"suffix":""},{"dropping-particle":"","family":"Stasyk","given":"Taras","non-dropping-particle":"","parse-names":false,"suffix":""},{"dropping-particle":"","family":"Skvortsov","given":"Sergej","non-dropping-particle":"","parse-names":false,"suffix":""},{"dropping-particle":"","family":"Ascher","given":"Stefan","non-dropping-particle":"","parse-names":false,"suffix":""},{"dropping-particle":"","family":"Huber","given":"Lukas A.","non-dropping-particle":"","parse-names":false,"suffix":""}],"container-title":"Proteomics","id":"ITEM-1","issued":{"date-parts":[["2008"]]},"title":"Quantitative proteomics and phosphoproteomics reveal novel insights into complexity and dynamics of the EGFR signaling network","type":"article"},"uris":["http://www.mendeley.com/documents/?uuid=dec42cd6-8926-411a-8a83-37887775f1dd"]},{"id":"ITEM-2","itemData":{"DOI":"10.1016/S1097-2765(00)80231-2","ISBN":"1097-2765 (Print)\\r1097-2765 (Linking)","ISSN":"10972765","PMID":"10635327","abstract":"Receptor desensitization is accomplished by accelerated endocytosis and degradation of ligand-receptor complexes. An in vitro reconstituted system indicates that Cbl adaptor proteins directly control downregulation of the receptor for the epidermal growth factor (EGFR) by recruiting ubiquitin-activating and -conjugating enzymes. We infer a sequential process initiated by autophosphorylation of EGFR at a previously identified lysosome-targeting motif that subsequently recruits Cbl. This is followed by tyrosine phosphorylation of c-Cbl at a site flanking its RING finger, which enables receptor ubiquitination and degradation. Whereas all three members of the Cbl family can enhance ubiquitination, two oncogenic Cbl variants, whose RING fingers are defective and phosphorylation sites are missing, are unable to desensitize EGFR. Our study identifies Cbl proteins as components of the ubiquitin ligation machinery and implies that they similarly suppress many other signaling pathways.","author":[{"dropping-particle":"","family":"Levkowitz","given":"Gil","non-dropping-particle":"","parse-names":false,"suffix":""},{"dropping-particle":"","family":"Waterman","given":"Hadassa","non-dropping-particle":"","parse-names":false,"suffix":""},{"dropping-particle":"","family":"Ettenberg","given":"Seth A.","non-dropping-particle":"","parse-names":false,"suffix":""},{"dropping-particle":"","family":"Katz","given":"Menachem","non-dropping-particle":"","parse-names":false,"suffix":""},{"dropping-particle":"","family":"Tsygankov","given":"Alexander Y.","non-dropping-particle":"","parse-names":false,"suffix":""},{"dropping-particle":"","family":"Alroy","given":"Iris","non-dropping-particle":"","parse-names":false,"suffix":""},{"dropping-particle":"","family":"Lavi","given":"Sara","non-dropping-particle":"","parse-names":false,"suffix":""},{"dropping-particle":"","family":"Iwai","given":"Kazuhiro","non-dropping-particle":"","parse-names":false,"suffix":""},{"dropping-particle":"","family":"Reiss","given":"Yuval","non-dropping-particle":"","parse-names":false,"suffix":""},{"dropping-particle":"","family":"Ciechanover","given":"Aaron","non-dropping-particle":"","parse-names":false,"suffix":""},{"dropping-particle":"","family":"Lipkowitz","given":"Stanley","non-dropping-particle":"","parse-names":false,"suffix":""},{"dropping-particle":"","family":"Yarden","given":"Yosef","non-dropping-particle":"","parse-names":false,"suffix":""}],"container-title":"Molecular Cell","id":"ITEM-2","issued":{"date-parts":[["1999"]]},"title":"Ubiquitin ligase activity and tyrosine phosphorylation underlie suppression of growth factor signaling by c-Cbl/Sli-1","type":"article-journal"},"uris":["http://www.mendeley.com/documents/?uuid=a407e8b4-4a05-490c-87b1-4c3fca62fe9a"]}],"mendeley":{"formattedCitation":"[64], [65]","plainTextFormattedCitation":"[64], [65]","previouslyFormattedCitation":"[64], [65]"},"properties":{"noteIndex":0},"schema":"https://github.com/citation-style-language/schema/raw/master/csl-citation.json"}</w:instrText>
      </w:r>
      <w:r w:rsidRPr="003E070E">
        <w:fldChar w:fldCharType="separate"/>
      </w:r>
      <w:r w:rsidRPr="003E070E">
        <w:rPr>
          <w:noProof/>
        </w:rPr>
        <w:t>[64], [65]</w:t>
      </w:r>
      <w:r w:rsidRPr="003E070E">
        <w:fldChar w:fldCharType="end"/>
      </w:r>
      <w:r w:rsidRPr="003E070E">
        <w:t xml:space="preserve">. Our model cell line, PC9, harbors an exon-19 deletion within the PTK domain, making EGFR constitutively active. This particular mutation occurs in approximately half of all EGFR-mutated lung tumors </w:t>
      </w:r>
      <w:r w:rsidRPr="003E070E">
        <w:fldChar w:fldCharType="begin" w:fldLock="1"/>
      </w:r>
      <w:r w:rsidRPr="003E070E">
        <w:instrText>ADDIN CSL_CITATION {"citationItems":[{"id":"ITEM-1","itemData":{"DOI":"10.1111/j.1742-4658.2009.07448.x","ISBN":"1742-4658 (Electronic)\\r1742-464X (Linking)","ISSN":"1742464X","PMID":"19922469","abstract":"Epidermal growth factor receptor (EGFR) and its three related proteins (the ERBB family) are receptor tyrosine kinases that play essential roles in both normal physiological conditions and cancerous conditions. Upon binding its ligands, dynamic conformational changes occur in both extracellular and intracellular domains of the receptor tyrosine kinases, resulting in the transphosphorylation of tyrosine residues in the C-terminal regulatory domain. These provide docking sites for downstream molecules and lead to the evasion of apoptosis, to proliferation, to invasion and to metastases, all of which are important for the cancer phenotype. Mutation in the tyrosine kinase domain of the EGFR gene was found in a subset of lung cancers in 2002. Lung cancers with an EGFR mutation are highly sensitive to EGFR tyrosine kinase inhibitors, such as gefitinib and erlotinib. Here, we review the discovery of EGFR, the EGFR signal transduction pathway and mutations of the EGFR gene in lung cancers and glioblastomas. The biological significance of such mutations and their relationship with other activated genes in lung cancers are also discussed.","author":[{"dropping-particle":"","family":"Mitsudomi","given":"Tetsuya","non-dropping-particle":"","parse-names":false,"suffix":""},{"dropping-particle":"","family":"Yatabe","given":"Yasushi","non-dropping-particle":"","parse-names":false,"suffix":""}],"container-title":"FEBS Journal","id":"ITEM-1","issued":{"date-parts":[["2010"]]},"title":"Epidermal growth factor receptor in relation to tumor development: EGFR gene and cancer","type":"article"},"uris":["http://www.mendeley.com/documents/?uuid=ed7a478d-2bda-413c-9d96-ebfe66a3c9d0"]}],"mendeley":{"formattedCitation":"[66]","plainTextFormattedCitation":"[66]","previouslyFormattedCitation":"[66]"},"properties":{"noteIndex":0},"schema":"https://github.com/citation-style-language/schema/raw/master/csl-citation.json"}</w:instrText>
      </w:r>
      <w:r w:rsidRPr="003E070E">
        <w:fldChar w:fldCharType="separate"/>
      </w:r>
      <w:r w:rsidRPr="003E070E">
        <w:rPr>
          <w:noProof/>
        </w:rPr>
        <w:t>[66]</w:t>
      </w:r>
      <w:r w:rsidRPr="003E070E">
        <w:fldChar w:fldCharType="end"/>
      </w:r>
      <w:r w:rsidRPr="003E070E">
        <w:t xml:space="preserve">. </w:t>
      </w:r>
    </w:p>
    <w:p w14:paraId="15C4B2DD" w14:textId="77777777" w:rsidR="003E070E" w:rsidRPr="003E070E" w:rsidRDefault="003E070E" w:rsidP="003E070E">
      <w:pPr>
        <w:ind w:firstLine="360"/>
        <w:jc w:val="both"/>
      </w:pPr>
      <w:r w:rsidRPr="003E070E">
        <w:t xml:space="preserve">Aberrant cMet expression and activation has been correlated with poor prognosis in cancer. Furthermore, we have shown that elevated cMet expression correlates with the erlotinib-resistant phenotype characterized by an increased drug-induced proliferation (DIP) rate. It has also been shown that MET amplification leads to gefitinib resistance by heterodimerizing and activating ErbB3, a member of the </w:t>
      </w:r>
      <w:proofErr w:type="spellStart"/>
      <w:r w:rsidRPr="003E070E">
        <w:t>ErbB</w:t>
      </w:r>
      <w:proofErr w:type="spellEnd"/>
      <w:r w:rsidRPr="003E070E">
        <w:t xml:space="preserve"> family mentioned previously </w:t>
      </w:r>
      <w:r w:rsidRPr="003E070E">
        <w:fldChar w:fldCharType="begin" w:fldLock="1"/>
      </w:r>
      <w:r w:rsidRPr="003E070E">
        <w:instrText>ADDIN CSL_CITATION {"citationItems":[{"id":"ITEM-1","itemData":{"DOI":"10.1126/science.1141478","ISBN":"1095-9203 (Electronic)\\r0036-8075 (Linking)","ISSN":"00368075","PMID":"17463250","abstract":"The epidermal growth factor receptor (EGFR) kinase inhibitors gefitinib and erlotinib are effective treatments for lung cancers with EGFR activating mutations, but these tumors invariably develop drug resistance. Here, we describe a gefitinib-sensitive lung cancer cell line that developed resistance to gefitinib as a result of focal amplification of the MET proto-oncogene. inhibition of MET signaling in these cells restored their sensitivity to gefitinib. MET amplification was detected in 4 of 18 (22%) lung cancer specimens that had developed resistance to gefitinib or erlotinib. We find that amplification of MET causes gefitinib resistance by driving ERBB3 (HER3)–dependent activation of PI3K, a pathway thought to be specific to EGFR/ERBB family receptors. Thus, we propose that MET amplification may promote drug resistance in other ERBB-driven cancers as well.","author":[{"dropping-particle":"","family":"Engelman","given":"Jeffrey A.","non-dropping-particle":"","parse-names":false,"suffix":""},{"dropping-particle":"","family":"Zejnullahu","given":"Kreshnik","non-dropping-particle":"","parse-names":false,"suffix":""},{"dropping-particle":"","family":"Mitsudomi","given":"Tetsuya","non-dropping-particle":"","parse-names":false,"suffix":""},{"dropping-particle":"","family":"Song","given":"Youngchul","non-dropping-particle":"","parse-names":false,"suffix":""},{"dropping-particle":"","family":"Hyland","given":"Courtney","non-dropping-particle":"","parse-names":false,"suffix":""},{"dropping-particle":"","family":"Joon","given":"Oh Park","non-dropping-particle":"","parse-names":false,"suffix":""},{"dropping-particle":"","family":"Lindeman","given":"Neal","non-dropping-particle":"","parse-names":false,"suffix":""},{"dropping-particle":"","family":"Gale","given":"Christopher Michael","non-dropping-particle":"","parse-names":false,"suffix":""},{"dropping-particle":"","family":"Zhao","given":"Xiaojun","non-dropping-particle":"","parse-names":false,"suffix":""},{"dropping-particle":"","family":"Christensen","given":"James","non-dropping-particle":"","parse-names":false,"suffix":""},{"dropping-particle":"","family":"Kosaka","given":"Takayuki","non-dropping-particle":"","parse-names":false,"suffix":""},{"dropping-particle":"","family":"Holmes","given":"Alison J.","non-dropping-particle":"","parse-names":false,"suffix":""},{"dropping-particle":"","family":"Rogers","given":"Andrew M.","non-dropping-particle":"","parse-names":false,"suffix":""},{"dropping-particle":"","family":"Cappuzzo","given":"Federico","non-dropping-particle":"","parse-names":false,"suffix":""},{"dropping-particle":"","family":"Mok","given":"Tony","non-dropping-particle":"","parse-names":false,"suffix":""},{"dropping-particle":"","family":"Lee","given":"Charles","non-dropping-particle":"","parse-names":false,"suffix":""},{"dropping-particle":"","family":"Johnson","given":"Bruce E.","non-dropping-particle":"","parse-names":false,"suffix":""},{"dropping-particle":"","family":"Cantley","given":"Lewis C.","non-dropping-particle":"","parse-names":false,"suffix":""},{"dropping-particle":"","family":"Jänne","given":"Pasi A.","non-dropping-particle":"","parse-names":false,"suffix":""}],"container-title":"Science","id":"ITEM-1","issued":{"date-parts":[["2007"]]},"title":"MET amplification leads to gefitinib resistance in lung cancer by activating ERBB3 signaling","type":"article-journal"},"uris":["http://www.mendeley.com/documents/?uuid=61f2b740-0108-4b79-be5a-58d3d42e43b3"]}],"mendeley":{"formattedCitation":"[67]","plainTextFormattedCitation":"[67]","previouslyFormattedCitation":"[67]"},"properties":{"noteIndex":0},"schema":"https://github.com/citation-style-language/schema/raw/master/csl-citation.json"}</w:instrText>
      </w:r>
      <w:r w:rsidRPr="003E070E">
        <w:fldChar w:fldCharType="separate"/>
      </w:r>
      <w:r w:rsidRPr="003E070E">
        <w:rPr>
          <w:noProof/>
        </w:rPr>
        <w:t>[67]</w:t>
      </w:r>
      <w:r w:rsidRPr="003E070E">
        <w:fldChar w:fldCharType="end"/>
      </w:r>
      <w:r w:rsidRPr="003E070E">
        <w:t xml:space="preserve">. </w:t>
      </w:r>
    </w:p>
    <w:p w14:paraId="360E8F8B" w14:textId="77777777" w:rsidR="003E070E" w:rsidRPr="003E070E" w:rsidRDefault="003E070E" w:rsidP="003E070E">
      <w:pPr>
        <w:ind w:firstLine="360"/>
        <w:jc w:val="both"/>
      </w:pPr>
      <w:r w:rsidRPr="003E070E">
        <w:t xml:space="preserve">Upon activation, cMet recruits and activates many downstream signaling molecules at the plasma membrane. A key adaptor is growth factor receptor-bound protein 2 (GRB2), which facilitates the binding of the nucleotide exchange factor Son of </w:t>
      </w:r>
      <w:proofErr w:type="spellStart"/>
      <w:r w:rsidRPr="003E070E">
        <w:t>Sevenless</w:t>
      </w:r>
      <w:proofErr w:type="spellEnd"/>
      <w:r w:rsidRPr="003E070E">
        <w:t xml:space="preserve"> (SOS) </w:t>
      </w:r>
      <w:r w:rsidRPr="003E070E">
        <w:fldChar w:fldCharType="begin" w:fldLock="1"/>
      </w:r>
      <w:r w:rsidRPr="003E070E">
        <w:instrText>ADDIN CSL_CITATION {"citationItems":[{"id":"ITEM-1","itemData":{"DOI":"10.1038/363015a0","ISSN":"00280836","PMID":"8479530","author":[{"dropping-particle":"","family":"McCormick","given":"Frank","non-dropping-particle":"","parse-names":false,"suffix":""}],"container-title":"Nature","id":"ITEM-1","issued":{"date-parts":[["1993"]]},"title":"How receptors turn Ras on","type":"article"},"uris":["http://www.mendeley.com/documents/?uuid=ca0df64b-b261-462c-a8a5-7e52f8ddcbff"]}],"mendeley":{"formattedCitation":"[68]","plainTextFormattedCitation":"[68]","previouslyFormattedCitation":"[68]"},"properties":{"noteIndex":0},"schema":"https://github.com/citation-style-language/schema/raw/master/csl-citation.json"}</w:instrText>
      </w:r>
      <w:r w:rsidRPr="003E070E">
        <w:fldChar w:fldCharType="separate"/>
      </w:r>
      <w:r w:rsidRPr="003E070E">
        <w:rPr>
          <w:noProof/>
        </w:rPr>
        <w:t>[68]</w:t>
      </w:r>
      <w:r w:rsidRPr="003E070E">
        <w:fldChar w:fldCharType="end"/>
      </w:r>
      <w:r w:rsidRPr="003E070E">
        <w:t xml:space="preserve">. SOS functions as a guanine nucleotide exchange factor that acts on the proto-oncogene c-rat sarcoma viral oncogene homolog (Ras) family of small GTPases. Ras operates by binding rapidly </w:t>
      </w:r>
      <w:r w:rsidRPr="003E070E">
        <w:lastRenderedPageBreak/>
        <w:t xml:space="preserve">accelerated fibrosarcoma (Raf) kinases and translocating Raf to the cell membrane for activation. The activation of Raf represents the first step of the integral MAPK cellular signaling module. The module is composed of MAPK kinase </w:t>
      </w:r>
      <w:proofErr w:type="spellStart"/>
      <w:r w:rsidRPr="003E070E">
        <w:t>kinase</w:t>
      </w:r>
      <w:proofErr w:type="spellEnd"/>
      <w:r w:rsidRPr="003E070E">
        <w:t xml:space="preserve"> (MAP3K, Raf), MAPK kinase (MEK, MKK), and ERK.</w:t>
      </w:r>
    </w:p>
    <w:p w14:paraId="67A5975E" w14:textId="77777777" w:rsidR="003E070E" w:rsidRPr="003E070E" w:rsidRDefault="003E070E" w:rsidP="003E070E">
      <w:pPr>
        <w:ind w:firstLine="360"/>
        <w:jc w:val="both"/>
      </w:pPr>
      <w:r w:rsidRPr="003E070E">
        <w:t xml:space="preserve">The AKT signaling cascade is also initiated by RTK activation. Upon RTK activation, the phosphoinositide 3-kinase (PI3K) family can bind to the intracellular domain of the RTK, resulting in the conversion of phosphatidylinositol (4,5)-bisphosphate (PIP2) to phosphatidylinositol (3,4,5)-trisphosphate (PIP3) at the plasma membrane. PIP3 then recruits AKT to the membrane, where it is activated. </w:t>
      </w:r>
    </w:p>
    <w:p w14:paraId="56ACE31D" w14:textId="77777777" w:rsidR="003E070E" w:rsidRPr="003E070E" w:rsidRDefault="003E070E" w:rsidP="003E070E">
      <w:pPr>
        <w:ind w:firstLine="360"/>
        <w:jc w:val="both"/>
      </w:pPr>
      <w:r w:rsidRPr="003E070E">
        <w:t xml:space="preserve">The signaling cascade between receptor and AKT and ERK contains a multitude of molecules with significant crosstalk. We highlight canonical pathways from our selected RTKs to AKT and ERK but have chosen to measure AKT and ERK activation directly for our model. We pay particular attention to AKT and ERK signaling, as they represent a point of convergence within the transduction pathway. </w:t>
      </w:r>
    </w:p>
    <w:p w14:paraId="4191B3F0" w14:textId="77777777" w:rsidR="003E070E" w:rsidRPr="003E070E" w:rsidRDefault="003E070E" w:rsidP="003E070E">
      <w:pPr>
        <w:jc w:val="both"/>
      </w:pPr>
    </w:p>
    <w:p w14:paraId="0DB0E751" w14:textId="77777777" w:rsidR="003E070E" w:rsidRPr="003E070E" w:rsidRDefault="003E070E" w:rsidP="003E070E">
      <w:pPr>
        <w:numPr>
          <w:ilvl w:val="2"/>
          <w:numId w:val="0"/>
        </w:numPr>
        <w:ind w:left="720" w:hanging="720"/>
        <w:contextualSpacing/>
        <w:jc w:val="left"/>
        <w:outlineLvl w:val="2"/>
        <w:rPr>
          <w:b/>
          <w:bCs w:val="0"/>
        </w:rPr>
      </w:pPr>
      <w:bookmarkStart w:id="2" w:name="_Toc49318299"/>
      <w:r w:rsidRPr="003E070E">
        <w:rPr>
          <w:b/>
          <w:bCs w:val="0"/>
        </w:rPr>
        <w:t>Integrins</w:t>
      </w:r>
      <w:bookmarkEnd w:id="2"/>
    </w:p>
    <w:p w14:paraId="56A6BBD5" w14:textId="77777777" w:rsidR="003E070E" w:rsidRPr="003E070E" w:rsidRDefault="003E070E" w:rsidP="003E070E">
      <w:pPr>
        <w:ind w:firstLine="360"/>
        <w:jc w:val="both"/>
      </w:pPr>
      <w:r w:rsidRPr="003E070E">
        <w:t xml:space="preserve">Integrins are class of receptors connecting the ECM with the cellular cytoskeleton. They provide the cell with important mechanical cues controlling a wide range of cellular responses. We focus on their role in cell cycle regulation. Cellular proliferation is highly altered in cancer. Knowledge of how integrin signaling alters the proliferative state of a cell population will help develop new treatment strategies. </w:t>
      </w:r>
    </w:p>
    <w:p w14:paraId="5580B710" w14:textId="77777777" w:rsidR="003E070E" w:rsidRPr="003E070E" w:rsidRDefault="003E070E" w:rsidP="003E070E">
      <w:pPr>
        <w:ind w:firstLine="360"/>
        <w:jc w:val="both"/>
      </w:pPr>
      <w:r w:rsidRPr="003E070E">
        <w:t xml:space="preserve">Integrins are transmembrane, heterodimeric receptors. Mammals possess 18 α and 8 β subunits that can form 24 heterodimers. There are several mechanisms as to how integrins promote cellular </w:t>
      </w:r>
      <w:r w:rsidRPr="003E070E">
        <w:lastRenderedPageBreak/>
        <w:t xml:space="preserve">proliferation. Integrins signal through the same canonical pathways as RTKs, both the PI3K/AKT and Ras/Raf/MEK/ERK axes. Integrins are also capable of regulating RTK expression at the transcriptional level </w:t>
      </w:r>
      <w:r w:rsidRPr="003E070E">
        <w:fldChar w:fldCharType="begin" w:fldLock="1"/>
      </w:r>
      <w:r w:rsidRPr="003E070E">
        <w:instrText>ADDIN CSL_CITATION {"citationItems":[{"id":"ITEM-1","itemData":{"DOI":"10.1074/jbc.M110.169821","ISBN":"1083-351X (Electronic)\\r0021-9258 (Linking)","ISSN":"00219258","PMID":"20956544","abstract":"Epithelial cells are dependent on extracellular matrix (ECM) attachment for maintenance of metabolic activity and suppression of apoptosis. Here we show that loss of ECM attachment causes down-regulation of epidermal growth factor receptor (EGFR) and β1 integrin protein and mRNA expression and that ErbB2, which is amplified in 25% of breast tumors, reverses these effects of ECM deprivation. ErbB2 rescue of β1 integrin mRNA and protein in suspended cells is dependent on EGFR, however, the rescue of EGFR expression does not require β1 integrin. We show that there is a significant decrease in the stability of EGFR in ECM-detached cells that is reversed by ErbB2 overexpression. Rescue of both EGFR and β1 integrin protein by ErbB2 is dependent on Erk activity and induction of its downstream target Sprouty2, a protein known to regulate EGFR protein stability. Interestingly, expression of EGFR and β1 integrin protein is more dependent on Erk/Sprouty2 in ECM-detached ErbB2-overexpressing cells when compared with ECM-attached cells. These results provide further insight into the ErbB2-driven anchorage independence of tumor cells and provide a new mechanism for regulation of EGFR and β1 integrin expression in ECM-detached cells.","author":[{"dropping-particle":"","family":"Grassian","given":"Alexandra R.","non-dropping-particle":"","parse-names":false,"suffix":""},{"dropping-particle":"","family":"Schafer","given":"Zachary T.","non-dropping-particle":"","parse-names":false,"suffix":""},{"dropping-particle":"","family":"Brugge","given":"Joan S.","non-dropping-particle":"","parse-names":false,"suffix":""}],"container-title":"Journal of Biological Chemistry","id":"ITEM-1","issued":{"date-parts":[["2011"]]},"title":"ErbB2 stabilizes Epidermal Growth Factor Receptor (EGFR) expression via Erk and sprouty2 in extracellular matrix-detached cells","type":"article-journal"},"uris":["http://www.mendeley.com/documents/?uuid=054d7fe5-4ea0-4d32-9b7f-36f493441a4e"]}],"mendeley":{"formattedCitation":"[69]","plainTextFormattedCitation":"[69]","previouslyFormattedCitation":"[69]"},"properties":{"noteIndex":0},"schema":"https://github.com/citation-style-language/schema/raw/master/csl-citation.json"}</w:instrText>
      </w:r>
      <w:r w:rsidRPr="003E070E">
        <w:fldChar w:fldCharType="separate"/>
      </w:r>
      <w:r w:rsidRPr="003E070E">
        <w:rPr>
          <w:noProof/>
        </w:rPr>
        <w:t>[69]</w:t>
      </w:r>
      <w:r w:rsidRPr="003E070E">
        <w:fldChar w:fldCharType="end"/>
      </w:r>
      <w:r w:rsidRPr="003E070E">
        <w:t xml:space="preserve">. Within the cell, integrins facilitate the formation of cell adhesion complexes consisting of numerous adaptor proteins (e.g. paxillin, vinculin, </w:t>
      </w:r>
      <w:proofErr w:type="spellStart"/>
      <w:r w:rsidRPr="003E070E">
        <w:t>talin</w:t>
      </w:r>
      <w:proofErr w:type="spellEnd"/>
      <w:r w:rsidRPr="003E070E">
        <w:t xml:space="preserve">). Focal adhesion kinase (FAK) is an additional protein recruited to the focal adhesion complex. We use FAK phosphorylation as a means of measuring cellular signaling response to stiffness. Once activated, FAK can engage PI3K, thus activating the AKT signaling pathway. Additionally, FAK is capable of signaling through the ERK axis by forming a complex with GRB2 and activating the Ras family of GTPases </w:t>
      </w:r>
      <w:r w:rsidRPr="003E070E">
        <w:fldChar w:fldCharType="begin" w:fldLock="1"/>
      </w:r>
      <w:r w:rsidRPr="003E070E">
        <w:instrText>ADDIN CSL_CITATION {"citationItems":[{"id":"ITEM-1","itemData":{"DOI":"10.1093/emboj/19.12.2911","ISBN":"0261-4189 (Print)\\n0261-4189 (Linking)","ISSN":"14602075","PMID":"10856236","abstract":"Integrin engagement generates cellular signals leading to the recruitment of structural and signalling molecules which, in concert with rearrangements of the actin cytoskeleton, leads to the formation of focal adhesion complexes. Using antisera reactive either with total ERK or with phosphorylated/activated forms of ERK, in rat embryo fibroblasts and embryonic avian cells that express v-Src, we found that active ERK is targeted to newly forming focal adhesions after integrin engagement or activation of v-Src. UO126, an inhibitor of MAP kinase kinase 1 (MEK1), suppressed focal adhesion targeting of active ERK and cell spreading. Also, integrin engagement and v-Src induced myosin light chain kinase (MLCK)-dependent phosphorylation of myosin light chain downstream of the MEK/ERK pathway, and MLCK and myosin activities are required for the focal adhesion targeting of ERK. The translocation of active ERK to newly forming focal adhesions may direct specificity towards appropriate downstream targets that influence adhesion assembly. These findings support a role for ERK in the regulation of the adhesion/cytoskeletal network and provide an explanation for the role of ERK in cell motility.","author":[{"dropping-particle":"","family":"Fincham","given":"V.J.","non-dropping-particle":"","parse-names":false,"suffix":""}],"container-title":"The EMBO Journal","id":"ITEM-1","issued":{"date-parts":[["2000"]]},"title":"Active ERK/MAP kinase is targeted to newly forming cell-matrix adhesions by integrin engagement and v-Src","type":"article-journal"},"uris":["http://www.mendeley.com/documents/?uuid=1fedb19a-03f6-4ecc-9b9a-c869a3cdd819"]}],"mendeley":{"formattedCitation":"[70]","plainTextFormattedCitation":"[70]","previouslyFormattedCitation":"[70]"},"properties":{"noteIndex":0},"schema":"https://github.com/citation-style-language/schema/raw/master/csl-citation.json"}</w:instrText>
      </w:r>
      <w:r w:rsidRPr="003E070E">
        <w:fldChar w:fldCharType="separate"/>
      </w:r>
      <w:r w:rsidRPr="003E070E">
        <w:rPr>
          <w:noProof/>
        </w:rPr>
        <w:t>[70]</w:t>
      </w:r>
      <w:r w:rsidRPr="003E070E">
        <w:fldChar w:fldCharType="end"/>
      </w:r>
      <w:r w:rsidRPr="003E070E">
        <w:t xml:space="preserve">. </w:t>
      </w:r>
    </w:p>
    <w:p w14:paraId="692B1CB0" w14:textId="77777777" w:rsidR="003E070E" w:rsidRPr="003E070E" w:rsidRDefault="003E070E" w:rsidP="003E070E">
      <w:pPr>
        <w:jc w:val="both"/>
      </w:pPr>
    </w:p>
    <w:p w14:paraId="35F86866" w14:textId="77777777" w:rsidR="003E070E" w:rsidRPr="003E070E" w:rsidRDefault="003E070E" w:rsidP="003E070E">
      <w:pPr>
        <w:numPr>
          <w:ilvl w:val="1"/>
          <w:numId w:val="0"/>
        </w:numPr>
        <w:ind w:left="576" w:hanging="576"/>
        <w:contextualSpacing/>
        <w:jc w:val="left"/>
        <w:outlineLvl w:val="1"/>
        <w:rPr>
          <w:b/>
          <w:bCs w:val="0"/>
        </w:rPr>
      </w:pPr>
      <w:bookmarkStart w:id="3" w:name="_Toc49318300"/>
      <w:r w:rsidRPr="003E070E">
        <w:rPr>
          <w:b/>
          <w:bCs w:val="0"/>
        </w:rPr>
        <w:t>Mitosis</w:t>
      </w:r>
      <w:bookmarkEnd w:id="3"/>
    </w:p>
    <w:p w14:paraId="15C9F071" w14:textId="77777777" w:rsidR="003E070E" w:rsidRPr="003E070E" w:rsidRDefault="003E070E" w:rsidP="003E070E">
      <w:pPr>
        <w:ind w:firstLine="360"/>
        <w:jc w:val="both"/>
      </w:pPr>
      <w:r w:rsidRPr="003E070E">
        <w:t xml:space="preserve">Activated AKT and ERK are responsible for initiating the cell cycle through the activation of several transcription factors. The scheme and approach for our mitosis module is inspired by the </w:t>
      </w:r>
      <w:proofErr w:type="spellStart"/>
      <w:r w:rsidRPr="003E070E">
        <w:t>Goldbeter</w:t>
      </w:r>
      <w:proofErr w:type="spellEnd"/>
      <w:r w:rsidRPr="003E070E">
        <w:t xml:space="preserve"> skeleton model, which itself is based off a larger, more comprehensive model that </w:t>
      </w:r>
      <w:proofErr w:type="spellStart"/>
      <w:r w:rsidRPr="003E070E">
        <w:t>Goldbeter</w:t>
      </w:r>
      <w:proofErr w:type="spellEnd"/>
      <w:r w:rsidRPr="003E070E">
        <w:t xml:space="preserve"> and colleagues have developed </w:t>
      </w:r>
      <w:r w:rsidRPr="003E070E">
        <w:fldChar w:fldCharType="begin" w:fldLock="1"/>
      </w:r>
      <w:r w:rsidRPr="003E070E">
        <w:instrText>ADDIN CSL_CITATION {"citationItems":[{"id":"ITEM-1","itemData":{"DOI":"10.1073/pnas.0903827106","ISBN":"1091-6490 (Electronic)\\r0027-8424 (Linking)","ISSN":"0027-8424","PMID":"20007375","abstract":"We propose an integrated computational model for the network of cyclin-dependent kinases (Cdks) that controls the dynamics of the mammalian cell cycle. The model contains four Cdk modules regulated by reversible phosphorylation, Cdk inhibitors, and protein synthesis or degradation. Growth factors (GFs) trigger the transition from a quiescent, stable steady state to self-sustained oscillations in the Cdk network. These oscillations correspond to the repetitive, transient activation of cyclin D/Cdk4-6 in G(1), cyclin E/Cdk2 at the G(1)/S transition, cyclin A/Cdk2 in S and at the S/G(2) transition, and cyclin B/Cdk1 at the G(2)/M transition. The model accounts for the following major properties of the mammalian cell cycle: (i) repetitive cell cycling in the presence of suprathreshold amounts of GF; (ii) control of cell-cycle progression by the balance between antagonistic effects of the tumor suppressor retinoblastoma protein (pRB) and the transcription factor E2F; and (iii) existence of a restriction point in G(1), beyond which completion of the cell cycle becomes independent of GF. The model also accounts for endoreplication. Incorporating the DNA replication checkpoint mediated by kinases ATR and Chk1 slows down the dynamics of the cell cycle without altering its oscillatory nature and leads to better separation of the S and M phases. The model for the mammalian cell cycle shows how the regulatory structure of the Cdk network results in its temporal self-organization, leading to the repetitive, sequential activation of the four Cdk modules that brings about the orderly progression along cell-cycle phases.","author":[{"dropping-particle":"","family":"Gérard","given":"Claude","non-dropping-particle":"","parse-names":false,"suffix":""},{"dropping-particle":"","family":"Goldbeter","given":"Albert","non-dropping-particle":"","parse-names":false,"suffix":""}],"container-title":"Proceedings of the National Academy of Sciences of the United States of America","id":"ITEM-1","issue":"51","issued":{"date-parts":[["2009"]]},"page":"21643-21648","title":"Temporal self-organization of the cyclin/Cdk network driving the mammalian cell cycle.","type":"article-journal","volume":"106"},"uris":["http://www.mendeley.com/documents/?uuid=d7945937-7a1a-37a8-b757-9eeaaf1b8a85"]},{"id":"ITEM-2","itemData":{"DOI":"10.1098/rsfs.2010.0008","ISBN":"2042-8901 (Electronic)\\r2042-8898 (Linking)","ISSN":"2042-8898","PMID":"22419972","abstract":"We previously proposed a detailed, 39-variable model for the network of cyclin-dependent kinases (Cdks) that controls progression along the successive phases of the mammalian cell cycle. Here, we propose a skeleton, 5-variable model for the Cdk network that can be seen as the backbone of the more detailed model for the mammalian cell cycle. In the presence of sufficient amounts of growth factor, the skeleton model also passes from a stable steady state to sustained oscillations of the various cyclin/Cdk complexes. This transition corresponds to the switch from quiescence to cell proliferation. Sequential activation of the cyclin/Cdk complexes allows the ordered progression along the G1, S, G2 and M phases of the cell cycle. The 5-variable model can also account for the existence of a restriction point in G1, and for endoreplication. Like the detailed model, it contains multiple oscillatory circuits and can display complex oscillatory behaviour such as quasi-periodic oscillations and chaos. We compare the dynamical properties of the skeleton model with those of the more detailed model for the mammalian cell cycle.","author":[{"dropping-particle":"","family":"Gerard","given":"C.","non-dropping-particle":"","parse-names":false,"suffix":""},{"dropping-particle":"","family":"Goldbeter","given":"Albert","non-dropping-particle":"","parse-names":false,"suffix":""}],"container-title":"Interface Focus","id":"ITEM-2","issue":"1","issued":{"date-parts":[["2011"]]},"page":"24-35","title":"A skeleton model for the network of cyclin-dependent kinases driving the mammalian cell cycle","type":"article-journal","volume":"1"},"uris":["http://www.mendeley.com/documents/?uuid=280af4f8-85f9-3528-88eb-a124f3ee6f3f"]}],"mendeley":{"formattedCitation":"[55], [56]","plainTextFormattedCitation":"[55], [56]","previouslyFormattedCitation":"[55], [56]"},"properties":{"noteIndex":0},"schema":"https://github.com/citation-style-language/schema/raw/master/csl-citation.json"}</w:instrText>
      </w:r>
      <w:r w:rsidRPr="003E070E">
        <w:fldChar w:fldCharType="separate"/>
      </w:r>
      <w:r w:rsidRPr="003E070E">
        <w:rPr>
          <w:noProof/>
        </w:rPr>
        <w:t>[55], [56]</w:t>
      </w:r>
      <w:r w:rsidRPr="003E070E">
        <w:fldChar w:fldCharType="end"/>
      </w:r>
      <w:r w:rsidRPr="003E070E">
        <w:t xml:space="preserve">. The objective of the model is to reduce the number of variables and parameters necessary to capture the complex phenomena of cell division. Making the model simpler allows for quicker simulation and the ability to search through parameter space. Also, it allows us to begin interpreting the minimal signaling circuitry necessary to capture complex cellular phenomena. The model is constructed around the </w:t>
      </w:r>
      <w:proofErr w:type="spellStart"/>
      <w:r w:rsidRPr="003E070E">
        <w:t>Cdks</w:t>
      </w:r>
      <w:proofErr w:type="spellEnd"/>
      <w:r w:rsidRPr="003E070E">
        <w:t xml:space="preserve"> that regulate the progression of the mammalian cell cycle through the consecutive phases of mitosis. The cell cycle can be divided into four phases marked by the sequential activation of specific cyclins and their associated kinases. </w:t>
      </w:r>
    </w:p>
    <w:p w14:paraId="7F19DB4A" w14:textId="77777777" w:rsidR="003E070E" w:rsidRPr="003E070E" w:rsidRDefault="003E070E" w:rsidP="003E070E">
      <w:pPr>
        <w:jc w:val="both"/>
      </w:pPr>
    </w:p>
    <w:p w14:paraId="1DFEA796" w14:textId="77777777" w:rsidR="003E070E" w:rsidRPr="003E070E" w:rsidRDefault="003E070E" w:rsidP="003E070E">
      <w:pPr>
        <w:numPr>
          <w:ilvl w:val="2"/>
          <w:numId w:val="0"/>
        </w:numPr>
        <w:ind w:left="720" w:hanging="720"/>
        <w:contextualSpacing/>
        <w:jc w:val="left"/>
        <w:outlineLvl w:val="2"/>
        <w:rPr>
          <w:b/>
          <w:bCs w:val="0"/>
        </w:rPr>
      </w:pPr>
      <w:bookmarkStart w:id="4" w:name="_Toc49318301"/>
      <w:r w:rsidRPr="003E070E">
        <w:rPr>
          <w:b/>
          <w:bCs w:val="0"/>
        </w:rPr>
        <w:lastRenderedPageBreak/>
        <w:t>G1 phase</w:t>
      </w:r>
      <w:bookmarkEnd w:id="4"/>
    </w:p>
    <w:p w14:paraId="4D6FE927" w14:textId="77777777" w:rsidR="003E070E" w:rsidRPr="003E070E" w:rsidRDefault="003E070E" w:rsidP="003E070E">
      <w:pPr>
        <w:ind w:firstLine="360"/>
        <w:jc w:val="both"/>
      </w:pPr>
      <w:r w:rsidRPr="003E070E">
        <w:t xml:space="preserve">In the first phase, ERK directly phosphorylates </w:t>
      </w:r>
      <w:proofErr w:type="spellStart"/>
      <w:r w:rsidRPr="003E070E">
        <w:t>cMyc</w:t>
      </w:r>
      <w:proofErr w:type="spellEnd"/>
      <w:r w:rsidRPr="003E070E">
        <w:t xml:space="preserve">. The </w:t>
      </w:r>
      <w:proofErr w:type="spellStart"/>
      <w:r w:rsidRPr="003E070E">
        <w:t>myc</w:t>
      </w:r>
      <w:proofErr w:type="spellEnd"/>
      <w:r w:rsidRPr="003E070E">
        <w:t xml:space="preserve"> family of genes are transcription factors that result in the expression of genes that drive the cell cycle (down regulation of p21 and upregulation of cyclins). They also play an important role in other vital cell processes such as apoptosis, differentiation, and growth. In addition, ERK promotes the formation AP1, which in turn, stimulates the production of cyclin D. In our model, both of these steps are modeled directly with no intermediates. Cyclin D forms an inactive complex with p21/p27, inhibiting the cell cycle. p21/p27 is negatively regulated by FAK activity. </w:t>
      </w:r>
    </w:p>
    <w:p w14:paraId="595057D4" w14:textId="77777777" w:rsidR="003E070E" w:rsidRPr="003E070E" w:rsidRDefault="003E070E" w:rsidP="003E070E">
      <w:pPr>
        <w:ind w:firstLine="360"/>
        <w:jc w:val="both"/>
      </w:pPr>
      <w:r w:rsidRPr="003E070E">
        <w:t xml:space="preserve">Additionally, activated AKT induces both </w:t>
      </w:r>
      <w:proofErr w:type="spellStart"/>
      <w:r w:rsidRPr="003E070E">
        <w:t>Myc</w:t>
      </w:r>
      <w:proofErr w:type="spellEnd"/>
      <w:r w:rsidRPr="003E070E">
        <w:t xml:space="preserve"> and cyclin D activation through several mechanisms. First, AKT phosphorylates glycogen synthase kinase 3 (GSK3) preventing the degradation of cyclin D </w:t>
      </w:r>
      <w:r w:rsidRPr="003E070E">
        <w:fldChar w:fldCharType="begin" w:fldLock="1"/>
      </w:r>
      <w:r w:rsidRPr="003E070E">
        <w:instrText>ADDIN CSL_CITATION {"citationItems":[{"id":"ITEM-1","itemData":{"DOI":"10.1186/1476-4598-6-24","ISBN":"1476-4598 (Electronic)\\r1476-4598 (Linking)","ISSN":"14764598","PMID":"17407548","abstract":"Cyclin D1 is an important regulator of cell cycle progression and can function as a transcriptionl co-regulator. The overexpression of cyclin D1 has been linked to the development and progression of cancer. Deregulated cyclin D1 degradation appears to be responsible for the increased levels of cyclin D1 in several cancers. Recent findings have identified novel mechanisms involved in the regulation of cyclin D1 stability. A number of therapeutic agents have been shown to induce cyclin D1 degradation. The therapeutic ablation of cyclin D1 may be useful for the prevention and treatment of cancer. In this review, current knowledge on the regulation of cyclin D1 degradation is discussed. Novel insights into cyclin D1 degradation are also discussed in the context of ablative therapy. A number of unresolved questions regarding the regulation of cellular cyclin D1 levels are also addressed.","author":[{"dropping-particle":"","family":"Alao","given":"John P.","non-dropping-particle":"","parse-names":false,"suffix":""}],"container-title":"Molecular Cancer","id":"ITEM-1","issued":{"date-parts":[["2007"]]},"title":"The regulation of cyclin D1 degradation: Roles in cancer development and the potential for therapeutic invention","type":"article"},"uris":["http://www.mendeley.com/documents/?uuid=cf7b7e66-1191-4c72-8a84-26cbbd4da7fc"]}],"mendeley":{"formattedCitation":"[71]","plainTextFormattedCitation":"[71]","previouslyFormattedCitation":"[71]"},"properties":{"noteIndex":0},"schema":"https://github.com/citation-style-language/schema/raw/master/csl-citation.json"}</w:instrText>
      </w:r>
      <w:r w:rsidRPr="003E070E">
        <w:fldChar w:fldCharType="separate"/>
      </w:r>
      <w:r w:rsidRPr="003E070E">
        <w:rPr>
          <w:noProof/>
        </w:rPr>
        <w:t>[71]</w:t>
      </w:r>
      <w:r w:rsidRPr="003E070E">
        <w:fldChar w:fldCharType="end"/>
      </w:r>
      <w:r w:rsidRPr="003E070E">
        <w:t xml:space="preserve">. AKT also stimulates mTOR signaling, increasing the translation of cyclin D by activating ribosomal protein S6K </w:t>
      </w:r>
      <w:r w:rsidRPr="003E070E">
        <w:fldChar w:fldCharType="begin" w:fldLock="1"/>
      </w:r>
      <w:r w:rsidRPr="003E070E">
        <w:instrText>ADDIN CSL_CITATION {"citationItems":[{"id":"ITEM-1","itemData":{"DOI":"10.1101/gad.1212704","ISBN":"1431-6730 (Print)\\r1431-6730 (Linking)","ISSN":"08909369","PMID":"15314020","abstract":"The evolutionarily conserved checkpoint protein kinase, TOR (target of rapamycin), has emerged as a major effector of cell growth and proliferation via the regulation of protein synthesis. Work in the last decade clearly demonstrates that TOR controls protein synthesis through a stunning number of downstream targets. Some of the targets are phosphorylated directly by TOR, but many are phosphorylated indirectly. In this review, we summarize some recent developments in this fast-evolving field. We describe both the upstream components of the signaling pathway(s) that activates mammalian TOR (mTOR) and the downstream targets that affect protein synthesis. We also summarize the roles of mTOR in the control of cell growth and proliferation, as well as its relevance to cancer and synaptic plasticity.","author":[{"dropping-particle":"","family":"Hay","given":"Nissim","non-dropping-particle":"","parse-names":false,"suffix":""},{"dropping-particle":"","family":"Sonenberg","given":"Nahum","non-dropping-particle":"","parse-names":false,"suffix":""}],"container-title":"Genes and Development","id":"ITEM-1","issued":{"date-parts":[["2004"]]},"title":"Upstream and downstream of mTOR","type":"article"},"uris":["http://www.mendeley.com/documents/?uuid=e1670035-19ec-4ee8-a936-8138afee11f2"]}],"mendeley":{"formattedCitation":"[72]","plainTextFormattedCitation":"[72]","previouslyFormattedCitation":"[72]"},"properties":{"noteIndex":0},"schema":"https://github.com/citation-style-language/schema/raw/master/csl-citation.json"}</w:instrText>
      </w:r>
      <w:r w:rsidRPr="003E070E">
        <w:fldChar w:fldCharType="separate"/>
      </w:r>
      <w:r w:rsidRPr="003E070E">
        <w:rPr>
          <w:noProof/>
        </w:rPr>
        <w:t>[72]</w:t>
      </w:r>
      <w:r w:rsidRPr="003E070E">
        <w:fldChar w:fldCharType="end"/>
      </w:r>
      <w:r w:rsidRPr="003E070E">
        <w:t xml:space="preserve">. The transcription activity of </w:t>
      </w:r>
      <w:proofErr w:type="spellStart"/>
      <w:r w:rsidRPr="003E070E">
        <w:t>Myc</w:t>
      </w:r>
      <w:proofErr w:type="spellEnd"/>
      <w:r w:rsidRPr="003E070E">
        <w:t xml:space="preserve"> is promoted by AKT-mediated degradation of Mad1. Mad1 is an inhibitor of </w:t>
      </w:r>
      <w:proofErr w:type="spellStart"/>
      <w:r w:rsidRPr="003E070E">
        <w:t>Myc</w:t>
      </w:r>
      <w:proofErr w:type="spellEnd"/>
      <w:r w:rsidRPr="003E070E">
        <w:t xml:space="preserve"> </w:t>
      </w:r>
      <w:r w:rsidRPr="003E070E">
        <w:fldChar w:fldCharType="begin" w:fldLock="1"/>
      </w:r>
      <w:r w:rsidRPr="003E070E">
        <w:instrText>ADDIN CSL_CITATION {"citationItems":[{"id":"ITEM-1","itemData":{"DOI":"10.1073/pnas.0802785105","ISBN":"0027-8424","ISSN":"0027-8424","PMID":"18451027","abstract":"Mad1, a member of the Myc/Max/Mad family, suppresses Myc-mediated transcriptional activity by competing with Myc for heterodimerization with its obligatory partner, Max. The expression of Mad1 suppresses Myc-mediated cell proliferation and transformation. The levels of Mad1 protein are generally low in many human cancers, and Mad1 protein has a very short half-life. However, the mechanism that regulates the turnover of Mad1 protein is poorly understood. In this study, we showed that Mad1 is a substrate of p90 ribosomal kinase (RSK) and p70 S6 kinase (S6K). Both RSK and S6K phosphorylate serine 145 of Mad1 upon serum or insulin stimulation. Ser-145 phosphorylation of Mad1 accelerates the ubiquitination and degradation of Mad1 through the 26S proteasome pathway, which in turn promotes the transcriptional activity of Myc. Our study provides a direct link between the growth factor signaling pathways regulated by PI3 kinase/Akt and MAP kinases with Myc-mediated transcription.","author":[{"dropping-particle":"","family":"Zhu","given":"J.","non-dropping-particle":"","parse-names":false,"suffix":""},{"dropping-particle":"","family":"Blenis","given":"J.","non-dropping-particle":"","parse-names":false,"suffix":""},{"dropping-particle":"","family":"Yuan","given":"J.","non-dropping-particle":"","parse-names":false,"suffix":""}],"container-title":"Proceedings of the National Academy of Sciences","id":"ITEM-1","issued":{"date-parts":[["2008"]]},"title":"Activation of PI3K/Akt and MAPK pathways regulates Myc-mediated transcription by phosphorylating and promoting the degradation of Mad1","type":"article-journal"},"uris":["http://www.mendeley.com/documents/?uuid=6ad53a1d-6ded-4a8b-acb6-37d62db54d00"]}],"mendeley":{"formattedCitation":"[73]","plainTextFormattedCitation":"[73]","previouslyFormattedCitation":"[73]"},"properties":{"noteIndex":0},"schema":"https://github.com/citation-style-language/schema/raw/master/csl-citation.json"}</w:instrText>
      </w:r>
      <w:r w:rsidRPr="003E070E">
        <w:fldChar w:fldCharType="separate"/>
      </w:r>
      <w:r w:rsidRPr="003E070E">
        <w:rPr>
          <w:noProof/>
        </w:rPr>
        <w:t>[73]</w:t>
      </w:r>
      <w:r w:rsidRPr="003E070E">
        <w:fldChar w:fldCharType="end"/>
      </w:r>
      <w:r w:rsidRPr="003E070E">
        <w:t xml:space="preserve">. </w:t>
      </w:r>
    </w:p>
    <w:p w14:paraId="7A4657F9" w14:textId="77777777" w:rsidR="003E070E" w:rsidRPr="003E070E" w:rsidRDefault="003E070E" w:rsidP="003E070E">
      <w:pPr>
        <w:ind w:firstLine="360"/>
        <w:jc w:val="both"/>
      </w:pPr>
      <w:r w:rsidRPr="003E070E">
        <w:t xml:space="preserve">Central to the G1/S transition is a bistable switch comprised of </w:t>
      </w:r>
      <w:proofErr w:type="spellStart"/>
      <w:r w:rsidRPr="003E070E">
        <w:t>Rb</w:t>
      </w:r>
      <w:proofErr w:type="spellEnd"/>
      <w:r w:rsidRPr="003E070E">
        <w:t xml:space="preserve"> and the transcription factor E2F. E2F is another set of transcription </w:t>
      </w:r>
      <w:proofErr w:type="gramStart"/>
      <w:r w:rsidRPr="003E070E">
        <w:t>factors</w:t>
      </w:r>
      <w:proofErr w:type="gramEnd"/>
      <w:r w:rsidRPr="003E070E">
        <w:t xml:space="preserve"> responsible for both activating and suppressing transcription. In this work, we focus on their role as activators. E2F upregulates the synthesis of cyclins D, E, and A, helping to drive the transition through the cell cycle. Conversely, </w:t>
      </w:r>
      <w:proofErr w:type="spellStart"/>
      <w:r w:rsidRPr="003E070E">
        <w:t>hypophosphorylated</w:t>
      </w:r>
      <w:proofErr w:type="spellEnd"/>
      <w:r w:rsidRPr="003E070E">
        <w:t xml:space="preserve"> </w:t>
      </w:r>
      <w:proofErr w:type="spellStart"/>
      <w:r w:rsidRPr="003E070E">
        <w:t>Rb</w:t>
      </w:r>
      <w:proofErr w:type="spellEnd"/>
      <w:r w:rsidRPr="003E070E">
        <w:t xml:space="preserve"> inhibits entry into the cell cycle by binding to E2F, thereby preventing the expression of necessary cell cycle-promoting factors. </w:t>
      </w:r>
      <w:proofErr w:type="spellStart"/>
      <w:r w:rsidRPr="003E070E">
        <w:t>Rb</w:t>
      </w:r>
      <w:proofErr w:type="spellEnd"/>
      <w:r w:rsidRPr="003E070E">
        <w:t xml:space="preserve"> exists in three forms: </w:t>
      </w:r>
      <w:proofErr w:type="spellStart"/>
      <w:r w:rsidRPr="003E070E">
        <w:t>hypophosphorylated</w:t>
      </w:r>
      <w:proofErr w:type="spellEnd"/>
      <w:r w:rsidRPr="003E070E">
        <w:t xml:space="preserve">, monophosphorylated, and hyperphosphorylated states. Each of these serve a specific function within the cell. Our simple model only takes into account two forms of </w:t>
      </w:r>
      <w:proofErr w:type="spellStart"/>
      <w:r w:rsidRPr="003E070E">
        <w:t>Rb</w:t>
      </w:r>
      <w:proofErr w:type="spellEnd"/>
      <w:r w:rsidRPr="003E070E">
        <w:t xml:space="preserve">: the non- and phosphorylated (combined mono- and hyper-) states. In our model, cyclin D/Cdk4-6 complex phosphorylates </w:t>
      </w:r>
      <w:proofErr w:type="spellStart"/>
      <w:r w:rsidRPr="003E070E">
        <w:t>Rb</w:t>
      </w:r>
      <w:proofErr w:type="spellEnd"/>
      <w:r w:rsidRPr="003E070E">
        <w:t xml:space="preserve">, inhibiting it from binding to E2F. Cyclin E/Cdk2 complex further </w:t>
      </w:r>
      <w:r w:rsidRPr="003E070E">
        <w:lastRenderedPageBreak/>
        <w:t xml:space="preserve">phosphorylates and inactivates </w:t>
      </w:r>
      <w:proofErr w:type="spellStart"/>
      <w:r w:rsidRPr="003E070E">
        <w:t>Rb</w:t>
      </w:r>
      <w:proofErr w:type="spellEnd"/>
      <w:r w:rsidRPr="003E070E">
        <w:t xml:space="preserve">. Biologically, the cyclin D complex is responsible for monophosphorylating </w:t>
      </w:r>
      <w:proofErr w:type="spellStart"/>
      <w:r w:rsidRPr="003E070E">
        <w:t>Rb</w:t>
      </w:r>
      <w:proofErr w:type="spellEnd"/>
      <w:r w:rsidRPr="003E070E">
        <w:t xml:space="preserve"> and the cyclin E complex </w:t>
      </w:r>
      <w:proofErr w:type="spellStart"/>
      <w:r w:rsidRPr="003E070E">
        <w:t>hyperphosphorlates</w:t>
      </w:r>
      <w:proofErr w:type="spellEnd"/>
      <w:r w:rsidRPr="003E070E">
        <w:t xml:space="preserve"> </w:t>
      </w:r>
      <w:proofErr w:type="spellStart"/>
      <w:r w:rsidRPr="003E070E">
        <w:t>Rb</w:t>
      </w:r>
      <w:proofErr w:type="spellEnd"/>
      <w:r w:rsidRPr="003E070E">
        <w:t xml:space="preserve">, progressing the cell cycle. We model this by increasing the </w:t>
      </w:r>
      <w:proofErr w:type="spellStart"/>
      <w:r w:rsidRPr="003E070E">
        <w:t>Rb</w:t>
      </w:r>
      <w:proofErr w:type="spellEnd"/>
      <w:r w:rsidRPr="003E070E">
        <w:t xml:space="preserve"> phosphorylation rate from the cyclin E complex in comparison to the cyclin D complex. </w:t>
      </w:r>
    </w:p>
    <w:p w14:paraId="77A9E43D" w14:textId="77777777" w:rsidR="003E070E" w:rsidRPr="003E070E" w:rsidRDefault="003E070E" w:rsidP="003E070E">
      <w:pPr>
        <w:jc w:val="both"/>
      </w:pPr>
    </w:p>
    <w:p w14:paraId="4BA5F0DF" w14:textId="77777777" w:rsidR="003E070E" w:rsidRPr="003E070E" w:rsidRDefault="003E070E" w:rsidP="003E070E">
      <w:pPr>
        <w:numPr>
          <w:ilvl w:val="2"/>
          <w:numId w:val="0"/>
        </w:numPr>
        <w:ind w:left="720" w:hanging="720"/>
        <w:contextualSpacing/>
        <w:jc w:val="left"/>
        <w:outlineLvl w:val="2"/>
        <w:rPr>
          <w:b/>
          <w:bCs w:val="0"/>
        </w:rPr>
      </w:pPr>
      <w:bookmarkStart w:id="5" w:name="_Toc49318302"/>
      <w:r w:rsidRPr="003E070E">
        <w:rPr>
          <w:b/>
          <w:bCs w:val="0"/>
        </w:rPr>
        <w:t>S phase</w:t>
      </w:r>
      <w:bookmarkEnd w:id="5"/>
    </w:p>
    <w:p w14:paraId="38166677" w14:textId="77777777" w:rsidR="003E070E" w:rsidRPr="003E070E" w:rsidRDefault="003E070E" w:rsidP="003E070E">
      <w:pPr>
        <w:ind w:firstLine="360"/>
        <w:jc w:val="both"/>
      </w:pPr>
      <w:r w:rsidRPr="003E070E">
        <w:t xml:space="preserve">Once cyclin E levels – stimulated by E2F – reach a threshold, the cell moves from G1 into S. Cyclin E/Cdk2 can form an inactive complex with p21/p27. A positive feedback loop controls further activation of the cyclin E/Cdk2 complex through Cdc25. We do not explicitly include Cdc25 in this model, but the effect of its positive feedback is included via self-activation of cyclin E. Through S-phase kinase-associated protein 2 (Skp2), cyclin E phosphorylates p21/p27, marking it for degradation. Skp2 also degrades cyclin E, helping the cell cycle to progress. Inactivation of cyclin E can occur through Wee1 kinase. In our model, the cyclin E complex is inactivated by the emergence of the cyclin A/Cdk2 complex. </w:t>
      </w:r>
    </w:p>
    <w:p w14:paraId="4E65B9B2" w14:textId="77777777" w:rsidR="003E070E" w:rsidRPr="003E070E" w:rsidRDefault="003E070E" w:rsidP="003E070E">
      <w:pPr>
        <w:jc w:val="both"/>
      </w:pPr>
    </w:p>
    <w:p w14:paraId="2F91D308" w14:textId="77777777" w:rsidR="003E070E" w:rsidRPr="003E070E" w:rsidRDefault="003E070E" w:rsidP="003E070E">
      <w:pPr>
        <w:numPr>
          <w:ilvl w:val="2"/>
          <w:numId w:val="0"/>
        </w:numPr>
        <w:ind w:left="720" w:hanging="720"/>
        <w:contextualSpacing/>
        <w:jc w:val="left"/>
        <w:outlineLvl w:val="2"/>
        <w:rPr>
          <w:b/>
          <w:bCs w:val="0"/>
        </w:rPr>
      </w:pPr>
      <w:bookmarkStart w:id="6" w:name="_Toc49318303"/>
      <w:r w:rsidRPr="003E070E">
        <w:rPr>
          <w:b/>
          <w:bCs w:val="0"/>
        </w:rPr>
        <w:t>G2 phase</w:t>
      </w:r>
      <w:bookmarkEnd w:id="6"/>
    </w:p>
    <w:p w14:paraId="0859ACEE" w14:textId="77777777" w:rsidR="003E070E" w:rsidRPr="003E070E" w:rsidRDefault="003E070E" w:rsidP="003E070E">
      <w:pPr>
        <w:ind w:firstLine="360"/>
        <w:jc w:val="both"/>
      </w:pPr>
      <w:r w:rsidRPr="003E070E">
        <w:t xml:space="preserve">The S/G2 transition occurs with the synthesis of active cyclin A/Cdk2 complex, driven by E2F. Cyclin A supports the transition through S phase by both inactivating E2F and inhibiting cadherin-1 (CDH1). In turn, CDH1 degrades Skp2, which stimulates the degradation of cyclin E. The reduction in cyclin E activity facilitates the proper progression through S phase. Further control is exhibited through p21/p27 binding, sequestering cyclin </w:t>
      </w:r>
      <w:proofErr w:type="spellStart"/>
      <w:r w:rsidRPr="003E070E">
        <w:t>A</w:t>
      </w:r>
      <w:proofErr w:type="spellEnd"/>
      <w:r w:rsidRPr="003E070E">
        <w:t xml:space="preserve"> out of the available pool. It has been shown that Wee1 also inactivates cyclin A, similar to cyclin E. We do not include this step. Instead, cyclin A is ultimately inactivated by Cdc20, the final component of our mitotic model. </w:t>
      </w:r>
    </w:p>
    <w:p w14:paraId="734BE3D3" w14:textId="77777777" w:rsidR="003E070E" w:rsidRPr="003E070E" w:rsidRDefault="003E070E" w:rsidP="003E070E">
      <w:pPr>
        <w:jc w:val="both"/>
      </w:pPr>
    </w:p>
    <w:p w14:paraId="41700CCA" w14:textId="77777777" w:rsidR="003E070E" w:rsidRPr="003E070E" w:rsidRDefault="003E070E" w:rsidP="003E070E">
      <w:pPr>
        <w:numPr>
          <w:ilvl w:val="2"/>
          <w:numId w:val="0"/>
        </w:numPr>
        <w:ind w:left="720" w:hanging="720"/>
        <w:contextualSpacing/>
        <w:jc w:val="left"/>
        <w:outlineLvl w:val="2"/>
        <w:rPr>
          <w:b/>
          <w:bCs w:val="0"/>
        </w:rPr>
      </w:pPr>
      <w:bookmarkStart w:id="7" w:name="_Toc49318304"/>
      <w:r w:rsidRPr="003E070E">
        <w:rPr>
          <w:b/>
          <w:bCs w:val="0"/>
        </w:rPr>
        <w:t>M phase</w:t>
      </w:r>
      <w:bookmarkEnd w:id="7"/>
    </w:p>
    <w:p w14:paraId="02A77408" w14:textId="77777777" w:rsidR="003E070E" w:rsidRPr="003E070E" w:rsidRDefault="003E070E" w:rsidP="003E070E">
      <w:pPr>
        <w:ind w:firstLine="360"/>
        <w:jc w:val="both"/>
      </w:pPr>
      <w:r w:rsidRPr="003E070E">
        <w:t xml:space="preserve">Cyclin A triggers the activation of the cyclin B/Cdk1 complex, signaling the progression of the cell cycle into M phase. In the full model, cyclin B is degraded by CDH1, with constant synthesis of cyclin B. When CDH1 is inhibited by cyclin A, cyclin B levels can then increase unhindered. In the simple model, cyclin A activates cyclin B directly. Subsequently, cyclin B activates Cdc20, which, in turn, negatively regulates cyclin B and cyclin A. Negative feedback pathways acting through cyclin B and Cdc20 down regulate cyclin A and help set the proper progression through division. </w:t>
      </w:r>
    </w:p>
    <w:p w14:paraId="6D1B17CB" w14:textId="77777777" w:rsidR="003E070E" w:rsidRPr="003E070E" w:rsidRDefault="003E070E" w:rsidP="003E070E">
      <w:pPr>
        <w:jc w:val="both"/>
      </w:pPr>
    </w:p>
    <w:p w14:paraId="436CAC20" w14:textId="77777777" w:rsidR="003E070E" w:rsidRPr="003E070E" w:rsidRDefault="003E070E" w:rsidP="003E070E">
      <w:pPr>
        <w:numPr>
          <w:ilvl w:val="1"/>
          <w:numId w:val="0"/>
        </w:numPr>
        <w:ind w:left="576" w:hanging="576"/>
        <w:contextualSpacing/>
        <w:jc w:val="left"/>
        <w:outlineLvl w:val="1"/>
        <w:rPr>
          <w:b/>
          <w:bCs w:val="0"/>
        </w:rPr>
      </w:pPr>
      <w:bookmarkStart w:id="8" w:name="_Toc49318305"/>
      <w:r w:rsidRPr="003E070E">
        <w:rPr>
          <w:b/>
          <w:bCs w:val="0"/>
        </w:rPr>
        <w:t>Apoptosis</w:t>
      </w:r>
      <w:bookmarkEnd w:id="8"/>
    </w:p>
    <w:p w14:paraId="1E26EF3E" w14:textId="10658C1C" w:rsidR="003E070E" w:rsidRDefault="003E070E" w:rsidP="003E070E">
      <w:pPr>
        <w:ind w:firstLine="360"/>
        <w:jc w:val="both"/>
      </w:pPr>
      <w:r w:rsidRPr="003E070E">
        <w:t xml:space="preserve">We have included an intrinsic apoptosis module to account for cell death in our model by adapting a portion of the Tyson model for apoptosis </w:t>
      </w:r>
      <w:r w:rsidRPr="003E070E">
        <w:fldChar w:fldCharType="begin" w:fldLock="1"/>
      </w:r>
      <w:r w:rsidRPr="003E070E">
        <w:instrText>ADDIN CSL_CITATION {"citationItems":[{"id":"ITEM-1","itemData":{"DOI":"10.1016/j.bpj.2009.04.053","ISBN":"1542-0086 (Electronic)\\r0006-3495 (Linking)","ISSN":"00063495","PMID":"19619456","abstract":"Multicellular organisms shape development and remove aberrant cells by programmed cell death (\"apoptosis\"). Because defective cell death (too little or too much) is implicated in various diseases (like cancer and autoimmunity), understanding how apoptosis is regulated is an important goal of molecular cell biologists. To this end, we propose a mathematical model of the intrinsic apoptotic pathway that captures three key dynamical features: a signal threshold to elicit cell death, irreversible commitment to the response, and a time delay that is inversely proportional to signal strength. Subdividing the intrinsic pathway into three modules (initiator, amplifier, executioner), we use computer simulation and bifurcation theory to attribute signal threshold and time delay to positive feedback in the initiator module and irreversible commitment to positive feedback in the executioner module. The model accounts for the behavior of mutants deficient in various genes and is used to design experiments that would test its basic assumptions. Finally, we apply the model to study p53-induced cellular responses to DNA damage. Cells first undergo cell cycle arrest and DNA repair, and then apoptosis if the damage is beyond repair. The model ascribes this cell-fate transition to a transformation of p53 from \"helper\" to \"killer\" forms. ?? 2009 by the Biophysical Society.","author":[{"dropping-particle":"","family":"Zhang","given":"Tongli","non-dropping-particle":"","parse-names":false,"suffix":""},{"dropping-particle":"","family":"Brazhnik","given":"Paul","non-dropping-particle":"","parse-names":false,"suffix":""},{"dropping-particle":"","family":"Tyson","given":"John J.","non-dropping-particle":"","parse-names":false,"suffix":""}],"container-title":"Biophysical Journal","id":"ITEM-1","issue":"2","issued":{"date-parts":[["2009"]]},"page":"415-434","title":"Computational analysis of dynamical responses to the intrinsic pathway of programmed cell death","type":"article-journal","volume":"97"},"uris":["http://www.mendeley.com/documents/?uuid=1ec3e44b-285c-3beb-829b-8a51d85e19ba"]}],"mendeley":{"formattedCitation":"[74]","plainTextFormattedCitation":"[74]","previouslyFormattedCitation":"[74]"},"properties":{"noteIndex":0},"schema":"https://github.com/citation-style-language/schema/raw/master/csl-citation.json"}</w:instrText>
      </w:r>
      <w:r w:rsidRPr="003E070E">
        <w:fldChar w:fldCharType="separate"/>
      </w:r>
      <w:r w:rsidRPr="003E070E">
        <w:rPr>
          <w:noProof/>
        </w:rPr>
        <w:t>[74]</w:t>
      </w:r>
      <w:r w:rsidRPr="003E070E">
        <w:fldChar w:fldCharType="end"/>
      </w:r>
      <w:r w:rsidRPr="003E070E">
        <w:t xml:space="preserve">. ERK, in addition to AKT through </w:t>
      </w:r>
      <w:proofErr w:type="spellStart"/>
      <w:r w:rsidRPr="003E070E">
        <w:t>forkhead</w:t>
      </w:r>
      <w:proofErr w:type="spellEnd"/>
      <w:r w:rsidRPr="003E070E">
        <w:t xml:space="preserve"> box O3 (FOXO3), negatively regulates BCL-2-like protein 11 (BH3 or BIM). When AKT and ERK are low, BH3 levels increase. B-cell lymphoma 2 (BCL2) initially binds to and removes active BH3 from the activating pool. However, if AKT and ERK remain low, BH3 levels continue to rise, leading to the activation of BCL2-like protein 4 (BAX). Within the cell, BH3 instigates a conformational change within BAX, allowing it to insert into the mitochondrial membrane. BAX oligomerizes with itself to form a pore, allowing the release of cytochrome c and apoptotic factors. Once this occurs, the apoptosis decision within the cell is final. Additionally, BAX negatively regulates BCL2, preventing BCL2 from binding and inhibiting BAX. The relationship allows for a bistable response to low AKT and ERK inputs. In the model, BAX is inactivated at a basal level to prevent accumulation and premature cell death. </w:t>
      </w:r>
    </w:p>
    <w:sectPr w:rsidR="003E07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70E"/>
    <w:rsid w:val="00282CE2"/>
    <w:rsid w:val="002F05A5"/>
    <w:rsid w:val="00302093"/>
    <w:rsid w:val="003E070E"/>
    <w:rsid w:val="004E5A6E"/>
    <w:rsid w:val="00AB365A"/>
    <w:rsid w:val="00B07C34"/>
    <w:rsid w:val="00FA590C"/>
    <w:rsid w:val="00FF0C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EC1C0"/>
  <w15:chartTrackingRefBased/>
  <w15:docId w15:val="{7D284919-7F23-4614-83B9-BA6AEFD99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70E"/>
    <w:pPr>
      <w:spacing w:after="0" w:line="480" w:lineRule="auto"/>
      <w:jc w:val="center"/>
    </w:pPr>
    <w:rPr>
      <w:rFonts w:ascii="Times New Roman" w:hAnsi="Times New Roman" w:cs="Times New Roman"/>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basedOn w:val="Normal"/>
    <w:link w:val="BodyChar"/>
    <w:qFormat/>
    <w:rsid w:val="003E070E"/>
    <w:pPr>
      <w:ind w:firstLine="360"/>
      <w:jc w:val="left"/>
    </w:pPr>
  </w:style>
  <w:style w:type="character" w:customStyle="1" w:styleId="BodyChar">
    <w:name w:val="Body Char"/>
    <w:basedOn w:val="DefaultParagraphFont"/>
    <w:link w:val="Body"/>
    <w:rsid w:val="003E070E"/>
    <w:rPr>
      <w:rFonts w:ascii="Times New Roman" w:hAnsi="Times New Roman" w:cs="Times New Roman"/>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7593</Words>
  <Characters>43286</Characters>
  <Application>Microsoft Office Word</Application>
  <DocSecurity>0</DocSecurity>
  <Lines>360</Lines>
  <Paragraphs>101</Paragraphs>
  <ScaleCrop>false</ScaleCrop>
  <Company/>
  <LinksUpToDate>false</LinksUpToDate>
  <CharactersWithSpaces>50778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Austin O</dc:creator>
  <cp:keywords/>
  <dc:description/>
  <cp:lastModifiedBy>Austin O</cp:lastModifiedBy>
  <cp:revision>1</cp:revision>
  <dcterms:created xsi:type="dcterms:W3CDTF">2020-09-22T15:41:00Z</dcterms:created>
  <dcterms:modified xsi:type="dcterms:W3CDTF">2020-09-22T15:48:00Z</dcterms:modified>
</cp:coreProperties>
</file>