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与现场确认停机时间范围(信息中心)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与提迈克鲍丽确认酸轧L2的Socket通信程序是否可修改远程连接配置(信息中心协调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(连接到测试环境 100.1.100.14:4001)</w:t>
      </w:r>
    </w:p>
    <w:tbl>
      <w:tblPr>
        <w:tblStyle w:val="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生产环境配置: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三级Socket服务端端口为: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server.local.port=4001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二级Socket服务端IP和端口为: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server.remote.ip=100.1.100.101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server.remote.port=11501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测试环境配置: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三级Socket服务端IP和端口为: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server.local.</w:t>
            </w:r>
            <w:r>
              <w:rPr>
                <w:rFonts w:hint="eastAsia"/>
                <w:lang w:val="en-US" w:eastAsia="zh-CN"/>
              </w:rPr>
              <w:t>ip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100.1.100.14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server.local.port=4001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二级Socket服务端IP和端口为: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server.remote.ip=100.1.100.101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server.remote.port=11501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条件1、2成立后，在停机状态下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信息中心（吴长河）修改容器服务编排配置，如下图：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4265" cy="541972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增加4001端口暴露：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"4001:4001"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修改三级地址端口：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NETTY_LOCAL_ADDR=100.1.100.14</w:t>
      </w:r>
    </w:p>
    <w:p>
      <w:pPr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 NETTY_LOCAL_PORT=4001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修改二级地址端口：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 NETTY_REMOTE_ADDR=100.1.100.101</w:t>
      </w:r>
    </w:p>
    <w:p>
      <w:pPr>
        <w:numPr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 NETTY_REMOTE_PORT=11501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注意：yaml格式缩进，禁止使用TAB键缩进，使用空格键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点击</w:t>
      </w:r>
      <w:r>
        <w:drawing>
          <wp:inline distT="0" distB="0" distL="114300" distR="114300">
            <wp:extent cx="1554480" cy="480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按钮更新服务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验证端口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Socket服务更新完成后，在dos界面下输入 telnet 100.1.100.14 4001  查看端口是否可用,如下图: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8075" cy="323342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能telnet连通即可,如果不通,可删除老容器,系统系统自动会启动新容器,删除操作如下: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76645" cy="307721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待conn-netty.xx 的新容器running 后,再次做telnet 100.1.100.14 4001 连通性测试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条件1、2成立后，在停机状态下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由提迈克鲍丽修改二级Socket通信程序的远程连接为: 100.1.100.14 4001,修改前备份原来程序和配置. 保证修改后通信程序能正常运行.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通信双方监测本地是否收到对方的心跳数据包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三级方在通信后台管理界面查看Socket系统日志,观察系统状态,是否有客户端连接,如下图:</w:t>
      </w:r>
    </w:p>
    <w:p>
      <w:pPr>
        <w:numPr>
          <w:numId w:val="0"/>
        </w:numPr>
      </w:pPr>
      <w:r>
        <w:drawing>
          <wp:inline distT="0" distB="0" distL="114300" distR="114300">
            <wp:extent cx="6180455" cy="493776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二级方查看本地是否有客户端连接,是否收到心跳报文,心跳报文是否稳定.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持续10-20分钟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测试完成后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由提迈克鲍丽恢复二级通信程序至原来的配置,并确保通信程序可用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由信息中心吴长河恢复容器服务编排配置文件,注释掉相关配置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1090" cy="636651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drawing>
          <wp:inline distT="0" distB="0" distL="114300" distR="114300">
            <wp:extent cx="1546860" cy="365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按钮进行服务更新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6E7A2"/>
    <w:multiLevelType w:val="multilevel"/>
    <w:tmpl w:val="4036E7A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19AC"/>
    <w:rsid w:val="3DE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2019-03-19T02:42:00Z</dcterms:created>
  <dc:creator>忘情森林</dc:creator>
  <cp:lastModifiedBy>忘情森林</cp:lastModifiedBy>
  <dcterms:modified xsi:type="dcterms:W3CDTF">2019-03-19T03:26:30Z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