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b/>
          <w:sz w:val="40"/>
          <w:szCs w:val="40"/>
        </w:rPr>
      </w:pPr>
      <w:r>
        <w:drawing>
          <wp:inline distT="0" distB="0" distL="0" distR="0">
            <wp:extent cx="1188720" cy="1188720"/>
            <wp:effectExtent l="0" t="0" r="0" b="0"/>
            <wp:docPr id="1" name="Picture 1" descr="https://github.com/remojansen/logo.ts/raw/master/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github.com/remojansen/logo.ts/raw/master/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Typescript</w:t>
      </w:r>
    </w:p>
    <w:p>
      <w:pPr>
        <w:spacing w:after="200" w:line="276" w:lineRule="auto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0"/>
          <w:szCs w:val="22"/>
          <w:lang w:eastAsia="en-US"/>
        </w:rPr>
        <w:id w:val="1803960696"/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0"/>
          <w:szCs w:val="22"/>
          <w:lang w:eastAsia="en-US"/>
        </w:rPr>
      </w:sdtEndPr>
      <w:sdtContent>
        <w:p>
          <w:pPr>
            <w:pStyle w:val="28"/>
          </w:pPr>
          <w:r>
            <w:t>Contents</w:t>
          </w:r>
        </w:p>
        <w:p>
          <w:pPr>
            <w:pStyle w:val="11"/>
            <w:tabs>
              <w:tab w:val="left" w:pos="440"/>
              <w:tab w:val="right" w:leader="dot" w:pos="93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"_Toc493238773" </w:instrText>
          </w:r>
          <w:r>
            <w:fldChar w:fldCharType="separate"/>
          </w:r>
          <w:r>
            <w:rPr>
              <w:rStyle w:val="15"/>
              <w:rFonts w:ascii="Cambria" w:hAnsi="Cambria"/>
              <w:b/>
              <w:bCs/>
              <w:lang w:val="en-IN"/>
            </w:rPr>
            <w:t>1</w:t>
          </w:r>
          <w:r>
            <w:tab/>
          </w:r>
          <w:r>
            <w:rPr>
              <w:rStyle w:val="15"/>
              <w:rFonts w:ascii="Cambria" w:hAnsi="Cambria"/>
              <w:b/>
              <w:bCs/>
              <w:lang w:val="en-IN"/>
            </w:rPr>
            <w:t>Basic Types (Primitive)</w:t>
          </w:r>
          <w:r>
            <w:tab/>
          </w:r>
          <w:r>
            <w:fldChar w:fldCharType="begin"/>
          </w:r>
          <w:r>
            <w:instrText xml:space="preserve"> PAGEREF _Toc493238773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9346"/>
            </w:tabs>
          </w:pPr>
          <w:r>
            <w:fldChar w:fldCharType="begin"/>
          </w:r>
          <w:r>
            <w:instrText xml:space="preserve"> HYPERLINK \l "_Toc493238774" </w:instrText>
          </w:r>
          <w:r>
            <w:fldChar w:fldCharType="separate"/>
          </w:r>
          <w:r>
            <w:rPr>
              <w:rStyle w:val="15"/>
              <w:rFonts w:ascii="Cambria" w:hAnsi="Cambria"/>
              <w:b/>
              <w:bCs/>
              <w:lang w:val="en-IN"/>
            </w:rPr>
            <w:t>2</w:t>
          </w:r>
          <w:r>
            <w:tab/>
          </w:r>
          <w:r>
            <w:rPr>
              <w:rStyle w:val="15"/>
              <w:rFonts w:ascii="Cambria" w:hAnsi="Cambria"/>
              <w:b/>
              <w:bCs/>
              <w:lang w:val="en-IN"/>
            </w:rPr>
            <w:t>Composite Types</w:t>
          </w:r>
          <w:r>
            <w:tab/>
          </w:r>
          <w:r>
            <w:fldChar w:fldCharType="begin"/>
          </w:r>
          <w:r>
            <w:instrText xml:space="preserve"> PAGEREF _Toc493238774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40"/>
              <w:tab w:val="right" w:leader="dot" w:pos="9346"/>
            </w:tabs>
          </w:pPr>
          <w:r>
            <w:fldChar w:fldCharType="begin"/>
          </w:r>
          <w:r>
            <w:instrText xml:space="preserve"> HYPERLINK \l "_Toc493238775" </w:instrText>
          </w:r>
          <w:r>
            <w:fldChar w:fldCharType="separate"/>
          </w:r>
          <w:r>
            <w:rPr>
              <w:rStyle w:val="15"/>
              <w:rFonts w:ascii="Cambria" w:hAnsi="Cambria"/>
              <w:b/>
              <w:bCs/>
              <w:lang w:val="en-IN"/>
            </w:rPr>
            <w:t>3</w:t>
          </w:r>
          <w:r>
            <w:tab/>
          </w:r>
          <w:r>
            <w:rPr>
              <w:rStyle w:val="15"/>
              <w:rFonts w:ascii="Cambria" w:hAnsi="Cambria"/>
              <w:b/>
              <w:bCs/>
              <w:lang w:val="en-IN"/>
            </w:rPr>
            <w:t>Interface Type</w:t>
          </w:r>
          <w:r>
            <w:tab/>
          </w:r>
          <w:r>
            <w:fldChar w:fldCharType="begin"/>
          </w:r>
          <w:r>
            <w:instrText xml:space="preserve"> PAGEREF _Toc493238775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200" w:line="276" w:lineRule="auto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br w:type="page"/>
      </w: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bookmarkStart w:id="0" w:name="_Toc493238773"/>
      <w:r>
        <w:rPr>
          <w:rFonts w:ascii="Cambria" w:hAnsi="Cambria"/>
          <w:b/>
          <w:bCs/>
          <w:sz w:val="32"/>
          <w:szCs w:val="32"/>
          <w:lang w:val="en-IN"/>
        </w:rPr>
        <w:t>Basic Types (Primitive)</w:t>
      </w:r>
      <w:bookmarkEnd w:id="0"/>
    </w:p>
    <w:tbl>
      <w:tblPr>
        <w:tblStyle w:val="17"/>
        <w:tblW w:w="9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Cambria" w:hAnsi="Cambria"/>
                <w:color w:val="FFFFFF"/>
                <w:szCs w:val="20"/>
                <w:lang w:val="en-IN"/>
              </w:rPr>
            </w:pPr>
            <w:r>
              <w:rPr>
                <w:rFonts w:ascii="Cambria" w:hAnsi="Cambria"/>
                <w:color w:val="FFFFFF"/>
                <w:szCs w:val="20"/>
                <w:lang w:val="en-IN"/>
              </w:rPr>
              <w:t>Type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Cambria" w:hAnsi="Cambria"/>
                <w:color w:val="FFFFFF"/>
                <w:szCs w:val="20"/>
                <w:lang w:val="en-IN"/>
              </w:rPr>
            </w:pPr>
            <w:r>
              <w:rPr>
                <w:rFonts w:ascii="Cambria" w:hAnsi="Cambria"/>
                <w:color w:val="FFFFFF"/>
                <w:szCs w:val="20"/>
                <w:lang w:val="en-I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boolean</w:t>
            </w:r>
          </w:p>
        </w:tc>
        <w:tc>
          <w:tcPr>
            <w:tcW w:w="67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number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 xml:space="preserve">Floating point values, Supports </w:t>
            </w:r>
            <w:r>
              <w:rPr>
                <w:rFonts w:ascii="Cambria" w:hAnsi="Cambria"/>
                <w:color w:val="000000"/>
                <w:szCs w:val="20"/>
                <w:lang w:val="en-IN"/>
              </w:rPr>
              <w:br w:type="textWrapping"/>
            </w:r>
            <w:r>
              <w:rPr>
                <w:rFonts w:ascii="Cambria" w:hAnsi="Cambria"/>
                <w:color w:val="000000"/>
                <w:szCs w:val="20"/>
                <w:lang w:val="en-IN"/>
              </w:rPr>
              <w:t>Binary (prefix ‘0b’), Decimal (6, 60), Octal (prefix ‘0o’) and hexadecimal (prefix ‘0x’)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string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Supports Single quote, double quote for constant strings and backtick/backquote ( ` ) for template strings which supports embedded expression of the form ${ expr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void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Represents no return type when used in function return 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enum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Enumerator like in C#, By default the start member has value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null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It is an assignment value. Null is an object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undefined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Means a variable is declared but no value is assigned yet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never *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 xml:space="preserve">It represents the type of values that never occur. </w:t>
            </w:r>
            <w:r>
              <w:rPr>
                <w:rFonts w:ascii="Cambria" w:hAnsi="Cambria"/>
                <w:szCs w:val="20"/>
                <w:lang w:val="en-IN"/>
              </w:rPr>
              <w:t>An internal type for typescript compiler, we cannot actually see the type as it is unreachable to end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symbol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 xml:space="preserve">A symbol value may be used as an identifier for object properties. 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mbria" w:hAnsi="Cambria"/>
          <w:b/>
          <w:bCs/>
          <w:color w:val="FF0000"/>
          <w:szCs w:val="20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mbria" w:hAnsi="Cambria"/>
          <w:b/>
          <w:bCs/>
          <w:color w:val="FF0000"/>
          <w:szCs w:val="20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bookmarkStart w:id="1" w:name="_Toc493238774"/>
      <w:r>
        <w:rPr>
          <w:rFonts w:ascii="Cambria" w:hAnsi="Cambria"/>
          <w:b/>
          <w:bCs/>
          <w:sz w:val="32"/>
          <w:szCs w:val="32"/>
          <w:lang w:val="en-IN"/>
        </w:rPr>
        <w:t>Composite Types</w:t>
      </w:r>
      <w:bookmarkEnd w:id="1"/>
    </w:p>
    <w:tbl>
      <w:tblPr>
        <w:tblStyle w:val="17"/>
        <w:tblW w:w="9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Cambria" w:hAnsi="Cambria"/>
                <w:color w:val="FFFFFF"/>
                <w:szCs w:val="20"/>
                <w:lang w:val="en-IN"/>
              </w:rPr>
            </w:pPr>
            <w:r>
              <w:rPr>
                <w:rFonts w:ascii="Cambria" w:hAnsi="Cambria"/>
                <w:color w:val="FFFFFF"/>
                <w:szCs w:val="20"/>
                <w:lang w:val="en-IN"/>
              </w:rPr>
              <w:t>Type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Cambria" w:hAnsi="Cambria"/>
                <w:color w:val="FFFFFF"/>
                <w:szCs w:val="20"/>
                <w:lang w:val="en-IN"/>
              </w:rPr>
            </w:pPr>
            <w:r>
              <w:rPr>
                <w:rFonts w:ascii="Cambria" w:hAnsi="Cambria"/>
                <w:color w:val="FFFFFF"/>
                <w:szCs w:val="20"/>
                <w:lang w:val="en-I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Array, []</w:t>
            </w:r>
          </w:p>
        </w:tc>
        <w:tc>
          <w:tcPr>
            <w:tcW w:w="67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Has dedicated type syntax for arrays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Tuple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With tuples one can define type of data at every position of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any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 xml:space="preserve">A type which can hold any other type.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enum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A friendly datatype to define a set of numeric values with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ReadonlyArray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Same as Array except works as a readonly property, once created, the values cannot be modified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Math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Date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RegExp</w:t>
            </w:r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  <w:r>
              <w:rPr>
                <w:rFonts w:ascii="Cambria" w:hAnsi="Cambria"/>
                <w:color w:val="000000"/>
                <w:szCs w:val="20"/>
                <w:lang w:val="en-IN"/>
              </w:rPr>
              <w:t>Union Types</w:t>
            </w:r>
            <w:bookmarkStart w:id="3" w:name="_GoBack"/>
            <w:bookmarkEnd w:id="3"/>
          </w:p>
        </w:tc>
        <w:tc>
          <w:tcPr>
            <w:tcW w:w="6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Cambria" w:hAnsi="Cambria"/>
                <w:color w:val="000000"/>
                <w:szCs w:val="20"/>
                <w:lang w:val="en-IN"/>
              </w:rPr>
            </w:pPr>
          </w:p>
        </w:tc>
      </w:tr>
    </w:tbl>
    <w:p>
      <w:pPr>
        <w:spacing w:after="200" w:line="276" w:lineRule="auto"/>
        <w:rPr>
          <w:rFonts w:ascii="Cambria" w:hAnsi="Cambria"/>
          <w:szCs w:val="20"/>
          <w:lang w:val="en-IN"/>
        </w:rPr>
      </w:pPr>
    </w:p>
    <w:p>
      <w:pPr>
        <w:spacing w:after="200" w:line="276" w:lineRule="auto"/>
        <w:rPr>
          <w:rFonts w:ascii="Cambria" w:hAnsi="Cambria"/>
          <w:szCs w:val="20"/>
          <w:lang w:val="en-IN"/>
        </w:rPr>
      </w:pPr>
      <w:r>
        <w:rPr>
          <w:rFonts w:ascii="Cambria" w:hAnsi="Cambria"/>
          <w:b/>
          <w:bCs/>
          <w:color w:val="FF0000"/>
          <w:szCs w:val="20"/>
          <w:lang w:val="en-IN"/>
        </w:rPr>
        <w:t>Hands On</w:t>
      </w: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bookmarkStart w:id="2" w:name="_Toc493238775"/>
      <w:r>
        <w:rPr>
          <w:rFonts w:ascii="Cambria" w:hAnsi="Cambria"/>
          <w:b/>
          <w:bCs/>
          <w:sz w:val="32"/>
          <w:szCs w:val="32"/>
          <w:lang w:val="en-IN"/>
        </w:rPr>
        <w:t>Interface Type</w:t>
      </w:r>
      <w:bookmarkEnd w:id="2"/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Contracts within a code, blueprint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Declaration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With name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Interface IExample {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 xml:space="preserve">   Var1: string,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 xml:space="preserve">   Var2: number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}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Without name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function(iobj : { x: number, y: number }): void {}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function(arg: string): { x: number, y: number } {}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Optional properties using ‘?’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readonly property (Only assigned when created)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interface IExample {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 xml:space="preserve">  readonly var1: string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}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Interface as function types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interface Method {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 xml:space="preserve">   (var1: number, var2: string): boolean;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}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Indexable types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interface IIndexable {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 xml:space="preserve">   [index: number]: string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}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array: IIndexable = [“hello”, “bob”];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array[0]; //hello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interface inheritance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Class inheriting interfaces</w:t>
      </w: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interface work both as function and object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Construct signature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b/>
          <w:szCs w:val="20"/>
          <w:lang w:val="en-IN"/>
        </w:rPr>
      </w:pPr>
      <w:r>
        <w:rPr>
          <w:rFonts w:ascii="Cambria" w:hAnsi="Cambria"/>
          <w:b/>
          <w:szCs w:val="20"/>
          <w:lang w:val="en-IN"/>
        </w:rPr>
        <w:t>NOTE: There are two types of supported index signatures: string and number</w:t>
      </w:r>
    </w:p>
    <w:p>
      <w:pPr>
        <w:rPr>
          <w:rFonts w:ascii="Cambria" w:hAnsi="Cambria"/>
          <w:b/>
          <w:szCs w:val="20"/>
          <w:lang w:val="en-IN"/>
        </w:rPr>
      </w:pPr>
      <w:r>
        <w:rPr>
          <w:rFonts w:ascii="Cambria" w:hAnsi="Cambria"/>
          <w:b/>
          <w:szCs w:val="20"/>
          <w:lang w:val="en-IN"/>
        </w:rPr>
        <w:t xml:space="preserve">NOTE: variable use </w:t>
      </w:r>
      <w:r>
        <w:rPr>
          <w:rFonts w:ascii="Cambria" w:hAnsi="Cambria"/>
          <w:b/>
          <w:color w:val="FF0000"/>
          <w:szCs w:val="20"/>
          <w:lang w:val="en-IN"/>
        </w:rPr>
        <w:t xml:space="preserve">const </w:t>
      </w:r>
      <w:r>
        <w:rPr>
          <w:rFonts w:ascii="Cambria" w:hAnsi="Cambria"/>
          <w:b/>
          <w:szCs w:val="20"/>
          <w:lang w:val="en-IN"/>
        </w:rPr>
        <w:t xml:space="preserve">, while properties use </w:t>
      </w:r>
      <w:r>
        <w:rPr>
          <w:rFonts w:ascii="Cambria" w:hAnsi="Cambria"/>
          <w:b/>
          <w:color w:val="FF0000"/>
          <w:szCs w:val="20"/>
          <w:lang w:val="en-IN"/>
        </w:rPr>
        <w:t>readonly</w:t>
      </w:r>
    </w:p>
    <w:p>
      <w:pPr>
        <w:rPr>
          <w:rFonts w:ascii="Cambria" w:hAnsi="Cambria"/>
          <w:szCs w:val="20"/>
          <w:lang w:val="en-IN"/>
        </w:rPr>
      </w:pPr>
    </w:p>
    <w:p>
      <w:pPr>
        <w:rPr>
          <w:rFonts w:ascii="Cambria" w:hAnsi="Cambria"/>
          <w:szCs w:val="20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Variable Declarations</w:t>
      </w:r>
    </w:p>
    <w:tbl>
      <w:tblPr>
        <w:tblStyle w:val="18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7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  <w:shd w:val="clear" w:color="auto" w:fill="255B89" w:themeFill="accent1"/>
          </w:tcPr>
          <w:p>
            <w:pPr>
              <w:spacing w:before="0"/>
              <w:jc w:val="center"/>
              <w:rPr>
                <w:rFonts w:ascii="Cambria" w:hAnsi="Cambria"/>
                <w:b/>
                <w:bCs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>Declarator</w:t>
            </w:r>
          </w:p>
        </w:tc>
        <w:tc>
          <w:tcPr>
            <w:tcW w:w="7034" w:type="dxa"/>
            <w:shd w:val="clear" w:color="auto" w:fill="255B89" w:themeFill="accent1"/>
          </w:tcPr>
          <w:p>
            <w:pPr>
              <w:spacing w:before="0"/>
              <w:jc w:val="center"/>
              <w:rPr>
                <w:rFonts w:ascii="Cambria" w:hAnsi="Cambria"/>
                <w:b/>
                <w:bCs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Cs w:val="20"/>
                <w:lang w:val="en-IN"/>
                <w14:textFill>
                  <w14:solidFill>
                    <w14:schemeClr w14:val="bg1"/>
                  </w14:solidFill>
                </w14:textFill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Cambria" w:hAnsi="Cambria"/>
                <w:b w:val="0"/>
                <w:bCs/>
                <w:szCs w:val="20"/>
                <w:lang w:val="en-IN"/>
              </w:rPr>
            </w:pPr>
            <w:r>
              <w:rPr>
                <w:rFonts w:ascii="Cambria" w:hAnsi="Cambria"/>
                <w:b w:val="0"/>
                <w:bCs/>
                <w:szCs w:val="20"/>
                <w:lang w:val="en-IN"/>
              </w:rPr>
              <w:t>var</w:t>
            </w:r>
          </w:p>
        </w:tc>
        <w:tc>
          <w:tcPr>
            <w:tcW w:w="7034" w:type="dxa"/>
            <w:tcBorders>
              <w:top w:val="nil"/>
              <w:bottom w:val="nil"/>
              <w:right w:val="nil"/>
            </w:tcBorders>
          </w:tcPr>
          <w:p>
            <w:pPr>
              <w:pStyle w:val="29"/>
              <w:numPr>
                <w:ilvl w:val="0"/>
                <w:numId w:val="3"/>
              </w:numPr>
              <w:ind w:left="432"/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szCs w:val="20"/>
                <w:lang w:val="en-IN"/>
              </w:rPr>
              <w:t>Declare without type specifier</w:t>
            </w:r>
          </w:p>
          <w:p>
            <w:pPr>
              <w:pStyle w:val="29"/>
              <w:numPr>
                <w:ilvl w:val="0"/>
                <w:numId w:val="3"/>
              </w:numPr>
              <w:ind w:left="432"/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szCs w:val="20"/>
                <w:lang w:val="en-IN"/>
              </w:rPr>
              <w:t>Scope:</w:t>
            </w:r>
          </w:p>
          <w:p>
            <w:pPr>
              <w:pStyle w:val="29"/>
              <w:numPr>
                <w:ilvl w:val="1"/>
                <w:numId w:val="3"/>
              </w:numPr>
              <w:ind w:left="792"/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szCs w:val="20"/>
                <w:lang w:val="en-IN"/>
              </w:rPr>
              <w:t>Access within other functions (Closure Scope)</w:t>
            </w:r>
          </w:p>
          <w:p>
            <w:pPr>
              <w:pStyle w:val="29"/>
              <w:numPr>
                <w:ilvl w:val="1"/>
                <w:numId w:val="3"/>
              </w:numPr>
              <w:ind w:left="792"/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szCs w:val="20"/>
                <w:lang w:val="en-IN"/>
              </w:rPr>
              <w:t>Global scope</w:t>
            </w:r>
          </w:p>
          <w:p>
            <w:pPr>
              <w:pStyle w:val="29"/>
              <w:numPr>
                <w:ilvl w:val="1"/>
                <w:numId w:val="3"/>
              </w:numPr>
              <w:ind w:left="792"/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szCs w:val="20"/>
                <w:lang w:val="en-IN"/>
              </w:rPr>
              <w:t>Local scope</w:t>
            </w:r>
          </w:p>
          <w:p>
            <w:pPr>
              <w:pStyle w:val="29"/>
              <w:numPr>
                <w:ilvl w:val="1"/>
                <w:numId w:val="3"/>
              </w:numPr>
              <w:ind w:left="792"/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szCs w:val="20"/>
                <w:lang w:val="en-IN"/>
              </w:rPr>
              <w:t>Intermediate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</w:pPr>
            <w:r>
              <w:rPr>
                <w:rFonts w:ascii="inherit" w:hAnsi="inherit" w:eastAsia="Times New Roman" w:cs="Consolas"/>
                <w:color w:val="101094"/>
                <w:szCs w:val="20"/>
                <w:shd w:val="clear" w:color="auto" w:fill="EFF0F1"/>
              </w:rPr>
              <w:t>function</w:t>
            </w: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 xml:space="preserve"> four() {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</w:pP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 xml:space="preserve">  </w:t>
            </w:r>
            <w:r>
              <w:rPr>
                <w:rFonts w:ascii="inherit" w:hAnsi="inherit" w:eastAsia="Times New Roman" w:cs="Consolas"/>
                <w:color w:val="101094"/>
                <w:szCs w:val="20"/>
                <w:shd w:val="clear" w:color="auto" w:fill="EFF0F1"/>
              </w:rPr>
              <w:t>if</w:t>
            </w: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 xml:space="preserve"> (</w:t>
            </w:r>
            <w:r>
              <w:rPr>
                <w:rFonts w:ascii="inherit" w:hAnsi="inherit" w:eastAsia="Times New Roman" w:cs="Consolas"/>
                <w:color w:val="101094"/>
                <w:szCs w:val="20"/>
                <w:shd w:val="clear" w:color="auto" w:fill="EFF0F1"/>
              </w:rPr>
              <w:t>true</w:t>
            </w: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>) {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</w:pP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 xml:space="preserve">    </w:t>
            </w:r>
            <w:r>
              <w:rPr>
                <w:rFonts w:ascii="inherit" w:hAnsi="inherit" w:eastAsia="Times New Roman" w:cs="Consolas"/>
                <w:color w:val="101094"/>
                <w:szCs w:val="20"/>
                <w:shd w:val="clear" w:color="auto" w:fill="EFF0F1"/>
              </w:rPr>
              <w:t>var</w:t>
            </w: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 xml:space="preserve"> a = </w:t>
            </w:r>
            <w:r>
              <w:rPr>
                <w:rFonts w:ascii="inherit" w:hAnsi="inherit" w:eastAsia="Times New Roman" w:cs="Consolas"/>
                <w:color w:val="7D2727"/>
                <w:szCs w:val="20"/>
                <w:shd w:val="clear" w:color="auto" w:fill="EFF0F1"/>
              </w:rPr>
              <w:t>4</w:t>
            </w: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>;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</w:pP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 xml:space="preserve">  }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</w:pP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</w:pP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 xml:space="preserve">  alert(a); </w:t>
            </w:r>
            <w:r>
              <w:rPr>
                <w:rFonts w:ascii="inherit" w:hAnsi="inherit" w:eastAsia="Times New Roman" w:cs="Consolas"/>
                <w:color w:val="858C93"/>
                <w:szCs w:val="20"/>
                <w:shd w:val="clear" w:color="auto" w:fill="EFF0F1"/>
              </w:rPr>
              <w:t>// alerts '4', not the global value of '1'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 w:eastAsia="Times New Roman" w:cs="Consolas"/>
                <w:color w:val="393318"/>
                <w:szCs w:val="20"/>
              </w:rPr>
            </w:pPr>
            <w:r>
              <w:rPr>
                <w:rFonts w:ascii="inherit" w:hAnsi="inherit" w:eastAsia="Times New Roman" w:cs="Consolas"/>
                <w:color w:val="303336"/>
                <w:szCs w:val="20"/>
                <w:shd w:val="clear" w:color="auto" w:fill="EFF0F1"/>
              </w:rPr>
              <w:t>}</w:t>
            </w:r>
          </w:p>
          <w:p>
            <w:pPr>
              <w:pStyle w:val="29"/>
              <w:rPr>
                <w:rFonts w:ascii="Cambria" w:hAnsi="Cambria"/>
                <w:szCs w:val="20"/>
                <w:lang w:val="en-IN"/>
              </w:rPr>
            </w:pPr>
          </w:p>
          <w:p>
            <w:pPr>
              <w:rPr>
                <w:rFonts w:ascii="Cambria" w:hAnsi="Cambria"/>
                <w:color w:val="242424"/>
                <w:szCs w:val="20"/>
                <w:shd w:val="clear" w:color="auto" w:fill="FFFFFF"/>
              </w:rPr>
            </w:pPr>
            <w:r>
              <w:rPr>
                <w:rStyle w:val="14"/>
                <w:rFonts w:ascii="Cambria" w:hAnsi="Cambria" w:eastAsiaTheme="minorHAnsi"/>
                <w:color w:val="BF414A"/>
                <w:shd w:val="clear" w:color="auto" w:fill="FFFFFF"/>
              </w:rPr>
              <w:t>var</w:t>
            </w:r>
            <w:r>
              <w:rPr>
                <w:rFonts w:ascii="Cambria" w:hAnsi="Cambria"/>
                <w:color w:val="242424"/>
                <w:szCs w:val="20"/>
                <w:shd w:val="clear" w:color="auto" w:fill="FFFFFF"/>
              </w:rPr>
              <w:t> declarations are accessible anywhere within their containing function, module, namespace, or global scope.</w:t>
            </w:r>
          </w:p>
          <w:p>
            <w:pPr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color w:val="242424"/>
                <w:szCs w:val="20"/>
                <w:shd w:val="clear" w:color="auto" w:fill="FFFFFF"/>
              </w:rPr>
              <w:t>Multiple declaration of same variable is possible and refer to same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>
            <w:pPr>
              <w:rPr>
                <w:rFonts w:ascii="Cambria" w:hAnsi="Cambria"/>
                <w:b w:val="0"/>
                <w:bCs/>
                <w:szCs w:val="20"/>
                <w:lang w:val="en-IN"/>
              </w:rPr>
            </w:pPr>
            <w:r>
              <w:rPr>
                <w:rFonts w:ascii="Cambria" w:hAnsi="Cambria"/>
                <w:b w:val="0"/>
                <w:bCs/>
                <w:szCs w:val="20"/>
                <w:lang w:val="en-IN"/>
              </w:rPr>
              <w:t>let</w:t>
            </w:r>
          </w:p>
        </w:tc>
        <w:tc>
          <w:tcPr>
            <w:tcW w:w="7034" w:type="dxa"/>
          </w:tcPr>
          <w:p>
            <w:pPr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szCs w:val="20"/>
                <w:lang w:val="en-IN"/>
              </w:rPr>
              <w:t>It has block scoping. Shadowing – Declaring same variable in different block is allowed and is consider a separate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  <w:tcBorders>
              <w:top w:val="single" w:color="255B89" w:themeColor="accent1" w:sz="8" w:space="0"/>
              <w:left w:val="single" w:color="255B89" w:themeColor="accent1" w:sz="8" w:space="0"/>
              <w:bottom w:val="single" w:color="255B89" w:themeColor="accent1" w:sz="8" w:space="0"/>
              <w:insideH w:val="single" w:sz="8" w:space="0"/>
            </w:tcBorders>
          </w:tcPr>
          <w:p>
            <w:pPr>
              <w:rPr>
                <w:rFonts w:ascii="Cambria" w:hAnsi="Cambria"/>
                <w:b w:val="0"/>
                <w:bCs/>
                <w:szCs w:val="20"/>
                <w:lang w:val="en-IN"/>
              </w:rPr>
            </w:pPr>
            <w:r>
              <w:rPr>
                <w:rFonts w:ascii="Cambria" w:hAnsi="Cambria"/>
                <w:b w:val="0"/>
                <w:bCs/>
                <w:szCs w:val="20"/>
                <w:lang w:val="en-IN"/>
              </w:rPr>
              <w:t>const</w:t>
            </w:r>
          </w:p>
        </w:tc>
        <w:tc>
          <w:tcPr>
            <w:tcW w:w="7034" w:type="dxa"/>
            <w:tcBorders>
              <w:top w:val="single" w:color="255B89" w:themeColor="accent1" w:sz="8" w:space="0"/>
              <w:bottom w:val="single" w:color="255B89" w:themeColor="accent1" w:sz="8" w:space="0"/>
              <w:right w:val="single" w:color="255B89" w:themeColor="accent1" w:sz="8" w:space="0"/>
              <w:insideH w:val="single" w:sz="8" w:space="0"/>
            </w:tcBorders>
          </w:tcPr>
          <w:p>
            <w:pPr>
              <w:rPr>
                <w:rFonts w:ascii="Cambria" w:hAnsi="Cambria"/>
                <w:szCs w:val="20"/>
                <w:lang w:val="en-IN"/>
              </w:rPr>
            </w:pPr>
            <w:r>
              <w:rPr>
                <w:rFonts w:ascii="Cambria" w:hAnsi="Cambria"/>
                <w:szCs w:val="20"/>
                <w:lang w:val="en-IN"/>
              </w:rPr>
              <w:t>They behave similar to let. The value cannot be changed once declared.</w:t>
            </w:r>
          </w:p>
        </w:tc>
      </w:tr>
    </w:tbl>
    <w:p>
      <w:pPr>
        <w:spacing w:after="200"/>
        <w:rPr>
          <w:rFonts w:ascii="Cambria" w:hAnsi="Cambria"/>
          <w:szCs w:val="20"/>
          <w:lang w:val="en-IN"/>
        </w:rPr>
      </w:pPr>
    </w:p>
    <w:p>
      <w:pPr>
        <w:pStyle w:val="29"/>
        <w:numPr>
          <w:ilvl w:val="1"/>
          <w:numId w:val="2"/>
        </w:numPr>
        <w:spacing w:after="200"/>
        <w:ind w:left="720" w:hanging="720"/>
        <w:outlineLvl w:val="1"/>
        <w:rPr>
          <w:rFonts w:ascii="Cambria" w:hAnsi="Cambria"/>
          <w:b/>
          <w:sz w:val="24"/>
          <w:szCs w:val="24"/>
          <w:lang w:val="en-IN"/>
        </w:rPr>
      </w:pPr>
      <w:r>
        <w:rPr>
          <w:rFonts w:ascii="Cambria" w:hAnsi="Cambria"/>
          <w:b/>
          <w:sz w:val="24"/>
          <w:szCs w:val="24"/>
          <w:lang w:val="en-IN"/>
        </w:rPr>
        <w:t>Destructuring</w:t>
      </w:r>
    </w:p>
    <w:p>
      <w:pPr>
        <w:outlineLvl w:val="1"/>
        <w:rPr>
          <w:rStyle w:val="36"/>
          <w:rFonts w:ascii="Cambria" w:hAnsi="Cambria"/>
          <w:b/>
          <w:bCs/>
          <w:color w:val="FF0000"/>
          <w:szCs w:val="20"/>
        </w:rPr>
      </w:pPr>
      <w:r>
        <w:rPr>
          <w:rStyle w:val="36"/>
          <w:rFonts w:ascii="Cambria" w:hAnsi="Cambria"/>
          <w:b/>
          <w:bCs/>
          <w:color w:val="FF0000"/>
          <w:szCs w:val="20"/>
        </w:rPr>
        <w:t>Hands On</w:t>
      </w:r>
    </w:p>
    <w:p>
      <w:pPr>
        <w:outlineLvl w:val="1"/>
        <w:rPr>
          <w:rFonts w:ascii="Cambria" w:hAnsi="Cambria"/>
          <w:color w:val="2F4F4F"/>
          <w:szCs w:val="20"/>
          <w:shd w:val="clear" w:color="auto" w:fill="EAEEF3"/>
        </w:rPr>
      </w:pPr>
      <w:r>
        <w:rPr>
          <w:rStyle w:val="36"/>
          <w:rFonts w:ascii="Cambria" w:hAnsi="Cambria"/>
          <w:b/>
          <w:bCs/>
          <w:color w:val="2F4F4F"/>
          <w:szCs w:val="20"/>
        </w:rPr>
        <w:t>let</w:t>
      </w:r>
      <w:r>
        <w:rPr>
          <w:rFonts w:ascii="Cambria" w:hAnsi="Cambria"/>
          <w:color w:val="2F4F4F"/>
          <w:szCs w:val="20"/>
          <w:shd w:val="clear" w:color="auto" w:fill="EAEEF3"/>
        </w:rPr>
        <w:t xml:space="preserve"> input = [</w:t>
      </w:r>
      <w:r>
        <w:rPr>
          <w:rStyle w:val="37"/>
          <w:rFonts w:ascii="Cambria" w:hAnsi="Cambria"/>
          <w:color w:val="2F4F4F"/>
          <w:szCs w:val="20"/>
        </w:rPr>
        <w:t>1</w:t>
      </w:r>
      <w:r>
        <w:rPr>
          <w:rFonts w:ascii="Cambria" w:hAnsi="Cambria"/>
          <w:color w:val="2F4F4F"/>
          <w:szCs w:val="20"/>
          <w:shd w:val="clear" w:color="auto" w:fill="EAEEF3"/>
        </w:rPr>
        <w:t xml:space="preserve">, </w:t>
      </w:r>
      <w:r>
        <w:rPr>
          <w:rStyle w:val="37"/>
          <w:rFonts w:ascii="Cambria" w:hAnsi="Cambria"/>
          <w:color w:val="2F4F4F"/>
          <w:szCs w:val="20"/>
        </w:rPr>
        <w:t>2</w:t>
      </w:r>
      <w:r>
        <w:rPr>
          <w:rFonts w:ascii="Cambria" w:hAnsi="Cambria"/>
          <w:color w:val="2F4F4F"/>
          <w:szCs w:val="20"/>
          <w:shd w:val="clear" w:color="auto" w:fill="EAEEF3"/>
        </w:rPr>
        <w:t xml:space="preserve">]; </w:t>
      </w:r>
    </w:p>
    <w:p>
      <w:pPr>
        <w:outlineLvl w:val="1"/>
        <w:rPr>
          <w:rFonts w:ascii="Cambria" w:hAnsi="Cambria"/>
          <w:color w:val="2F4F4F"/>
          <w:szCs w:val="20"/>
          <w:shd w:val="clear" w:color="auto" w:fill="EAEEF3"/>
        </w:rPr>
      </w:pPr>
      <w:r>
        <w:rPr>
          <w:rStyle w:val="36"/>
          <w:rFonts w:ascii="Cambria" w:hAnsi="Cambria"/>
          <w:b/>
          <w:bCs/>
          <w:color w:val="2F4F4F"/>
          <w:szCs w:val="20"/>
        </w:rPr>
        <w:t>let</w:t>
      </w:r>
      <w:r>
        <w:rPr>
          <w:rFonts w:ascii="Cambria" w:hAnsi="Cambria"/>
          <w:color w:val="2F4F4F"/>
          <w:szCs w:val="20"/>
          <w:shd w:val="clear" w:color="auto" w:fill="EAEEF3"/>
        </w:rPr>
        <w:t xml:space="preserve"> [first, second] = input;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Swap variables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[var1, var2] = [var2, var1];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function parameter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function f([var1, var2] : [number, number]) {}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f([1,2])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capture remaining items (…) three dots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[var1, …vars] = [1, 2, 3, 4];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Capture partial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[var1] = [1, 2,3];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[,var2, , var4] = [1, 2, 3, 4, 5];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Destructure object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objData = { x: 3, y: 4, name: “axis”};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{x, y} = objData;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{x, …rest} = objData;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rest.y, rest.name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rename the properties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{ x1: x, y1: y} = objData;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This renaming the variables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pStyle w:val="29"/>
        <w:numPr>
          <w:ilvl w:val="1"/>
          <w:numId w:val="2"/>
        </w:numPr>
        <w:ind w:left="720" w:hanging="720"/>
        <w:outlineLvl w:val="1"/>
        <w:rPr>
          <w:rFonts w:ascii="Cambria" w:hAnsi="Cambria"/>
          <w:b/>
          <w:sz w:val="24"/>
          <w:szCs w:val="24"/>
          <w:lang w:val="en-IN"/>
        </w:rPr>
      </w:pPr>
      <w:r>
        <w:rPr>
          <w:rFonts w:ascii="Cambria" w:hAnsi="Cambria"/>
          <w:b/>
          <w:sz w:val="24"/>
          <w:szCs w:val="24"/>
          <w:lang w:val="en-IN"/>
        </w:rPr>
        <w:t>Spread</w:t>
      </w:r>
    </w:p>
    <w:p>
      <w:pPr>
        <w:outlineLvl w:val="1"/>
        <w:rPr>
          <w:rFonts w:ascii="Cambria" w:hAnsi="Cambria"/>
          <w:b/>
          <w:color w:val="FF0000"/>
          <w:szCs w:val="20"/>
          <w:lang w:val="en-IN"/>
        </w:rPr>
      </w:pPr>
      <w:r>
        <w:rPr>
          <w:rFonts w:ascii="Cambria" w:hAnsi="Cambria"/>
          <w:b/>
          <w:color w:val="FF0000"/>
          <w:szCs w:val="20"/>
          <w:lang w:val="en-IN"/>
        </w:rPr>
        <w:t>Hands On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Opposite of Destructuring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Spread an array into others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array1 = [1, 2];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array2 = [3, 4];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array3 = [5, …array1, 10, …array2, 20];</w:t>
      </w:r>
      <w:r>
        <w:rPr>
          <w:rFonts w:ascii="Cambria" w:hAnsi="Cambria"/>
          <w:szCs w:val="20"/>
          <w:lang w:val="en-IN"/>
        </w:rPr>
        <w:tab/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Spread of objects with defaults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defaultData = { name: “bob”, price: 5};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objData = { …defaultData, price: 9.5}; // overwrites the default price as it comes later, position is important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It only includes an object’s properties and not methods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generics not allowed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pStyle w:val="29"/>
        <w:numPr>
          <w:ilvl w:val="1"/>
          <w:numId w:val="2"/>
        </w:numPr>
        <w:ind w:left="720" w:hanging="720"/>
        <w:outlineLvl w:val="1"/>
        <w:rPr>
          <w:rFonts w:ascii="Cambria" w:hAnsi="Cambria"/>
          <w:b/>
          <w:sz w:val="24"/>
          <w:szCs w:val="24"/>
          <w:lang w:val="en-IN"/>
        </w:rPr>
      </w:pPr>
      <w:r>
        <w:rPr>
          <w:rFonts w:ascii="Cambria" w:hAnsi="Cambria"/>
          <w:b/>
          <w:sz w:val="24"/>
          <w:szCs w:val="24"/>
          <w:lang w:val="en-IN"/>
        </w:rPr>
        <w:t>Defaults</w:t>
      </w:r>
    </w:p>
    <w:p>
      <w:pPr>
        <w:outlineLvl w:val="1"/>
        <w:rPr>
          <w:rFonts w:ascii="Cambria" w:hAnsi="Cambria"/>
          <w:b/>
          <w:color w:val="FF0000"/>
          <w:szCs w:val="20"/>
          <w:lang w:val="en-IN"/>
        </w:rPr>
      </w:pPr>
      <w:r>
        <w:rPr>
          <w:rFonts w:ascii="Cambria" w:hAnsi="Cambria"/>
          <w:b/>
          <w:color w:val="FF0000"/>
          <w:szCs w:val="20"/>
          <w:lang w:val="en-IN"/>
        </w:rPr>
        <w:t>Hands On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function optional arguments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function({a: string, b?: number}): void {}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function({a, b = 0}): void {}</w:t>
      </w:r>
    </w:p>
    <w:p>
      <w:pPr>
        <w:outlineLvl w:val="1"/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function({a, b = 0} = {a: “”}): void {}</w:t>
      </w:r>
    </w:p>
    <w:p>
      <w:pPr>
        <w:outlineLvl w:val="1"/>
        <w:rPr>
          <w:rFonts w:ascii="Cambria" w:hAnsi="Cambria"/>
          <w:szCs w:val="20"/>
          <w:lang w:val="en-IN"/>
        </w:rPr>
      </w:pP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ab/>
      </w: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Index Signature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An interface can be defined to have unknown properties as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interface IWithUnknwon {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 xml:space="preserve">   var1: string,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 xml:space="preserve">  [varn: string]: any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}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let iobj: IWithUnknwon = {var1: “hello”, val1: 34, var3: “Next hello”};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Class Type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Class structure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Constructor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inheritance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//Default access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private modifier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readonly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getter and setter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get but no set == readonly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static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abstract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similarity of class and interface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A class can extend another class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// A class can also implements another class(s) as interface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Module Type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Namespace Type</w:t>
      </w: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Import Type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New Concept ES5 Type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  <w:r>
        <w:rPr>
          <w:rFonts w:ascii="Cambria" w:hAnsi="Cambria"/>
          <w:szCs w:val="20"/>
          <w:lang w:val="en-IN"/>
        </w:rPr>
        <w:t>Decorators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Import Type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200" w:line="276" w:lineRule="auto"/>
        <w:outlineLvl w:val="0"/>
        <w:rPr>
          <w:rFonts w:ascii="Cambria" w:hAnsi="Cambria"/>
          <w:b/>
          <w:bCs/>
          <w:sz w:val="32"/>
          <w:szCs w:val="32"/>
          <w:lang w:val="en-IN"/>
        </w:rPr>
      </w:pPr>
      <w:r>
        <w:rPr>
          <w:rFonts w:ascii="Cambria" w:hAnsi="Cambria"/>
          <w:b/>
          <w:bCs/>
          <w:sz w:val="32"/>
          <w:szCs w:val="32"/>
          <w:lang w:val="en-IN"/>
        </w:rPr>
        <w:t>Declaration File</w:t>
      </w: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p>
      <w:pPr>
        <w:tabs>
          <w:tab w:val="left" w:pos="4185"/>
        </w:tabs>
        <w:rPr>
          <w:rFonts w:ascii="Cambria" w:hAnsi="Cambria"/>
          <w:szCs w:val="20"/>
          <w:lang w:val="en-IN"/>
        </w:rPr>
      </w:pPr>
    </w:p>
    <w:sectPr>
      <w:footerReference r:id="rId3" w:type="default"/>
      <w:pgSz w:w="11907" w:h="16839"/>
      <w:pgMar w:top="1985" w:right="737" w:bottom="1134" w:left="1814" w:header="703" w:footer="703" w:gutter="0"/>
      <w:cols w:space="284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redit Suisse Type Light">
    <w:altName w:val="SimSun"/>
    <w:panose1 w:val="020B0303040503020204"/>
    <w:charset w:val="86"/>
    <w:family w:val="swiss"/>
    <w:pitch w:val="default"/>
    <w:sig w:usb0="00000000" w:usb1="00000000" w:usb2="00000000" w:usb3="00000000" w:csb0="0000009F" w:csb1="00000000"/>
  </w:font>
  <w:font w:name="Credit Suisse Type Arabic Light">
    <w:altName w:val="Segoe UI"/>
    <w:panose1 w:val="00000000000000000000"/>
    <w:charset w:val="00"/>
    <w:family w:val="swiss"/>
    <w:pitch w:val="default"/>
    <w:sig w:usb0="00000000" w:usb1="00000000" w:usb2="00000008" w:usb3="00000000" w:csb0="000000D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redit Suisse Type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0B3643" w:themeColor="text2" w:themeShade="80"/>
        <w:szCs w:val="20"/>
      </w:rPr>
    </w:pPr>
    <w:r>
      <w:rPr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color w:val="0B3643" w:themeColor="text2" w:themeShade="80"/>
                              <w:szCs w:val="20"/>
                            </w:rPr>
                          </w:pP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t>6</w:t>
                          </w:r>
                          <w:r>
                            <w:rPr>
                              <w:color w:val="0B3643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23.9pt;margin-top:783pt;height:24.65pt;width:30.6pt;mso-position-horizontal-relative:page;mso-position-vertical-relative:page;z-index:251659264;v-text-anchor:middle;mso-width-relative:page;mso-height-relative:page;mso-width-percent:50;mso-height-percent:50;" fillcolor="#FFFFFF [3201]" filled="t" stroked="f" coordsize="21600,21600" o:gfxdata="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tjyM1wAAAAMBAAAPAAAAAAAAAAEAIAAAACIAAABkcnMvZG93bnJldi54bWxQSwECFAAUAAAACACH&#10;TuJAKw6EkSUCAABJBAAADgAAAAAAAAABACAAAAAmAQAAZHJzL2Uyb0RvYy54bWxQSwUGAAAAAAYA&#10;BgBZAQAAvQUAAAAA&#10;">
              <v:fill on="t" focussize="0,0"/>
              <v:stroke on="f" weight="0.5pt"/>
              <v:imagedata o:title=""/>
              <o:lock v:ext="edit" aspectratio="f"/>
              <v:textbox inset="0mm,1.27mm,0mm,1.27mm" style="mso-fit-shape-to-text:t;">
                <w:txbxContent>
                  <w:p>
                    <w:pPr>
                      <w:jc w:val="right"/>
                      <w:rPr>
                        <w:color w:val="0B3643" w:themeColor="text2" w:themeShade="80"/>
                        <w:szCs w:val="20"/>
                      </w:rPr>
                    </w:pPr>
                    <w:r>
                      <w:rPr>
                        <w:color w:val="0B3643" w:themeColor="text2" w:themeShade="80"/>
                        <w:szCs w:val="20"/>
                      </w:rPr>
                      <w:fldChar w:fldCharType="begin"/>
                    </w:r>
                    <w:r>
                      <w:rPr>
                        <w:color w:val="0B3643" w:themeColor="text2" w:themeShade="80"/>
                        <w:szCs w:val="20"/>
                      </w:rPr>
                      <w:instrText xml:space="preserve"> PAGE  \* Arabic  \* MERGEFORMAT </w:instrText>
                    </w:r>
                    <w:r>
                      <w:rPr>
                        <w:color w:val="0B3643" w:themeColor="text2" w:themeShade="80"/>
                        <w:szCs w:val="20"/>
                      </w:rPr>
                      <w:fldChar w:fldCharType="separate"/>
                    </w:r>
                    <w:r>
                      <w:rPr>
                        <w:color w:val="0B3643" w:themeColor="text2" w:themeShade="80"/>
                        <w:szCs w:val="20"/>
                      </w:rPr>
                      <w:t>6</w:t>
                    </w:r>
                    <w:r>
                      <w:rPr>
                        <w:color w:val="0B3643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5221"/>
    <w:multiLevelType w:val="multilevel"/>
    <w:tmpl w:val="221C522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D03EA2"/>
    <w:multiLevelType w:val="multilevel"/>
    <w:tmpl w:val="22D03EA2"/>
    <w:lvl w:ilvl="0" w:tentative="0">
      <w:start w:val="1"/>
      <w:numFmt w:val="bullet"/>
      <w:pStyle w:val="8"/>
      <w:lvlText w:val=""/>
      <w:lvlJc w:val="left"/>
      <w:pPr>
        <w:ind w:left="198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1" w:tentative="0">
      <w:start w:val="1"/>
      <w:numFmt w:val="bullet"/>
      <w:pStyle w:val="9"/>
      <w:lvlText w:val="−"/>
      <w:lvlJc w:val="left"/>
      <w:pPr>
        <w:ind w:left="396" w:hanging="198"/>
      </w:pPr>
      <w:rPr>
        <w:rFonts w:hint="default" w:ascii="Credit Suisse Type Light" w:hAnsi="Credit Suisse Type Light" w:cs="Times New Roman"/>
        <w:color w:val="auto"/>
      </w:rPr>
    </w:lvl>
    <w:lvl w:ilvl="2" w:tentative="0">
      <w:start w:val="1"/>
      <w:numFmt w:val="bullet"/>
      <w:lvlText w:val=""/>
      <w:lvlJc w:val="left"/>
      <w:pPr>
        <w:tabs>
          <w:tab w:val="left" w:pos="2835"/>
        </w:tabs>
        <w:ind w:left="594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3" w:tentative="0">
      <w:start w:val="1"/>
      <w:numFmt w:val="bullet"/>
      <w:lvlText w:val="−"/>
      <w:lvlJc w:val="left"/>
      <w:pPr>
        <w:tabs>
          <w:tab w:val="left" w:pos="5670"/>
        </w:tabs>
        <w:ind w:left="792" w:hanging="198"/>
      </w:pPr>
      <w:rPr>
        <w:rFonts w:hint="default" w:ascii="Credit Suisse Type Light" w:hAnsi="Credit Suisse Type Light" w:cs="Times New Roman"/>
        <w:color w:val="auto"/>
      </w:rPr>
    </w:lvl>
    <w:lvl w:ilvl="4" w:tentative="0">
      <w:start w:val="1"/>
      <w:numFmt w:val="bullet"/>
      <w:lvlText w:val=""/>
      <w:lvlJc w:val="left"/>
      <w:pPr>
        <w:ind w:left="990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5" w:tentative="0">
      <w:start w:val="1"/>
      <w:numFmt w:val="bullet"/>
      <w:lvlText w:val="−"/>
      <w:lvlJc w:val="left"/>
      <w:pPr>
        <w:ind w:left="1188" w:hanging="198"/>
      </w:pPr>
      <w:rPr>
        <w:rFonts w:hint="default" w:ascii="Credit Suisse Type Light" w:hAnsi="Credit Suisse Type Light" w:cs="Times New Roman"/>
        <w:color w:val="auto"/>
      </w:rPr>
    </w:lvl>
    <w:lvl w:ilvl="6" w:tentative="0">
      <w:start w:val="1"/>
      <w:numFmt w:val="bullet"/>
      <w:lvlText w:val=""/>
      <w:lvlJc w:val="left"/>
      <w:pPr>
        <w:ind w:left="1389" w:hanging="201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7" w:tentative="0">
      <w:start w:val="1"/>
      <w:numFmt w:val="bullet"/>
      <w:lvlText w:val="−"/>
      <w:lvlJc w:val="left"/>
      <w:pPr>
        <w:ind w:left="1588" w:hanging="199"/>
      </w:pPr>
      <w:rPr>
        <w:rFonts w:hint="default" w:ascii="Credit Suisse Type Light" w:hAnsi="Credit Suisse Type Light" w:cs="Times New Roman"/>
        <w:color w:val="auto"/>
      </w:rPr>
    </w:lvl>
    <w:lvl w:ilvl="8" w:tentative="0">
      <w:start w:val="1"/>
      <w:numFmt w:val="bullet"/>
      <w:lvlText w:val=""/>
      <w:lvlJc w:val="left"/>
      <w:pPr>
        <w:ind w:left="1786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</w:abstractNum>
  <w:abstractNum w:abstractNumId="2">
    <w:nsid w:val="59BAD090"/>
    <w:multiLevelType w:val="multilevel"/>
    <w:tmpl w:val="59BAD090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A1"/>
    <w:rsid w:val="0000041D"/>
    <w:rsid w:val="00012F38"/>
    <w:rsid w:val="000144B8"/>
    <w:rsid w:val="00020339"/>
    <w:rsid w:val="00022278"/>
    <w:rsid w:val="00033348"/>
    <w:rsid w:val="0004045D"/>
    <w:rsid w:val="00055C3A"/>
    <w:rsid w:val="00064279"/>
    <w:rsid w:val="000716DB"/>
    <w:rsid w:val="00071A5C"/>
    <w:rsid w:val="0007327B"/>
    <w:rsid w:val="00073EC8"/>
    <w:rsid w:val="00084517"/>
    <w:rsid w:val="00084D15"/>
    <w:rsid w:val="00090DC1"/>
    <w:rsid w:val="00097F57"/>
    <w:rsid w:val="000A75AE"/>
    <w:rsid w:val="000C65F2"/>
    <w:rsid w:val="000D258D"/>
    <w:rsid w:val="000E0B74"/>
    <w:rsid w:val="000E3598"/>
    <w:rsid w:val="000F49D0"/>
    <w:rsid w:val="0010658C"/>
    <w:rsid w:val="001164A0"/>
    <w:rsid w:val="00122C88"/>
    <w:rsid w:val="00125642"/>
    <w:rsid w:val="0015204A"/>
    <w:rsid w:val="001571E4"/>
    <w:rsid w:val="00184682"/>
    <w:rsid w:val="00185D61"/>
    <w:rsid w:val="001A2A9B"/>
    <w:rsid w:val="001A2CA3"/>
    <w:rsid w:val="001A7D98"/>
    <w:rsid w:val="001B6E17"/>
    <w:rsid w:val="001C50EC"/>
    <w:rsid w:val="001D11C7"/>
    <w:rsid w:val="001D27B4"/>
    <w:rsid w:val="001E010B"/>
    <w:rsid w:val="001F10A7"/>
    <w:rsid w:val="002004A1"/>
    <w:rsid w:val="00203514"/>
    <w:rsid w:val="00206399"/>
    <w:rsid w:val="002207CB"/>
    <w:rsid w:val="00220C54"/>
    <w:rsid w:val="00223E7C"/>
    <w:rsid w:val="00224603"/>
    <w:rsid w:val="00236C8C"/>
    <w:rsid w:val="00242C30"/>
    <w:rsid w:val="00245E5E"/>
    <w:rsid w:val="0025544B"/>
    <w:rsid w:val="00266220"/>
    <w:rsid w:val="002A40FF"/>
    <w:rsid w:val="002A42B8"/>
    <w:rsid w:val="002B65A8"/>
    <w:rsid w:val="002C009C"/>
    <w:rsid w:val="002C0220"/>
    <w:rsid w:val="002C6479"/>
    <w:rsid w:val="00300FF4"/>
    <w:rsid w:val="003146FE"/>
    <w:rsid w:val="003271DE"/>
    <w:rsid w:val="00340D7A"/>
    <w:rsid w:val="00344AB0"/>
    <w:rsid w:val="00345889"/>
    <w:rsid w:val="00370E6D"/>
    <w:rsid w:val="003810CF"/>
    <w:rsid w:val="00384B37"/>
    <w:rsid w:val="0039553F"/>
    <w:rsid w:val="003C7E61"/>
    <w:rsid w:val="003D023E"/>
    <w:rsid w:val="003D4559"/>
    <w:rsid w:val="003E43DA"/>
    <w:rsid w:val="003E74CD"/>
    <w:rsid w:val="003F1D16"/>
    <w:rsid w:val="003F75F3"/>
    <w:rsid w:val="003F766C"/>
    <w:rsid w:val="00403D1C"/>
    <w:rsid w:val="004047B4"/>
    <w:rsid w:val="00412A20"/>
    <w:rsid w:val="00435946"/>
    <w:rsid w:val="004363AE"/>
    <w:rsid w:val="00445B2A"/>
    <w:rsid w:val="00452CE5"/>
    <w:rsid w:val="004630C4"/>
    <w:rsid w:val="0046440B"/>
    <w:rsid w:val="00491B54"/>
    <w:rsid w:val="00492068"/>
    <w:rsid w:val="00493788"/>
    <w:rsid w:val="004B1475"/>
    <w:rsid w:val="004B1886"/>
    <w:rsid w:val="004C0E79"/>
    <w:rsid w:val="004D747F"/>
    <w:rsid w:val="004D7B7B"/>
    <w:rsid w:val="004F3DE3"/>
    <w:rsid w:val="0051309E"/>
    <w:rsid w:val="00562028"/>
    <w:rsid w:val="00564603"/>
    <w:rsid w:val="00571E78"/>
    <w:rsid w:val="00591B4C"/>
    <w:rsid w:val="00592E7C"/>
    <w:rsid w:val="00594934"/>
    <w:rsid w:val="005959B0"/>
    <w:rsid w:val="005A65BF"/>
    <w:rsid w:val="005A7AA1"/>
    <w:rsid w:val="005B4018"/>
    <w:rsid w:val="005B6232"/>
    <w:rsid w:val="005B7325"/>
    <w:rsid w:val="005C1598"/>
    <w:rsid w:val="005C18C3"/>
    <w:rsid w:val="005C5E5B"/>
    <w:rsid w:val="005D3BCA"/>
    <w:rsid w:val="005D7BA3"/>
    <w:rsid w:val="005E299A"/>
    <w:rsid w:val="005E644C"/>
    <w:rsid w:val="005E7AF3"/>
    <w:rsid w:val="00601B1A"/>
    <w:rsid w:val="006113BB"/>
    <w:rsid w:val="0061315F"/>
    <w:rsid w:val="006365B7"/>
    <w:rsid w:val="0064419C"/>
    <w:rsid w:val="0064522F"/>
    <w:rsid w:val="00650AB1"/>
    <w:rsid w:val="00684A95"/>
    <w:rsid w:val="00697A86"/>
    <w:rsid w:val="00697EA7"/>
    <w:rsid w:val="006B177A"/>
    <w:rsid w:val="006C37E4"/>
    <w:rsid w:val="00711951"/>
    <w:rsid w:val="00746C09"/>
    <w:rsid w:val="00760446"/>
    <w:rsid w:val="00760772"/>
    <w:rsid w:val="00765A30"/>
    <w:rsid w:val="00770E55"/>
    <w:rsid w:val="007713E2"/>
    <w:rsid w:val="007759F2"/>
    <w:rsid w:val="00783CA6"/>
    <w:rsid w:val="007941AA"/>
    <w:rsid w:val="007A03C1"/>
    <w:rsid w:val="007A09A1"/>
    <w:rsid w:val="007D3A59"/>
    <w:rsid w:val="007F1949"/>
    <w:rsid w:val="007F58C9"/>
    <w:rsid w:val="0080039D"/>
    <w:rsid w:val="008025AF"/>
    <w:rsid w:val="00812CE5"/>
    <w:rsid w:val="00816014"/>
    <w:rsid w:val="00823277"/>
    <w:rsid w:val="00830943"/>
    <w:rsid w:val="0083534E"/>
    <w:rsid w:val="00840FB9"/>
    <w:rsid w:val="0084117F"/>
    <w:rsid w:val="00842794"/>
    <w:rsid w:val="00843710"/>
    <w:rsid w:val="00844C0C"/>
    <w:rsid w:val="00845E77"/>
    <w:rsid w:val="00856A1E"/>
    <w:rsid w:val="00897665"/>
    <w:rsid w:val="008B3B90"/>
    <w:rsid w:val="008C0CC5"/>
    <w:rsid w:val="008E06BC"/>
    <w:rsid w:val="008F35AB"/>
    <w:rsid w:val="009067BB"/>
    <w:rsid w:val="009139DB"/>
    <w:rsid w:val="0094120A"/>
    <w:rsid w:val="009770D7"/>
    <w:rsid w:val="009862A2"/>
    <w:rsid w:val="00991EA9"/>
    <w:rsid w:val="009B1927"/>
    <w:rsid w:val="009B27D5"/>
    <w:rsid w:val="009B424C"/>
    <w:rsid w:val="009B5934"/>
    <w:rsid w:val="009C0BB6"/>
    <w:rsid w:val="009D0E42"/>
    <w:rsid w:val="009D6DFD"/>
    <w:rsid w:val="009F29F0"/>
    <w:rsid w:val="009F3DE9"/>
    <w:rsid w:val="009F4728"/>
    <w:rsid w:val="00A01D60"/>
    <w:rsid w:val="00A06BB3"/>
    <w:rsid w:val="00A1183B"/>
    <w:rsid w:val="00A171E2"/>
    <w:rsid w:val="00A261DA"/>
    <w:rsid w:val="00A31F05"/>
    <w:rsid w:val="00A342FD"/>
    <w:rsid w:val="00A41A27"/>
    <w:rsid w:val="00A44EA1"/>
    <w:rsid w:val="00A605B5"/>
    <w:rsid w:val="00A624E6"/>
    <w:rsid w:val="00A63885"/>
    <w:rsid w:val="00A7457D"/>
    <w:rsid w:val="00A76412"/>
    <w:rsid w:val="00A80B06"/>
    <w:rsid w:val="00A817B2"/>
    <w:rsid w:val="00A82334"/>
    <w:rsid w:val="00A8285F"/>
    <w:rsid w:val="00A97AFB"/>
    <w:rsid w:val="00AA24D6"/>
    <w:rsid w:val="00AA29B7"/>
    <w:rsid w:val="00AB309D"/>
    <w:rsid w:val="00AB78D3"/>
    <w:rsid w:val="00AD1F92"/>
    <w:rsid w:val="00AD2C70"/>
    <w:rsid w:val="00AF04A3"/>
    <w:rsid w:val="00AF647E"/>
    <w:rsid w:val="00B07F7D"/>
    <w:rsid w:val="00B16EAF"/>
    <w:rsid w:val="00B1772E"/>
    <w:rsid w:val="00B24BA1"/>
    <w:rsid w:val="00B40B54"/>
    <w:rsid w:val="00B45F1F"/>
    <w:rsid w:val="00B4749A"/>
    <w:rsid w:val="00B518AF"/>
    <w:rsid w:val="00B72FCF"/>
    <w:rsid w:val="00BA13DE"/>
    <w:rsid w:val="00BC7B98"/>
    <w:rsid w:val="00BD430E"/>
    <w:rsid w:val="00BD661C"/>
    <w:rsid w:val="00C02012"/>
    <w:rsid w:val="00C15F70"/>
    <w:rsid w:val="00C43473"/>
    <w:rsid w:val="00C57C42"/>
    <w:rsid w:val="00C60CAD"/>
    <w:rsid w:val="00C625A4"/>
    <w:rsid w:val="00C66184"/>
    <w:rsid w:val="00C70177"/>
    <w:rsid w:val="00C854AF"/>
    <w:rsid w:val="00C85C66"/>
    <w:rsid w:val="00C94D24"/>
    <w:rsid w:val="00CB32DF"/>
    <w:rsid w:val="00CC5618"/>
    <w:rsid w:val="00CC7830"/>
    <w:rsid w:val="00CE3971"/>
    <w:rsid w:val="00CE39A7"/>
    <w:rsid w:val="00CE427A"/>
    <w:rsid w:val="00CE7149"/>
    <w:rsid w:val="00D143B1"/>
    <w:rsid w:val="00D2170F"/>
    <w:rsid w:val="00D23873"/>
    <w:rsid w:val="00D32D84"/>
    <w:rsid w:val="00D45CA4"/>
    <w:rsid w:val="00D51873"/>
    <w:rsid w:val="00D528C1"/>
    <w:rsid w:val="00D71814"/>
    <w:rsid w:val="00D83CEA"/>
    <w:rsid w:val="00D85000"/>
    <w:rsid w:val="00D91F59"/>
    <w:rsid w:val="00DA485E"/>
    <w:rsid w:val="00DB533D"/>
    <w:rsid w:val="00DC4F33"/>
    <w:rsid w:val="00DC5A27"/>
    <w:rsid w:val="00DF1A9B"/>
    <w:rsid w:val="00E17726"/>
    <w:rsid w:val="00E235BA"/>
    <w:rsid w:val="00E27853"/>
    <w:rsid w:val="00E35C72"/>
    <w:rsid w:val="00E80B8B"/>
    <w:rsid w:val="00EA43E9"/>
    <w:rsid w:val="00EB4343"/>
    <w:rsid w:val="00F11BA8"/>
    <w:rsid w:val="00F27313"/>
    <w:rsid w:val="00F32AF6"/>
    <w:rsid w:val="00F3363D"/>
    <w:rsid w:val="00F42A58"/>
    <w:rsid w:val="00F47B51"/>
    <w:rsid w:val="00F54445"/>
    <w:rsid w:val="00F63236"/>
    <w:rsid w:val="00F67163"/>
    <w:rsid w:val="00F92FD8"/>
    <w:rsid w:val="00F94258"/>
    <w:rsid w:val="00FA44E9"/>
    <w:rsid w:val="00FB463B"/>
    <w:rsid w:val="00FB74C6"/>
    <w:rsid w:val="00FF4E18"/>
    <w:rsid w:val="010059EF"/>
    <w:rsid w:val="01423AB1"/>
    <w:rsid w:val="05333284"/>
    <w:rsid w:val="05B96704"/>
    <w:rsid w:val="06494C3D"/>
    <w:rsid w:val="06812987"/>
    <w:rsid w:val="06BA6B62"/>
    <w:rsid w:val="08CE78B5"/>
    <w:rsid w:val="09331301"/>
    <w:rsid w:val="09720C8B"/>
    <w:rsid w:val="0AA60ED0"/>
    <w:rsid w:val="0BD72E2B"/>
    <w:rsid w:val="0C1E238A"/>
    <w:rsid w:val="0C8B653E"/>
    <w:rsid w:val="0D042256"/>
    <w:rsid w:val="121A6257"/>
    <w:rsid w:val="14A002E6"/>
    <w:rsid w:val="1833143F"/>
    <w:rsid w:val="183D0B3E"/>
    <w:rsid w:val="1CA964E3"/>
    <w:rsid w:val="1EAD0802"/>
    <w:rsid w:val="1ECB6E56"/>
    <w:rsid w:val="216D26A8"/>
    <w:rsid w:val="218319CD"/>
    <w:rsid w:val="23AF34B5"/>
    <w:rsid w:val="252E4588"/>
    <w:rsid w:val="285121EB"/>
    <w:rsid w:val="29C51FEF"/>
    <w:rsid w:val="2AB26E75"/>
    <w:rsid w:val="2C5502DE"/>
    <w:rsid w:val="2C916B80"/>
    <w:rsid w:val="2CC13790"/>
    <w:rsid w:val="2DD7730B"/>
    <w:rsid w:val="301316F0"/>
    <w:rsid w:val="31F8091C"/>
    <w:rsid w:val="32461B70"/>
    <w:rsid w:val="327A665A"/>
    <w:rsid w:val="33777A5F"/>
    <w:rsid w:val="339F6480"/>
    <w:rsid w:val="353027F9"/>
    <w:rsid w:val="36964922"/>
    <w:rsid w:val="37775964"/>
    <w:rsid w:val="37FF2365"/>
    <w:rsid w:val="38635CFD"/>
    <w:rsid w:val="38875246"/>
    <w:rsid w:val="3C206EBF"/>
    <w:rsid w:val="3DE931BD"/>
    <w:rsid w:val="3EBB0DA4"/>
    <w:rsid w:val="3F607BC2"/>
    <w:rsid w:val="3F841290"/>
    <w:rsid w:val="3FAB4C5A"/>
    <w:rsid w:val="3FCB1AF1"/>
    <w:rsid w:val="40CE6AC0"/>
    <w:rsid w:val="42072101"/>
    <w:rsid w:val="434307DA"/>
    <w:rsid w:val="456C08F8"/>
    <w:rsid w:val="470B5A64"/>
    <w:rsid w:val="4B4D2F7F"/>
    <w:rsid w:val="4D524FFC"/>
    <w:rsid w:val="4DA07F15"/>
    <w:rsid w:val="502F4668"/>
    <w:rsid w:val="51261D37"/>
    <w:rsid w:val="525B0158"/>
    <w:rsid w:val="545C0CA4"/>
    <w:rsid w:val="5C0D339A"/>
    <w:rsid w:val="5C121270"/>
    <w:rsid w:val="5CE93BEB"/>
    <w:rsid w:val="5DF41D4A"/>
    <w:rsid w:val="5EC81231"/>
    <w:rsid w:val="60873796"/>
    <w:rsid w:val="637A2365"/>
    <w:rsid w:val="639843B6"/>
    <w:rsid w:val="6556132F"/>
    <w:rsid w:val="664C64B1"/>
    <w:rsid w:val="67A915BB"/>
    <w:rsid w:val="68F23FDA"/>
    <w:rsid w:val="6DDD7F1A"/>
    <w:rsid w:val="6DF40039"/>
    <w:rsid w:val="6E722BEF"/>
    <w:rsid w:val="6F6A60F6"/>
    <w:rsid w:val="70003A3C"/>
    <w:rsid w:val="70B34A40"/>
    <w:rsid w:val="70E46D66"/>
    <w:rsid w:val="73BE63D5"/>
    <w:rsid w:val="743819E6"/>
    <w:rsid w:val="74885D3F"/>
    <w:rsid w:val="75AE4396"/>
    <w:rsid w:val="778B4F13"/>
    <w:rsid w:val="79FE4A1D"/>
    <w:rsid w:val="7BFE2108"/>
    <w:rsid w:val="7E1B04E5"/>
    <w:rsid w:val="7F265833"/>
    <w:rsid w:val="7FE7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nhideWhenUsed="0" w:uiPriority="4" w:semiHidden="0" w:name="heading 2"/>
    <w:lsdException w:uiPriority="5" w:semiHidden="0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7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8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name="Strong"/>
    <w:lsdException w:qFormat="1" w:unhideWhenUsed="0" w:uiPriority="6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3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szCs w:val="20"/>
    </w:rPr>
  </w:style>
  <w:style w:type="paragraph" w:styleId="3">
    <w:name w:val="heading 2"/>
    <w:basedOn w:val="1"/>
    <w:next w:val="1"/>
    <w:link w:val="20"/>
    <w:qFormat/>
    <w:uiPriority w:val="4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A6A6A6" w:themeColor="background1" w:themeShade="A6"/>
      <w:szCs w:val="20"/>
    </w:rPr>
  </w:style>
  <w:style w:type="paragraph" w:styleId="4">
    <w:name w:val="heading 3"/>
    <w:basedOn w:val="1"/>
    <w:next w:val="1"/>
    <w:link w:val="23"/>
    <w:unhideWhenUsed/>
    <w:uiPriority w:val="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3868"/>
    </w:rPr>
  </w:style>
  <w:style w:type="paragraph" w:styleId="5">
    <w:name w:val="heading 4"/>
    <w:basedOn w:val="1"/>
    <w:next w:val="1"/>
    <w:link w:val="24"/>
    <w:semiHidden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255B89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unhideWhenUsed/>
    <w:uiPriority w:val="99"/>
    <w:rPr>
      <w:rFonts w:ascii="Tahoma" w:hAnsi="Tahoma" w:cs="Tahoma"/>
      <w:sz w:val="16"/>
      <w:szCs w:val="16"/>
    </w:rPr>
  </w:style>
  <w:style w:type="paragraph" w:styleId="7">
    <w:name w:val="HTML Preformatted"/>
    <w:basedOn w:val="1"/>
    <w:link w:val="3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Cs w:val="20"/>
    </w:rPr>
  </w:style>
  <w:style w:type="paragraph" w:styleId="8">
    <w:name w:val="List Bullet"/>
    <w:basedOn w:val="1"/>
    <w:link w:val="25"/>
    <w:qFormat/>
    <w:uiPriority w:val="7"/>
    <w:pPr>
      <w:numPr>
        <w:ilvl w:val="0"/>
        <w:numId w:val="1"/>
      </w:numPr>
      <w:contextualSpacing/>
    </w:pPr>
  </w:style>
  <w:style w:type="paragraph" w:styleId="9">
    <w:name w:val="List Bullet 2"/>
    <w:basedOn w:val="1"/>
    <w:qFormat/>
    <w:uiPriority w:val="8"/>
    <w:pPr>
      <w:numPr>
        <w:ilvl w:val="1"/>
        <w:numId w:val="1"/>
      </w:numPr>
      <w:contextualSpacing/>
    </w:pPr>
  </w:style>
  <w:style w:type="paragraph" w:styleId="10">
    <w:name w:val="Title"/>
    <w:basedOn w:val="1"/>
    <w:next w:val="1"/>
    <w:link w:val="22"/>
    <w:qFormat/>
    <w:uiPriority w:val="1"/>
    <w:pPr>
      <w:spacing w:line="430" w:lineRule="exact"/>
      <w:contextualSpacing/>
    </w:pPr>
    <w:rPr>
      <w:rFonts w:asciiTheme="majorHAnsi" w:hAnsiTheme="majorHAnsi" w:eastAsiaTheme="majorEastAsia" w:cstheme="majorBidi"/>
      <w:b/>
      <w:snapToGrid w:val="0"/>
      <w:sz w:val="28"/>
      <w:szCs w:val="52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character" w:styleId="13">
    <w:name w:val="Emphasis"/>
    <w:basedOn w:val="12"/>
    <w:qFormat/>
    <w:uiPriority w:val="6"/>
    <w:rPr>
      <w:rFonts w:asciiTheme="minorHAnsi" w:hAnsiTheme="minorHAnsi"/>
      <w:b/>
      <w:iCs/>
      <w:color w:val="auto"/>
      <w:sz w:val="20"/>
    </w:rPr>
  </w:style>
  <w:style w:type="character" w:styleId="14">
    <w:name w:val="HTML Code"/>
    <w:basedOn w:val="12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8">
    <w:name w:val="Light List Accent 1"/>
    <w:basedOn w:val="16"/>
    <w:uiPriority w:val="61"/>
    <w:pPr>
      <w:spacing w:after="0" w:line="240" w:lineRule="auto"/>
    </w:pPr>
    <w:tblPr>
      <w:tblBorders>
        <w:top w:val="single" w:color="255B89" w:themeColor="accent1" w:sz="8" w:space="0"/>
        <w:left w:val="single" w:color="255B89" w:themeColor="accent1" w:sz="8" w:space="0"/>
        <w:bottom w:val="single" w:color="255B89" w:themeColor="accent1" w:sz="8" w:space="0"/>
        <w:right w:val="single" w:color="255B8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55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55B89" w:themeColor="accent1" w:sz="6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255B89" w:themeColor="accent1" w:sz="8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255B89" w:themeColor="accent1" w:sz="8" w:space="0"/>
          <w:left w:val="single" w:color="255B89" w:themeColor="accent1" w:sz="8" w:space="0"/>
          <w:bottom w:val="single" w:color="255B89" w:themeColor="accent1" w:sz="8" w:space="0"/>
          <w:right w:val="single" w:color="255B89" w:themeColor="accent1" w:sz="8" w:space="0"/>
        </w:tcBorders>
      </w:tcPr>
    </w:tblStylePr>
  </w:style>
  <w:style w:type="character" w:customStyle="1" w:styleId="19">
    <w:name w:val="Heading 1 Char"/>
    <w:basedOn w:val="12"/>
    <w:link w:val="2"/>
    <w:uiPriority w:val="3"/>
    <w:rPr>
      <w:rFonts w:asciiTheme="majorHAnsi" w:hAnsiTheme="majorHAnsi" w:eastAsiaTheme="majorEastAsia" w:cstheme="majorBidi"/>
      <w:b/>
      <w:bCs/>
      <w:kern w:val="22"/>
      <w:sz w:val="20"/>
      <w:szCs w:val="20"/>
    </w:rPr>
  </w:style>
  <w:style w:type="character" w:customStyle="1" w:styleId="20">
    <w:name w:val="Heading 2 Char"/>
    <w:basedOn w:val="12"/>
    <w:link w:val="3"/>
    <w:uiPriority w:val="4"/>
    <w:rPr>
      <w:rFonts w:asciiTheme="majorHAnsi" w:hAnsiTheme="majorHAnsi" w:eastAsiaTheme="majorEastAsia" w:cstheme="majorBidi"/>
      <w:b/>
      <w:bCs/>
      <w:color w:val="A6A6A6" w:themeColor="background1" w:themeShade="A6"/>
      <w:sz w:val="20"/>
      <w:szCs w:val="20"/>
    </w:rPr>
  </w:style>
  <w:style w:type="paragraph" w:customStyle="1" w:styleId="21">
    <w:name w:val="List Paragraph1"/>
    <w:basedOn w:val="1"/>
    <w:semiHidden/>
    <w:uiPriority w:val="34"/>
    <w:pPr>
      <w:ind w:left="720"/>
      <w:contextualSpacing/>
    </w:pPr>
  </w:style>
  <w:style w:type="character" w:customStyle="1" w:styleId="22">
    <w:name w:val="Title Char"/>
    <w:basedOn w:val="12"/>
    <w:link w:val="10"/>
    <w:uiPriority w:val="1"/>
    <w:rPr>
      <w:rFonts w:asciiTheme="majorHAnsi" w:hAnsiTheme="majorHAnsi" w:eastAsiaTheme="majorEastAsia" w:cstheme="majorBidi"/>
      <w:b/>
      <w:snapToGrid w:val="0"/>
      <w:sz w:val="28"/>
      <w:szCs w:val="52"/>
    </w:rPr>
  </w:style>
  <w:style w:type="character" w:customStyle="1" w:styleId="23">
    <w:name w:val="Heading 3 Char"/>
    <w:basedOn w:val="12"/>
    <w:link w:val="4"/>
    <w:uiPriority w:val="5"/>
    <w:rPr>
      <w:rFonts w:asciiTheme="majorHAnsi" w:hAnsiTheme="majorHAnsi" w:eastAsiaTheme="majorEastAsia" w:cstheme="majorBidi"/>
      <w:b/>
      <w:bCs/>
      <w:color w:val="003868"/>
      <w:sz w:val="20"/>
    </w:rPr>
  </w:style>
  <w:style w:type="character" w:customStyle="1" w:styleId="24">
    <w:name w:val="Heading 4 Char"/>
    <w:basedOn w:val="12"/>
    <w:link w:val="5"/>
    <w:semiHidden/>
    <w:uiPriority w:val="9"/>
    <w:rPr>
      <w:rFonts w:asciiTheme="majorHAnsi" w:hAnsiTheme="majorHAnsi" w:eastAsiaTheme="majorEastAsia" w:cstheme="majorBidi"/>
      <w:bCs/>
      <w:i/>
      <w:iCs/>
      <w:color w:val="255B89" w:themeColor="accent1"/>
      <w:kern w:val="22"/>
      <w:sz w:val="20"/>
      <w14:textFill>
        <w14:solidFill>
          <w14:schemeClr w14:val="accent1"/>
        </w14:solidFill>
      </w14:textFill>
    </w:rPr>
  </w:style>
  <w:style w:type="character" w:customStyle="1" w:styleId="25">
    <w:name w:val="List Bullet Char"/>
    <w:basedOn w:val="12"/>
    <w:link w:val="8"/>
    <w:uiPriority w:val="7"/>
    <w:rPr>
      <w:kern w:val="22"/>
      <w:sz w:val="20"/>
    </w:rPr>
  </w:style>
  <w:style w:type="character" w:customStyle="1" w:styleId="26">
    <w:name w:val="Balloon Text Char"/>
    <w:basedOn w:val="12"/>
    <w:link w:val="6"/>
    <w:semiHidden/>
    <w:uiPriority w:val="99"/>
    <w:rPr>
      <w:rFonts w:ascii="Tahoma" w:hAnsi="Tahoma" w:cs="Tahoma"/>
      <w:kern w:val="22"/>
      <w:sz w:val="16"/>
      <w:szCs w:val="16"/>
    </w:rPr>
  </w:style>
  <w:style w:type="character" w:customStyle="1" w:styleId="27">
    <w:name w:val="Placeholder Text1"/>
    <w:basedOn w:val="12"/>
    <w:semiHidden/>
    <w:uiPriority w:val="99"/>
    <w:rPr>
      <w:color w:val="808080"/>
    </w:rPr>
  </w:style>
  <w:style w:type="paragraph" w:customStyle="1" w:styleId="28">
    <w:name w:val="TOC Heading1"/>
    <w:basedOn w:val="2"/>
    <w:next w:val="1"/>
    <w:unhideWhenUsed/>
    <w:qFormat/>
    <w:uiPriority w:val="39"/>
    <w:pPr>
      <w:spacing w:line="276" w:lineRule="auto"/>
      <w:outlineLvl w:val="9"/>
    </w:pPr>
    <w:rPr>
      <w:color w:val="1C4467" w:themeColor="accent1" w:themeShade="BF"/>
      <w:sz w:val="28"/>
      <w:szCs w:val="28"/>
      <w:lang w:eastAsia="ja-JP"/>
    </w:rPr>
  </w:style>
  <w:style w:type="paragraph" w:customStyle="1" w:styleId="29">
    <w:name w:val="List Paragraph"/>
    <w:basedOn w:val="1"/>
    <w:unhideWhenUsed/>
    <w:uiPriority w:val="99"/>
    <w:pPr>
      <w:ind w:left="720"/>
      <w:contextualSpacing/>
    </w:pPr>
  </w:style>
  <w:style w:type="character" w:customStyle="1" w:styleId="30">
    <w:name w:val="HTML Preformatted Char"/>
    <w:basedOn w:val="12"/>
    <w:link w:val="7"/>
    <w:semiHidden/>
    <w:uiPriority w:val="99"/>
    <w:rPr>
      <w:rFonts w:ascii="Courier New" w:hAnsi="Courier New" w:eastAsia="Times New Roman" w:cs="Courier New"/>
    </w:rPr>
  </w:style>
  <w:style w:type="character" w:customStyle="1" w:styleId="31">
    <w:name w:val="kwd"/>
    <w:basedOn w:val="12"/>
    <w:uiPriority w:val="0"/>
  </w:style>
  <w:style w:type="character" w:customStyle="1" w:styleId="32">
    <w:name w:val="pln"/>
    <w:basedOn w:val="12"/>
    <w:uiPriority w:val="0"/>
  </w:style>
  <w:style w:type="character" w:customStyle="1" w:styleId="33">
    <w:name w:val="pun"/>
    <w:basedOn w:val="12"/>
    <w:uiPriority w:val="0"/>
  </w:style>
  <w:style w:type="character" w:customStyle="1" w:styleId="34">
    <w:name w:val="lit"/>
    <w:basedOn w:val="12"/>
    <w:uiPriority w:val="0"/>
  </w:style>
  <w:style w:type="character" w:customStyle="1" w:styleId="35">
    <w:name w:val="com"/>
    <w:basedOn w:val="12"/>
    <w:uiPriority w:val="0"/>
  </w:style>
  <w:style w:type="character" w:customStyle="1" w:styleId="36">
    <w:name w:val="hljs-keyword"/>
    <w:basedOn w:val="12"/>
    <w:uiPriority w:val="0"/>
  </w:style>
  <w:style w:type="character" w:customStyle="1" w:styleId="37">
    <w:name w:val="hljs-number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Grek" typeface="Credit Suisse Type Light"/>
        <a:font script="Cyrl" typeface="Credit Suisse Type Light"/>
        <a:font script="Jpan" typeface="Credit Suisse Type Jap Light"/>
        <a:font script="Hans" typeface="Credit Suisse Type SCh Light"/>
        <a:font script="Hant" typeface="Credit Suisse Type TCh Light"/>
        <a:font script="Arab" typeface="Credit Suisse Type Arabic Light"/>
        <a:font script="Thai" typeface="Credit Suisse Type Thai Light"/>
        <a:font script="Deva" typeface="Credit Suisse Type Deva Light"/>
      </a:majorFont>
      <a:minorFont>
        <a:latin typeface="Credit Suisse Type Light"/>
        <a:ea typeface=""/>
        <a:cs typeface=""/>
        <a:font script="Grek" typeface="Credit Suisse Type Light"/>
        <a:font script="Cyrl" typeface="Credit Suisse Type Light"/>
        <a:font script="Jpan" typeface="Credit Suisse Type Jap Light"/>
        <a:font script="Hans" typeface="Credit Suisse Type SCh Light"/>
        <a:font script="Hant" typeface="Credit Suisse Type TCh Light"/>
        <a:font script="Arab" typeface="Credit Suisse Type Arabic Light"/>
        <a:font script="Thai" typeface="Credit Suisse Type Thai Light"/>
        <a:font script="Deva" typeface="Credit Suisse Type Deva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13AF2-A292-497E-BC9D-42149518CE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Credit Suisse</Company>
  <Pages>6</Pages>
  <Words>751</Words>
  <Characters>3687</Characters>
  <Lines>199</Lines>
  <Paragraphs>153</Paragraphs>
  <TotalTime>0</TotalTime>
  <ScaleCrop>false</ScaleCrop>
  <LinksUpToDate>false</LinksUpToDate>
  <CharactersWithSpaces>4323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2017-09-14T14:47:00Z</dcterms:created>
  <dc:creator>Niogi, Subhadeep (VIFX 152) CWR</dc:creator>
  <cp:lastModifiedBy>HP</cp:lastModifiedBy>
  <dcterms:modified xsi:type="dcterms:W3CDTF">2017-09-16T05:49:34Z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  <property fmtid="{D5CDD505-2E9C-101B-9397-08002B2CF9AE}" pid="3" name="_AdHocReviewCycleID">
    <vt:i4>-193620415</vt:i4>
  </property>
  <property fmtid="{D5CDD505-2E9C-101B-9397-08002B2CF9AE}" pid="4" name="_NewReviewCycle">
    <vt:lpwstr/>
  </property>
  <property fmtid="{D5CDD505-2E9C-101B-9397-08002B2CF9AE}" pid="5" name="_EmailSubject">
    <vt:lpwstr>Training doc</vt:lpwstr>
  </property>
  <property fmtid="{D5CDD505-2E9C-101B-9397-08002B2CF9AE}" pid="6" name="_AuthorEmail">
    <vt:lpwstr>subhadeep.niogi@credit-suisse.com</vt:lpwstr>
  </property>
  <property fmtid="{D5CDD505-2E9C-101B-9397-08002B2CF9AE}" pid="7" name="_AuthorEmailDisplayName">
    <vt:lpwstr>Niogi, Subhadeep (VIFX 163) CWR</vt:lpwstr>
  </property>
</Properties>
</file>