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989FF1" Type="http://schemas.openxmlformats.org/officeDocument/2006/relationships/officeDocument" Target="/word/document.xml" /><Relationship Id="coreR36989FF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b w:val="1"/>
          <w:sz w:val="24"/>
          <w:highlight w:val="yellow"/>
        </w:rPr>
      </w:pPr>
    </w:p>
    <w:tbl>
      <w:tblPr>
        <w:tblStyle w:val="T2"/>
        <w:tblW w:w="9360" w:type="dxa"/>
        <w:tblBorders>
          <w:top w:val="single" w:sz="8" w:space="0" w:shadow="0" w:frame="0" w:color="FFFFFF"/>
          <w:left w:val="single" w:sz="8" w:space="0" w:shadow="0" w:frame="0" w:color="FFFFFF"/>
          <w:bottom w:val="single" w:sz="8" w:space="0" w:shadow="0" w:frame="0" w:color="FFFFFF"/>
          <w:right w:val="single" w:sz="8" w:space="0" w:shadow="0" w:frame="0" w:color="FFFFFF"/>
          <w:insideH w:val="single" w:sz="8" w:space="0" w:shadow="0" w:frame="0" w:color="FFFFFF"/>
          <w:insideV w:val="single" w:sz="8" w:space="0" w:shadow="0" w:frame="0" w:color="FFFFFF"/>
        </w:tblBorders>
        <w:tblLayout w:type="fixed"/>
        <w:tblCellMar>
          <w:top w:w="100" w:type="dxa"/>
          <w:left w:w="100" w:type="dxa"/>
          <w:bottom w:w="100" w:type="dxa"/>
          <w:right w:w="100" w:type="dxa"/>
        </w:tblCellMar>
      </w:tblPr>
      <w:tblGrid/>
      <w:tr>
        <w:tc>
          <w:tcPr>
            <w:tcW w:w="4680" w:type="dxa"/>
            <w:tcMar>
              <w:top w:w="100" w:type="dxa"/>
              <w:left w:w="100" w:type="dxa"/>
              <w:bottom w:w="100" w:type="dxa"/>
              <w:right w:w="100" w:type="dxa"/>
            </w:tcMar>
          </w:tcPr>
          <w:p>
            <w:pPr>
              <w:widowControl w:val="0"/>
              <w:pBdr>
                <w:top w:val="none" w:sz="0" w:space="0" w:shadow="0" w:frame="0"/>
                <w:left w:val="none" w:sz="0" w:space="0" w:shadow="0" w:frame="0"/>
                <w:bottom w:val="none" w:sz="0" w:space="0" w:shadow="0" w:frame="0"/>
                <w:right w:val="none" w:sz="0" w:space="0" w:shadow="0" w:frame="0"/>
              </w:pBdr>
              <w:spacing w:lineRule="auto" w:line="240"/>
              <w:rPr>
                <w:b w:val="1"/>
                <w:sz w:val="24"/>
              </w:rPr>
            </w:pPr>
            <w:r>
              <w:rPr>
                <w:b w:val="1"/>
                <w:sz w:val="24"/>
              </w:rPr>
              <w:t xml:space="preserve">Request to </w:t>
            </w:r>
            <w:r>
              <w:rPr>
                <w:b w:val="1"/>
                <w:sz w:val="24"/>
              </w:rPr>
              <w:t>No Longer S</w:t>
            </w:r>
            <w:r>
              <w:rPr>
                <w:b w:val="1"/>
                <w:sz w:val="24"/>
              </w:rPr>
              <w:t xml:space="preserve">afeguard </w:t>
            </w:r>
            <w:r>
              <w:rPr>
                <w:b w:val="1"/>
                <w:sz w:val="24"/>
              </w:rPr>
              <w:t>Contact Information</w:t>
            </w:r>
          </w:p>
          <w:p>
            <w:pPr>
              <w:rPr>
                <w:b w:val="1"/>
                <w:sz w:val="20"/>
              </w:rPr>
            </w:pPr>
            <w:bookmarkStart w:id="0" w:name="_heading=h.gjdgxs"/>
            <w:bookmarkEnd w:id="0"/>
            <w:r>
              <w:rPr>
                <w:sz w:val="20"/>
              </w:rPr>
              <w:t>Utah Code of Judicial Administration Rule 4-202.02</w:t>
            </w:r>
          </w:p>
        </w:tc>
        <w:tc>
          <w:tcPr>
            <w:tcW w:w="4680" w:type="dxa"/>
            <w:tcMar>
              <w:top w:w="100" w:type="dxa"/>
              <w:left w:w="100" w:type="dxa"/>
              <w:bottom w:w="100" w:type="dxa"/>
              <w:right w:w="100" w:type="dxa"/>
            </w:tcMar>
          </w:tcPr>
          <w:p>
            <w:pPr>
              <w:widowControl w:val="0"/>
              <w:pBdr>
                <w:top w:val="none" w:sz="0" w:space="0" w:shadow="0" w:frame="0"/>
                <w:left w:val="none" w:sz="0" w:space="0" w:shadow="0" w:frame="0"/>
                <w:bottom w:val="none" w:sz="0" w:space="0" w:shadow="0" w:frame="0"/>
                <w:right w:val="none" w:sz="0" w:space="0" w:shadow="0" w:frame="0"/>
              </w:pBdr>
              <w:spacing w:lineRule="auto" w:line="240"/>
              <w:jc w:val="right"/>
              <w:rPr>
                <w:b w:val="1"/>
                <w:sz w:val="24"/>
              </w:rPr>
            </w:pPr>
            <w:r>
              <w:rPr>
                <w:b w:val="1"/>
                <w:sz w:val="24"/>
              </w:rPr>
              <w:t>Case Number____________________</w:t>
            </w:r>
          </w:p>
        </w:tc>
      </w:tr>
    </w:tbl>
    <w:p>
      <w:pPr>
        <w:rPr>
          <w:sz w:val="24"/>
        </w:rPr>
      </w:pPr>
    </w:p>
    <w:tbl>
      <w:tblPr>
        <w:tblStyle w:val="T2"/>
        <w:tblW w:w="9360"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CellMar>
          <w:top w:w="100" w:type="dxa"/>
          <w:left w:w="100" w:type="dxa"/>
          <w:bottom w:w="100" w:type="dxa"/>
          <w:right w:w="100" w:type="dxa"/>
        </w:tblCellMar>
      </w:tblPr>
      <w:tblGrid/>
      <w:tr>
        <w:tc>
          <w:tcPr>
            <w:tcW w:w="9360" w:type="dxa"/>
            <w:tcMar>
              <w:top w:w="100" w:type="dxa"/>
              <w:left w:w="100" w:type="dxa"/>
              <w:bottom w:w="100" w:type="dxa"/>
              <w:right w:w="100" w:type="dxa"/>
            </w:tcMar>
          </w:tcPr>
          <w:p>
            <w:pPr>
              <w:rPr>
                <w:sz w:val="24"/>
              </w:rPr>
            </w:pPr>
            <w:r>
              <w:rPr>
                <w:sz w:val="24"/>
              </w:rPr>
              <w:t>Instructions:</w:t>
            </w:r>
          </w:p>
          <w:p>
            <w:pPr>
              <w:rPr>
                <w:sz w:val="24"/>
              </w:rPr>
            </w:pPr>
            <w:r>
              <w:rPr>
                <w:sz w:val="24"/>
              </w:rPr>
              <w:t>Fill out this section only if you are asking that your contact information no longer be safeguarded. Please read the following:</w:t>
            </w:r>
          </w:p>
          <w:p>
            <w:pPr>
              <w:numPr>
                <w:ilvl w:val="0"/>
                <w:numId w:val="1"/>
              </w:numPr>
              <w:rPr>
                <w:sz w:val="24"/>
              </w:rPr>
            </w:pPr>
            <w:r>
              <w:rPr>
                <w:sz w:val="24"/>
              </w:rPr>
              <w:t>Safeguard means contact information such as addresses, telephone numbers, and email addresses will not be available to other parties in your case.</w:t>
            </w:r>
          </w:p>
          <w:p>
            <w:pPr>
              <w:numPr>
                <w:ilvl w:val="0"/>
                <w:numId w:val="1"/>
              </w:numPr>
              <w:rPr>
                <w:sz w:val="24"/>
              </w:rPr>
            </w:pPr>
            <w:r>
              <w:rPr>
                <w:sz w:val="24"/>
              </w:rPr>
              <w:t xml:space="preserve">Your case is already considered private. No one other than the parties in the case can view documents. However, orders and minute entries are public and can be viewed by anyone. </w:t>
            </w:r>
          </w:p>
        </w:tc>
      </w:tr>
    </w:tbl>
    <w:p>
      <w:pPr>
        <w:rPr>
          <w:sz w:val="24"/>
        </w:rPr>
      </w:pPr>
    </w:p>
    <w:p>
      <w:pPr>
        <w:rPr>
          <w:sz w:val="24"/>
        </w:rPr>
      </w:pPr>
      <w:r>
        <w:rPr>
          <w:sz w:val="24"/>
        </w:rPr>
        <w:t>I have reviewed my case and no longer need my contact information to be safeguarded. This includes my address, phone number and email address.</w:t>
      </w:r>
    </w:p>
    <w:p>
      <w:pPr>
        <w:rPr>
          <w:sz w:val="24"/>
        </w:rPr>
      </w:pPr>
      <w:r>
        <w:rPr>
          <w:sz w:val="24"/>
        </w:rPr>
        <w:t xml:space="preserve"> </w:t>
      </w:r>
    </w:p>
    <w:p>
      <w:pPr>
        <w:rPr>
          <w:b w:val="1"/>
          <w:sz w:val="24"/>
        </w:rPr>
      </w:pPr>
      <w:r>
        <w:rPr>
          <w:b w:val="1"/>
          <w:sz w:val="24"/>
        </w:rPr>
        <w:t>Mark all that apply:</w:t>
      </w:r>
    </w:p>
    <w:p>
      <w:pPr>
        <w:rPr>
          <w:b w:val="1"/>
          <w:sz w:val="24"/>
        </w:rPr>
      </w:pPr>
    </w:p>
    <w:p>
      <w:pPr>
        <w:ind w:left="720"/>
        <w:rPr>
          <w:sz w:val="24"/>
        </w:rPr>
      </w:pPr>
      <w:r>
        <w:rPr>
          <w:sz w:val="24"/>
        </w:rPr>
        <w:t xml:space="preserve">[   ] I am asking that my contact information no longer be safeguarded.</w:t>
      </w:r>
    </w:p>
    <w:p>
      <w:pPr>
        <w:ind w:left="720"/>
        <w:rPr>
          <w:sz w:val="24"/>
        </w:rPr>
      </w:pPr>
    </w:p>
    <w:p>
      <w:pPr>
        <w:ind w:left="720"/>
        <w:rPr>
          <w:sz w:val="24"/>
        </w:rPr>
      </w:pPr>
      <w:r>
        <w:rPr>
          <w:sz w:val="24"/>
        </w:rPr>
        <w:t xml:space="preserve">[   ] I am asking that my child’s contact information no longer be safeguarded.</w:t>
      </w:r>
    </w:p>
    <w:p>
      <w:pPr>
        <w:rPr>
          <w:sz w:val="24"/>
        </w:rPr>
      </w:pPr>
    </w:p>
    <w:p>
      <w:pPr>
        <w:jc w:val="right"/>
        <w:rPr>
          <w:sz w:val="24"/>
        </w:rPr>
      </w:pPr>
    </w:p>
    <w:p>
      <w:pPr>
        <w:jc w:val="right"/>
        <w:rPr>
          <w:sz w:val="24"/>
        </w:rPr>
      </w:pPr>
      <w:r>
        <w:rPr>
          <w:sz w:val="24"/>
        </w:rPr>
        <w:t>____________________________________________</w:t>
      </w:r>
    </w:p>
    <w:p>
      <w:pPr>
        <w:jc w:val="right"/>
        <w:rPr>
          <w:sz w:val="24"/>
        </w:rPr>
      </w:pPr>
      <w:r>
        <w:rPr>
          <w:sz w:val="24"/>
        </w:rPr>
        <w:t>Party Signature</w:t>
      </w:r>
    </w:p>
    <w:p>
      <w:pPr>
        <w:jc w:val="right"/>
        <w:rPr>
          <w:sz w:val="24"/>
        </w:rPr>
      </w:pPr>
    </w:p>
    <w:p>
      <w:pPr>
        <w:jc w:val="right"/>
        <w:rPr>
          <w:sz w:val="24"/>
        </w:rPr>
      </w:pPr>
      <w:r>
        <w:rPr>
          <w:sz w:val="24"/>
        </w:rPr>
        <w:t>____________________________________________</w:t>
      </w:r>
    </w:p>
    <w:p>
      <w:pPr>
        <w:jc w:val="right"/>
        <w:rPr>
          <w:sz w:val="24"/>
        </w:rPr>
      </w:pPr>
      <w:r>
        <w:rPr>
          <w:sz w:val="24"/>
        </w:rPr>
        <w:t>Party Name</w:t>
      </w:r>
    </w:p>
    <w:p>
      <w:pPr>
        <w:jc w:val="right"/>
        <w:rPr>
          <w:sz w:val="24"/>
        </w:rPr>
      </w:pPr>
    </w:p>
    <w:p>
      <w:pPr>
        <w:jc w:val="right"/>
        <w:rPr>
          <w:sz w:val="24"/>
        </w:rPr>
      </w:pPr>
      <w:r>
        <w:rPr>
          <w:sz w:val="24"/>
        </w:rPr>
        <w:t>___________________________________________</w:t>
      </w:r>
    </w:p>
    <w:p>
      <w:pPr>
        <w:jc w:val="right"/>
        <w:rPr>
          <w:sz w:val="24"/>
        </w:rPr>
      </w:pPr>
      <w:r>
        <w:rPr>
          <w:sz w:val="24"/>
        </w:rPr>
        <w:t>Date</w:t>
      </w:r>
    </w:p>
    <w:p>
      <w:pPr>
        <w:jc w:val="right"/>
      </w:pPr>
    </w:p>
    <w:p/>
    <w:p>
      <w:r>
        <w:t>Instructions to the Judicial Assistant:</w:t>
      </w:r>
    </w:p>
    <w:p>
      <w:r>
        <w:t xml:space="preserve">This document should be filed in the case after it is signed and the party no longer feels safeguarding is necessary. You should change the party's designation by marking or unmarking the Safeguarded box. Check for any documents that may have been marked safeguarded and change the classification back to the original classification if appropriate. </w:t>
      </w:r>
      <w:r>
        <w:rPr>
          <w:sz w:val="24"/>
        </w:rPr>
        <w:t xml:space="preserve"> </w:t>
      </w:r>
    </w:p>
    <w:sectPr>
      <w:footerReference xmlns:r="http://schemas.openxmlformats.org/officeDocument/2006/relationships" w:type="default" r:id="RelFtr1"/>
      <w:type w:val="nextPage"/>
      <w:pgMar w:left="1440" w:right="1440" w:top="1440" w:bottom="1440"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c>
        <w:tcPr>
          <w:tcW w:w="2988" w:type="dxa"/>
        </w:tcPr>
        <w:p>
          <w:pPr>
            <w:pStyle w:val="P10"/>
            <w:spacing w:before="60"/>
            <w:rPr>
              <w:sz w:val="16"/>
            </w:rPr>
          </w:pPr>
          <w:r>
            <w:rPr>
              <w:sz w:val="16"/>
            </w:rPr>
            <w:t>1054GEJ Approved June 26, 2023</w:t>
          </w:r>
        </w:p>
      </w:tc>
      <w:tc>
        <w:tcPr>
          <w:tcW w:w="4590" w:type="dxa"/>
        </w:tcPr>
        <w:p>
          <w:pPr>
            <w:pStyle w:val="P10"/>
            <w:spacing w:before="60"/>
            <w:jc w:val="center"/>
            <w:rPr>
              <w:b w:val="1"/>
              <w:sz w:val="16"/>
            </w:rPr>
          </w:pPr>
          <w:r>
            <w:rPr>
              <w:b w:val="1"/>
              <w:sz w:val="16"/>
            </w:rPr>
            <w:t>Request to</w:t>
          </w:r>
          <w:r>
            <w:rPr>
              <w:b w:val="1"/>
              <w:sz w:val="16"/>
            </w:rPr>
            <w:t xml:space="preserve"> No Longer Safeguard Contact Information</w:t>
          </w:r>
        </w:p>
      </w:tc>
      <w:tc>
        <w:tcPr>
          <w:tcW w:w="1980" w:type="dxa"/>
        </w:tcPr>
        <w:p>
          <w:pPr>
            <w:pStyle w:val="P10"/>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10"/>
    </w:pPr>
  </w:p>
  <w:p>
    <w:pPr>
      <w:pStyle w:val="P10"/>
    </w:pPr>
  </w:p>
</w:ftr>
</file>

<file path=word/numbering.xml><?xml version="1.0" encoding="utf-8"?>
<w:numbering xmlns:w="http://schemas.openxmlformats.org/wordprocessingml/2006/main">
  <w:abstractNum w:abstractNumId="0">
    <w:nsid w:val="578855A7"/>
    <w:multiLevelType w:val="hybridMultilevel"/>
    <w:lvl w:ilvl="0" w:tplc="4E8CF0ED">
      <w:start w:val="1"/>
      <w:numFmt w:val="bullet"/>
      <w:suff w:val="tab"/>
      <w:lvlText w:val="●"/>
      <w:lvlJc w:val="left"/>
      <w:pPr>
        <w:ind w:hanging="360" w:left="720"/>
      </w:pPr>
      <w:rPr>
        <w:u w:val="none"/>
      </w:rPr>
    </w:lvl>
    <w:lvl w:ilvl="1" w:tplc="79442387">
      <w:start w:val="1"/>
      <w:numFmt w:val="bullet"/>
      <w:suff w:val="tab"/>
      <w:lvlText w:val="○"/>
      <w:lvlJc w:val="left"/>
      <w:pPr>
        <w:ind w:hanging="360" w:left="1440"/>
      </w:pPr>
      <w:rPr>
        <w:u w:val="none"/>
      </w:rPr>
    </w:lvl>
    <w:lvl w:ilvl="2" w:tplc="316FDED0">
      <w:start w:val="1"/>
      <w:numFmt w:val="bullet"/>
      <w:suff w:val="tab"/>
      <w:lvlText w:val="■"/>
      <w:lvlJc w:val="left"/>
      <w:pPr>
        <w:ind w:hanging="360" w:left="2160"/>
      </w:pPr>
      <w:rPr>
        <w:u w:val="none"/>
      </w:rPr>
    </w:lvl>
    <w:lvl w:ilvl="3" w:tplc="737448D7">
      <w:start w:val="1"/>
      <w:numFmt w:val="bullet"/>
      <w:suff w:val="tab"/>
      <w:lvlText w:val="●"/>
      <w:lvlJc w:val="left"/>
      <w:pPr>
        <w:ind w:hanging="360" w:left="2880"/>
      </w:pPr>
      <w:rPr>
        <w:u w:val="none"/>
      </w:rPr>
    </w:lvl>
    <w:lvl w:ilvl="4" w:tplc="64937BEE">
      <w:start w:val="1"/>
      <w:numFmt w:val="bullet"/>
      <w:suff w:val="tab"/>
      <w:lvlText w:val="○"/>
      <w:lvlJc w:val="left"/>
      <w:pPr>
        <w:ind w:hanging="360" w:left="3600"/>
      </w:pPr>
      <w:rPr>
        <w:u w:val="none"/>
      </w:rPr>
    </w:lvl>
    <w:lvl w:ilvl="5" w:tplc="759230D1">
      <w:start w:val="1"/>
      <w:numFmt w:val="bullet"/>
      <w:suff w:val="tab"/>
      <w:lvlText w:val="■"/>
      <w:lvlJc w:val="left"/>
      <w:pPr>
        <w:ind w:hanging="360" w:left="4320"/>
      </w:pPr>
      <w:rPr>
        <w:u w:val="none"/>
      </w:rPr>
    </w:lvl>
    <w:lvl w:ilvl="6" w:tplc="1FB4E12B">
      <w:start w:val="1"/>
      <w:numFmt w:val="bullet"/>
      <w:suff w:val="tab"/>
      <w:lvlText w:val="●"/>
      <w:lvlJc w:val="left"/>
      <w:pPr>
        <w:ind w:hanging="360" w:left="5040"/>
      </w:pPr>
      <w:rPr>
        <w:u w:val="none"/>
      </w:rPr>
    </w:lvl>
    <w:lvl w:ilvl="7" w:tplc="5D153984">
      <w:start w:val="1"/>
      <w:numFmt w:val="bullet"/>
      <w:suff w:val="tab"/>
      <w:lvlText w:val="○"/>
      <w:lvlJc w:val="left"/>
      <w:pPr>
        <w:ind w:hanging="360" w:left="5760"/>
      </w:pPr>
      <w:rPr>
        <w:u w:val="none"/>
      </w:rPr>
    </w:lvl>
    <w:lvl w:ilvl="8" w:tplc="37CC5460">
      <w:start w:val="1"/>
      <w:numFmt w:val="bullet"/>
      <w:suff w:val="tab"/>
      <w:lvlText w:val="■"/>
      <w:lvlJc w:val="left"/>
      <w:pPr>
        <w:ind w:hanging="360" w:left="6480"/>
      </w:pPr>
      <w:rPr>
        <w:u w:val="none"/>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Arial" w:hAnsi="Arial"/>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pPr>
    <w:rPr>
      <w:sz w:val="22"/>
    </w:rPr>
  </w:style>
  <w:style w:type="paragraph" w:styleId="P1">
    <w:name w:val="Heading 1"/>
    <w:basedOn w:val="P0"/>
    <w:next w:val="P0"/>
    <w:qFormat/>
    <w:pPr>
      <w:keepNext w:val="1"/>
      <w:keepLines w:val="1"/>
      <w:spacing w:before="480" w:after="120"/>
      <w:outlineLvl w:val="0"/>
    </w:pPr>
    <w:rPr>
      <w:b w:val="1"/>
      <w:sz w:val="48"/>
    </w:rPr>
  </w:style>
  <w:style w:type="paragraph" w:styleId="P2">
    <w:name w:val="Heading 2"/>
    <w:basedOn w:val="P0"/>
    <w:next w:val="P0"/>
    <w:qFormat/>
    <w:pPr>
      <w:keepNext w:val="1"/>
      <w:keepLines w:val="1"/>
      <w:spacing w:before="360" w:after="80"/>
      <w:outlineLvl w:val="1"/>
    </w:pPr>
    <w:rPr>
      <w:b w:val="1"/>
      <w:sz w:val="36"/>
    </w:rPr>
  </w:style>
  <w:style w:type="paragraph" w:styleId="P3">
    <w:name w:val="Heading 3"/>
    <w:basedOn w:val="P0"/>
    <w:next w:val="P0"/>
    <w:qFormat/>
    <w:pPr>
      <w:keepNext w:val="1"/>
      <w:keepLines w:val="1"/>
      <w:spacing w:before="280" w:after="80"/>
      <w:outlineLvl w:val="2"/>
    </w:pPr>
    <w:rPr>
      <w:b w:val="1"/>
      <w:sz w:val="28"/>
    </w:rPr>
  </w:style>
  <w:style w:type="paragraph" w:styleId="P4">
    <w:name w:val="Heading 4"/>
    <w:basedOn w:val="P0"/>
    <w:next w:val="P0"/>
    <w:qFormat/>
    <w:pPr>
      <w:keepNext w:val="1"/>
      <w:keepLines w:val="1"/>
      <w:spacing w:before="240" w:after="40"/>
      <w:outlineLvl w:val="3"/>
    </w:pPr>
    <w:rPr>
      <w:b w:val="1"/>
      <w:sz w:val="24"/>
    </w:rPr>
  </w:style>
  <w:style w:type="paragraph" w:styleId="P5">
    <w:name w:val="Heading 5"/>
    <w:basedOn w:val="P0"/>
    <w:next w:val="P0"/>
    <w:qFormat/>
    <w:pPr>
      <w:keepNext w:val="1"/>
      <w:keepLines w:val="1"/>
      <w:spacing w:before="220" w:after="40"/>
      <w:outlineLvl w:val="4"/>
    </w:pPr>
    <w:rPr>
      <w:b w:val="1"/>
    </w:rPr>
  </w:style>
  <w:style w:type="paragraph" w:styleId="P6">
    <w:name w:val="Heading 6"/>
    <w:basedOn w:val="P0"/>
    <w:next w:val="P0"/>
    <w:qFormat/>
    <w:pPr>
      <w:keepNext w:val="1"/>
      <w:keepLines w:val="1"/>
      <w:spacing w:before="200" w:after="40"/>
      <w:outlineLvl w:val="5"/>
    </w:pPr>
    <w:rPr>
      <w:b w:val="1"/>
      <w:sz w:val="20"/>
    </w:rPr>
  </w:style>
  <w:style w:type="paragraph" w:styleId="P7">
    <w:name w:val="Title"/>
    <w:basedOn w:val="P0"/>
    <w:next w:val="P0"/>
    <w:qFormat/>
    <w:pPr>
      <w:keepNext w:val="1"/>
      <w:keepLines w:val="1"/>
      <w:spacing w:before="480" w:after="120"/>
    </w:pPr>
    <w:rPr>
      <w:b w:val="1"/>
      <w:sz w:val="72"/>
    </w:rPr>
  </w:style>
  <w:style w:type="paragraph" w:styleId="P8">
    <w:name w:val="Subtitle"/>
    <w:basedOn w:val="P0"/>
    <w:next w:val="P0"/>
    <w:qFormat/>
    <w:pPr>
      <w:keepNext w:val="1"/>
      <w:keepLines w:val="1"/>
      <w:spacing w:before="360" w:after="80"/>
    </w:pPr>
    <w:rPr>
      <w:rFonts w:ascii="Georgia" w:hAnsi="Georgia"/>
      <w:i w:val="1"/>
      <w:color w:val="666666"/>
      <w:sz w:val="48"/>
    </w:rPr>
  </w:style>
  <w:style w:type="paragraph" w:styleId="P9">
    <w:name w:val="Header"/>
    <w:basedOn w:val="P0"/>
    <w:next w:val="P9"/>
    <w:link w:val="C3"/>
    <w:pPr>
      <w:tabs>
        <w:tab w:val="center" w:pos="4680" w:leader="none"/>
        <w:tab w:val="right" w:pos="9360" w:leader="none"/>
      </w:tabs>
      <w:spacing w:lineRule="auto" w:line="240"/>
    </w:pPr>
    <w:rPr/>
  </w:style>
  <w:style w:type="paragraph" w:styleId="P10">
    <w:name w:val="Footer"/>
    <w:basedOn w:val="P0"/>
    <w:next w:val="P10"/>
    <w:link w:val="C4"/>
    <w:pPr>
      <w:tabs>
        <w:tab w:val="center" w:pos="4680" w:leader="none"/>
        <w:tab w:val="right" w:pos="9360" w:leader="none"/>
      </w:tabs>
      <w:spacing w:lineRule="auto" w:line="24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9"/>
    <w:rPr/>
  </w:style>
  <w:style w:type="character" w:styleId="C4">
    <w:name w:val="Footer Char"/>
    <w:basedOn w:val="C0"/>
    <w:link w:val="P1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
    <w:basedOn w:val="T2"/>
    <w:tblPr>
      <w:tblStyleRowBandSize w:val="1"/>
      <w:tblStyleColBandSize w:val="1"/>
      <w:tblCellMar>
        <w:top w:w="100" w:type="dxa"/>
        <w:left w:w="100" w:type="dxa"/>
        <w:bottom w:w="100" w:type="dxa"/>
        <w:right w:w="100"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Kaden Taylor</dc:creator>
  <dcterms:created xsi:type="dcterms:W3CDTF">2023-07-19T22:07:00Z</dcterms:created>
  <cp:keywords>Request to No Longer Safeguard Contact Information</cp:keywords>
  <cp:lastModifiedBy>Jake Quackenbush</cp:lastModifiedBy>
  <dcterms:modified xsi:type="dcterms:W3CDTF">2025-03-05T01:47:53Z</dcterms:modified>
  <cp:revision>3</cp:revision>
  <dc:subject>Request to No Longer Safeguard Contact Information</dc:subject>
  <dc:title>Request to No Longer Safeguard Contact Information</dc:title>
</cp:coreProperties>
</file>