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D2EE836" Type="http://schemas.openxmlformats.org/officeDocument/2006/relationships/officeDocument" Target="/word/document.xml" /><Relationship Id="coreR7D2EE836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  <w:r>
              <mc:AlternateContent>
                <mc:Choice Requires="wps">
                  <w:drawing>
                    <wp:anchor xmlns:wp="http://schemas.openxmlformats.org/drawingml/2006/wordprocessingDrawing" simplePos="0" allowOverlap="0" behindDoc="0" layoutInCell="1" locked="0" relativeHeight="1" distL="114300" distR="114300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-1032510</wp:posOffset>
                      </wp:positionV>
                      <wp:extent cx="3101340" cy="1333500"/>
                      <wp:wrapNone/>
                      <wp:docPr id="1" name="Text Box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1340" cy="133350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/>
                                    <w:rPr>
                                      <w:b w:val="1"/>
                                    </w:rPr>
                                  </w:pPr>
                                  <w:r>
                                    <w:rPr>
                                      <w:b w:val="1"/>
                                    </w:rPr>
                                    <w:t>This motion will be decided by the court commissioner at an upcoming hearing. If</w:t>
                                  </w:r>
                                  <w:r>
                                    <w:rPr>
                                      <w:b w:val="1"/>
                                    </w:rPr>
                                    <w:t xml:space="preserve"> you do not appear at the hearing, the Court might make a decision against you without your input. In addition, you may file a written response at least 14 days before the hearing.</w:t>
                                  </w:r>
                                </w:p>
                              </w:txbxContent>
                            </wps:txbx>
                            <wps:bodyPr lIns="45720" rIns="4572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2" path="m,l,21600r21600,l21600,xe"/>
                    <v:shape xmlns:o="urn:schemas-microsoft-com:office:office" type="#2" id="Text Box 1" style="position:absolute;width:244.2pt;height:105pt;z-index:1;mso-wrap-distance-left:9pt;mso-wrap-distance-top:0pt;mso-wrap-distance-right:9pt;mso-wrap-distance-bottom:0pt;margin-left:3.6pt;margin-top:-81.3pt;mso-position-horizontal:absolute;mso-position-horizontal-relative:text;mso-position-vertical:absolute;mso-position-vertical-relative:text;mso-width-relative:margin;mso-width-percent:0;mso-height-relative:margin;mso-height-percent:0" fillcolor="#FFFFFF" strokecolor="#000000" strokeweight="0pt" o:allowincell="t">
                      <v:textbox inset="1mm,1mm,1mm,1mm">
                        <w:txbxContent>
                          <w:p>
                            <w:pPr>
                              <w:spacing w:before="0" w:after="0"/>
                              <w:rPr>
                                <w:b w:val="1"/>
                              </w:rPr>
                            </w:pPr>
                            <w:r>
                              <w:rPr>
                                <w:b w:val="1"/>
                              </w:rPr>
                              <w:t>This motion will be decided by the court commissioner at an upcoming hearing. If</w:t>
                            </w:r>
                            <w:r>
                              <w:rPr>
                                <w:b w:val="1"/>
                              </w:rPr>
                              <w:t xml:space="preserve"> you do not appear at the hearing, the Court might make a decision against you without your input. In addition, you may file a written response at least 14 days before the hearing.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>You will receive information and documents at this email address.</w:t>
            </w: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24" w:type="dxa"/>
        </w:trPr>
        <w:tc>
          <w:tcPr>
            <w:tcW w:w="9558" w:type="dxa"/>
            <w:gridSpan w:val="4"/>
          </w:tcPr>
          <w:p>
            <w:pPr>
              <w:tabs>
                <w:tab w:val="left" w:pos="540" w:leader="none"/>
                <w:tab w:val="left" w:pos="3510" w:leader="none"/>
                <w:tab w:val="left" w:pos="5040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Petitioner</w:t>
              <w:tab/>
              <w:t xml:space="preserve">[  ]  Respondent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Attorney</w:t>
              <w:tab/>
              <w:t xml:space="preserve">[  ]  Respondent’s Attorney                     (Utah Bar #:__________)</w:t>
            </w:r>
          </w:p>
          <w:p>
            <w:pPr>
              <w:tabs>
                <w:tab w:val="left" w:pos="3510" w:leader="none"/>
                <w:tab w:val="left" w:pos="4410" w:leader="none"/>
                <w:tab w:val="left" w:pos="5760" w:leader="none"/>
                <w:tab w:val="left" w:pos="7020" w:leader="none"/>
              </w:tabs>
              <w:spacing w:before="6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Licensed Paralegal Practitioner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120"/>
              <w:ind w:left="540"/>
            </w:pPr>
            <w:r>
              <w:rPr>
                <w:sz w:val="20"/>
              </w:rPr>
              <w:t xml:space="preserve">[  ]  Respondent’s Licensed Paralegal Practitioner  </w:t>
              <w:tab/>
              <w:t>(Utah Bar #:__________)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5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jc w:val="center"/>
            </w:pPr>
            <w:r>
              <w:t>In the District Court of Utah</w:t>
            </w:r>
          </w:p>
          <w:p>
            <w:pPr>
              <w:spacing w:after="0"/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gridSpan w:val="3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>Motion to</w:t>
            </w:r>
          </w:p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>___</w:t>
            </w:r>
            <w:r>
              <w:rPr>
                <w:b w:val="1"/>
              </w:rPr>
              <w:t>_________</w:t>
            </w:r>
            <w:r>
              <w:rPr>
                <w:b w:val="1"/>
              </w:rPr>
              <w:t>___________________</w:t>
            </w:r>
            <w:r>
              <w:rPr>
                <w:b w:val="1"/>
              </w:rPr>
              <w:t xml:space="preserve"> 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(name of motion)</w:t>
            </w:r>
          </w:p>
          <w:p>
            <w:pPr>
              <w:spacing w:after="0"/>
              <w:rPr>
                <w:b w:val="1"/>
              </w:rPr>
            </w:pPr>
            <w:r>
              <w:t xml:space="preserve">[  ] </w:t>
            </w:r>
            <w:r>
              <w:rPr>
                <w:b w:val="1"/>
              </w:rPr>
              <w:t>Hearing</w:t>
            </w:r>
            <w:r>
              <w:rPr>
                <w:b w:val="1"/>
              </w:rPr>
              <w:t xml:space="preserve"> R</w:t>
            </w:r>
            <w:r>
              <w:rPr>
                <w:b w:val="1"/>
              </w:rPr>
              <w:t>equested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</w:pPr>
            <w:r>
              <w:rPr>
                <w:sz w:val="20"/>
              </w:rPr>
              <w:t>Commissioner (domestic cases)</w:t>
            </w:r>
          </w:p>
        </w:tc>
      </w:tr>
    </w:tbl>
    <w:p>
      <w:pPr>
        <w:spacing w:after="0"/>
        <w:ind w:hanging="720" w:left="720"/>
        <w:rPr>
          <w:sz w:val="20"/>
        </w:rPr>
      </w:pPr>
      <w:r>
        <w:t>1.</w:t>
        <w:tab/>
        <w:t>I ask the court to enter an order as follows:</w:t>
      </w:r>
      <w:r>
        <w:rPr>
          <w:sz w:val="20"/>
        </w:rPr>
        <w:t xml:space="preserve"> </w:t>
      </w:r>
    </w:p>
    <w:p>
      <w:pPr>
        <w:spacing w:before="0" w:after="0"/>
        <w:ind w:hanging="720" w:left="1440"/>
        <w:rPr>
          <w:sz w:val="20"/>
        </w:rPr>
      </w:pPr>
      <w:r>
        <w:rPr>
          <w:sz w:val="20"/>
        </w:rPr>
        <w:t xml:space="preserve">(Write </w:t>
      </w:r>
      <w:r>
        <w:rPr>
          <w:b w:val="1"/>
          <w:sz w:val="20"/>
        </w:rPr>
        <w:t xml:space="preserve">what </w:t>
      </w:r>
      <w:r>
        <w:rPr>
          <w:sz w:val="20"/>
        </w:rPr>
        <w:t>you want the court to order.)</w:t>
      </w:r>
    </w:p>
    <w:p>
      <w:pPr>
        <w:spacing w:before="0" w:after="0"/>
        <w:ind w:left="720"/>
      </w:pP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  <w:p/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spacing w:after="0"/>
        <w:ind w:hanging="720" w:left="720"/>
        <w:rPr>
          <w:sz w:val="20"/>
        </w:rPr>
      </w:pPr>
      <w:r>
        <w:t>2.</w:t>
        <w:tab/>
        <w:t>I ask for this order because:</w:t>
      </w:r>
      <w:r>
        <w:rPr>
          <w:sz w:val="20"/>
        </w:rPr>
        <w:t xml:space="preserve"> </w:t>
      </w:r>
    </w:p>
    <w:p>
      <w:pPr>
        <w:spacing w:before="0" w:after="0"/>
        <w:ind w:left="720"/>
        <w:rPr>
          <w:sz w:val="20"/>
        </w:rPr>
      </w:pPr>
      <w:r>
        <w:rPr>
          <w:sz w:val="20"/>
        </w:rPr>
        <w:t xml:space="preserve">(Explain </w:t>
      </w:r>
      <w:r>
        <w:rPr>
          <w:b w:val="1"/>
          <w:sz w:val="20"/>
        </w:rPr>
        <w:t>wh</w:t>
      </w:r>
      <w:r>
        <w:rPr>
          <w:b w:val="1"/>
          <w:sz w:val="20"/>
        </w:rPr>
        <w:t>y</w:t>
      </w:r>
      <w:r>
        <w:rPr>
          <w:sz w:val="20"/>
        </w:rPr>
        <w:t xml:space="preserve"> you want the court order. Attach additional sheets if needed.)</w:t>
      </w:r>
    </w:p>
    <w:p>
      <w:pPr>
        <w:spacing w:before="0" w:after="0"/>
        <w:ind w:left="720"/>
      </w:pP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spacing w:after="0"/>
        <w:ind w:hanging="720" w:left="720"/>
      </w:pPr>
      <w:r>
        <w:t xml:space="preserve">3. </w:t>
        <w:tab/>
        <w:t xml:space="preserve">[  ]  The motion is supported by the law because: </w:t>
      </w:r>
    </w:p>
    <w:p>
      <w:pPr>
        <w:spacing w:before="0"/>
        <w:ind w:left="720"/>
        <w:rPr>
          <w:sz w:val="20"/>
        </w:rPr>
      </w:pPr>
      <w:r>
        <w:rPr>
          <w:sz w:val="20"/>
        </w:rPr>
        <w:t>(List any statutes, ordinances, rules or appellate opinions that support/oppose the motion. For example, Utah Code 15-1-201, or Utah Rules of Civil Procedure 67. Explain why they support the motion.)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spacing w:after="120"/>
        <w:ind w:hanging="720" w:left="720"/>
      </w:pPr>
      <w:r>
        <w:t>4.</w:t>
        <w:tab/>
        <w:t xml:space="preserve">[  ] I request a hearing.</w:t>
      </w:r>
    </w:p>
    <w:p>
      <w:pPr>
        <w:spacing w:before="120"/>
        <w:ind w:hanging="720" w:left="1440"/>
      </w:pPr>
      <w:r>
        <w:t xml:space="preserve">[  ] I do not request a hearing.</w:t>
      </w:r>
    </w:p>
    <w:p>
      <w:pPr>
        <w:spacing w:after="360"/>
        <w:ind w:hanging="720" w:left="720"/>
      </w:pPr>
      <w:r>
        <w:t>5.</w:t>
        <w:tab/>
        <w:t xml:space="preserve">[  ]  I have attached the following documents in support of this motion: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spacing w:before="0" w:after="0"/>
        <w:ind w:hanging="720" w:left="720"/>
      </w:pPr>
      <w:r>
        <w:t xml:space="preserve"> </w:t>
      </w:r>
    </w:p>
    <w:p>
      <w:pPr>
        <w:rPr>
          <w:b w:val="1"/>
        </w:rPr>
      </w:pPr>
      <w:r>
        <w:rPr>
          <w:b w:val="1"/>
        </w:rPr>
        <w:t xml:space="preserve">Plaintiff/Petitioner or Defendant/Respondent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</w:p>
          <w:p>
            <w:pPr>
              <w:spacing w:before="120" w:after="0"/>
              <w:rPr>
                <w:b w:val="1"/>
              </w:rPr>
            </w:pPr>
          </w:p>
          <w:p>
            <w:pPr>
              <w:spacing w:before="120" w:after="0"/>
              <w:rPr>
                <w:sz w:val="20"/>
              </w:rPr>
            </w:pPr>
            <w:r>
              <w:rPr>
                <w:b w:val="1"/>
              </w:rPr>
              <w:t>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  <w:rPr>
          <w:sz w:val="20"/>
        </w:rPr>
        <w:sectPr>
          <w:footerReference xmlns:r="http://schemas.openxmlformats.org/officeDocument/2006/relationships" w:type="default" r:id="RelFtr1"/>
          <w:type w:val="nextPage"/>
          <w:pgMar w:left="1440" w:right="1440" w:top="2160" w:bottom="1440" w:header="720" w:footer="432" w:gutter="0"/>
          <w:cols w:equalWidth="1" w:space="720"/>
        </w:sectPr>
      </w:pPr>
    </w:p>
    <w:p>
      <w:pPr>
        <w:spacing w:before="0" w:after="0"/>
      </w:pPr>
    </w:p>
    <w:tbl>
      <w:tblPr>
        <w:tblStyle w:val="T2"/>
        <w:tblW w:w="0" w:type="auto"/>
        <w:tblBorders>
          <w:top w:val="single" w:sz="4" w:space="0" w:shadow="0" w:frame="0" w:color="BFBFBF"/>
          <w:left w:val="single" w:sz="4" w:space="0" w:shadow="0" w:frame="0" w:color="BFBFBF"/>
          <w:bottom w:val="single" w:sz="4" w:space="0" w:shadow="0" w:frame="0" w:color="BFBFBF"/>
          <w:right w:val="single" w:sz="4" w:space="0" w:shadow="0" w:frame="0" w:color="BFBFBF"/>
          <w:insideH w:val="none" w:sz="0" w:space="0" w:shadow="0" w:frame="0"/>
          <w:insideV w:val="single" w:sz="4" w:space="0" w:shadow="0" w:frame="0" w:color="BFBFBF"/>
        </w:tblBorders>
        <w:tblLayout w:type="fixed"/>
      </w:tblPr>
      <w:tblGrid/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Notice</w:t>
            </w:r>
            <w:r>
              <w:rPr>
                <w:b w:val="1"/>
              </w:rPr>
              <w:t xml:space="preserve"> to responding party</w:t>
            </w:r>
          </w:p>
          <w:p>
            <w:pPr>
              <w:spacing w:before="0" w:after="0"/>
            </w:pPr>
            <w:r>
              <w:t>You have a limited amount of time to respond to this motion. In most cases, you must file a written response with the court and provide a copy to the other party:</w:t>
            </w:r>
          </w:p>
          <w:p>
            <w:pPr>
              <w:numPr>
                <w:ilvl w:val="0"/>
                <w:numId w:val="6"/>
              </w:numPr>
              <w:spacing w:before="0" w:after="0"/>
              <w:ind w:hanging="180" w:left="360"/>
            </w:pPr>
            <w:r>
              <w:t>within 14 days of this motion being filed, if the motion will be decided by a judge, or</w:t>
            </w:r>
          </w:p>
          <w:p>
            <w:pPr>
              <w:numPr>
                <w:ilvl w:val="0"/>
                <w:numId w:val="6"/>
              </w:numPr>
              <w:spacing w:before="0" w:after="0"/>
              <w:ind w:hanging="180" w:left="360"/>
            </w:pPr>
            <w:r>
              <w:t>at least 14 days before the hearing, if the motion will be decided by a commissioner.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In some situations a statute or court order may specify a different deadline. 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If you do not respond to this motion or attend the hearing, the person who filed the motion may get what they requested. </w:t>
            </w:r>
          </w:p>
          <w:p>
            <w:pPr>
              <w:spacing w:before="0" w:after="0"/>
            </w:pPr>
          </w:p>
          <w:p>
            <w:pPr>
              <w:spacing w:before="0" w:after="0"/>
              <w:rPr>
                <w:b w:val="1"/>
              </w:rPr>
            </w:pPr>
            <w:r>
              <w:t xml:space="preserve">See the court’s Motions page for more information about the motions process, deadlines and forms: </w:t>
            </w:r>
            <w:r>
              <w:rPr>
                <w:sz w:val="28"/>
              </w:rPr>
              <w:t>utcourts.gov/motions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Aviso para la parte que responde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Su tiempo para responder a esta moción es limitado. En la mayoría de casos deberá presentar una respuesta escrita con el tribunal y darle una copia de la misma a la otra parte:</w:t>
            </w:r>
          </w:p>
          <w:p>
            <w:pPr>
              <w:numPr>
                <w:ilvl w:val="0"/>
                <w:numId w:val="7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dentro de 14 días del día que se presenta la moción, si la misma será resuelta por un juez, o</w:t>
            </w:r>
          </w:p>
          <w:p>
            <w:pPr>
              <w:numPr>
                <w:ilvl w:val="0"/>
                <w:numId w:val="7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por lo menos 14 días antes de la audiencia, si la misma será resuelta por un comisionado. </w:t>
            </w:r>
          </w:p>
          <w:p>
            <w:pPr>
              <w:spacing w:before="0" w:after="0"/>
              <w:rPr>
                <w:color w:val="222222"/>
              </w:rPr>
            </w:pP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En algunos casos debido a un estatuto o a una orden de un juez la fecha límite podrá ser distinta.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Si usted no responde a esta moción ni se presenta a la audiencia, la persona que presentó la moción podría recibir lo que pidió.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Vea la página del tribunal sobre Mociones para encontrar más información sobre el proceso de las mociones, las fechas límites y los formularios: </w:t>
            </w:r>
          </w:p>
          <w:p>
            <w:pPr>
              <w:spacing w:before="0" w:after="0"/>
              <w:rPr>
                <w:b w:val="1"/>
              </w:rPr>
            </w:pPr>
            <w:r>
              <w:rPr>
                <w:sz w:val="28"/>
              </w:rPr>
              <w:t>utcourts.gov/motions-span</w:t>
            </w:r>
          </w:p>
        </w:tc>
      </w:tr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Finding help</w:t>
            </w:r>
          </w:p>
          <w:p>
            <w:pPr>
              <w:widowControl w:val="0"/>
              <w:spacing w:before="0" w:after="0"/>
              <w:rPr>
                <w:b w:val="1"/>
              </w:rPr>
            </w:pPr>
            <w:r>
              <w:t>The court’s Finding Legal Help web page (</w:t>
            </w:r>
            <w:r>
              <w:rPr>
                <w:sz w:val="28"/>
              </w:rPr>
              <w:t>utcourts.gov/help</w:t>
            </w:r>
            <w:r>
              <w:t xml:space="preserve">) provides information about the ways you can get legal help, including the Self-Help Center, reduced-fee attorneys, limited legal help and free legal clinics. 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Cómo encontrar ayuda legal</w:t>
            </w:r>
          </w:p>
          <w:p>
            <w:pPr>
              <w:widowControl w:val="0"/>
              <w:spacing w:before="0" w:after="120"/>
              <w:rPr>
                <w:color w:val="222222"/>
              </w:rPr>
            </w:pPr>
            <w:r>
              <w:rPr>
                <w:color w:val="222222"/>
              </w:rPr>
              <w:t>La página de la internet del tribunal Cómo encontrar ayuda legal (</w:t>
            </w:r>
            <w:r>
              <w:rPr>
                <w:sz w:val="28"/>
              </w:rPr>
              <w:t>utcourts.gov/help-span</w:t>
            </w:r>
            <w:r>
              <w:t>)</w:t>
            </w:r>
            <w:r>
              <w:rPr>
                <w:color w:val="222222"/>
              </w:rPr>
              <w:t xml:space="preserve"> </w:t>
              <w:br w:type="textWrapping"/>
              <w:t>tiene información sobre algunas maneras de encontrar ayuda legal, incluyendo el Centro de Ayuda de los Tribunales de Utah, abogados que ofrecen descuentos u ofrecen ayuda legal limitada, y talleres legales gratuitos.</w:t>
            </w:r>
          </w:p>
        </w:tc>
      </w:tr>
    </w:tbl>
    <w:p>
      <w:pPr>
        <w:spacing w:before="0" w:after="0"/>
        <w:rPr>
          <w:color w:val="222222"/>
        </w:rPr>
        <w:sectPr>
          <w:type w:val="nextPage"/>
          <w:pgMar w:left="1440" w:right="1440" w:top="2160" w:bottom="1440" w:header="720" w:footer="432" w:gutter="0"/>
          <w:cols w:equalWidth="1" w:space="720"/>
        </w:sectPr>
      </w:pPr>
    </w:p>
    <w:p>
      <w:pPr>
        <w:spacing w:before="0" w:after="0"/>
      </w:pP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Motion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type w:val="nextPage"/>
      <w:pgMar w:left="1440" w:right="1440" w:top="2160" w:bottom="1440" w:header="720" w:footer="432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3"/>
            <w:spacing w:before="60"/>
            <w:rPr>
              <w:sz w:val="16"/>
            </w:rPr>
          </w:pPr>
          <w:r>
            <w:rPr>
              <w:sz w:val="16"/>
            </w:rPr>
            <w:t>1101FAJ-C Approved April 16, 2018 / Revised May 1, 2022</w:t>
          </w:r>
        </w:p>
      </w:tc>
      <w:tc>
        <w:tcPr>
          <w:tcW w:w="4590" w:type="dxa"/>
        </w:tcPr>
        <w:p>
          <w:pPr>
            <w:pStyle w:val="P3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Motion</w:t>
          </w:r>
          <w:r>
            <w:rPr>
              <w:b w:val="1"/>
              <w:sz w:val="16"/>
            </w:rPr>
            <w:t xml:space="preserve"> </w:t>
          </w:r>
          <w:r>
            <w:rPr>
              <w:b w:val="1"/>
              <w:sz w:val="16"/>
            </w:rPr>
            <w:t>–</w:t>
          </w:r>
          <w:r>
            <w:rPr>
              <w:b w:val="1"/>
              <w:sz w:val="16"/>
            </w:rPr>
            <w:t xml:space="preserve"> Commissioner</w:t>
          </w:r>
          <w:r>
            <w:rPr>
              <w:b w:val="1"/>
              <w:sz w:val="16"/>
            </w:rPr>
            <w:t xml:space="preserve"> - FA</w:t>
          </w:r>
        </w:p>
      </w:tc>
      <w:tc>
        <w:tcPr>
          <w:tcW w:w="1980" w:type="dxa"/>
        </w:tcPr>
        <w:p>
          <w:pPr>
            <w:pStyle w:val="P3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</w:pPr>
  </w:p>
</w:ftr>
</file>

<file path=word/numbering.xml><?xml version="1.0" encoding="utf-8"?>
<w:numbering xmlns:w="http://schemas.openxmlformats.org/wordprocessingml/2006/main">
  <w:abstractNum w:abstractNumId="0">
    <w:nsid w:val="195636DC"/>
    <w:multiLevelType w:val="hybridMultilevel"/>
    <w:lvl w:ilvl="0" w:tplc="63FCB206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17AFC37D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30E8C6D7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541A4D64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17E980A7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7697774D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4B732324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205E1C59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7C6334AE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1">
    <w:nsid w:val="2E9417DC"/>
    <w:multiLevelType w:val="hybridMultilevel"/>
    <w:lvl w:ilvl="0" w:tplc="1ADD7398">
      <w:start w:val="1"/>
      <w:numFmt w:val="bullet"/>
      <w:suff w:val="tab"/>
      <w:lvlText w:val=""/>
      <w:lvlJc w:val="left"/>
      <w:pPr>
        <w:ind w:hanging="360" w:left="1025"/>
      </w:pPr>
      <w:rPr>
        <w:rFonts w:ascii="Symbol" w:hAnsi="Symbol"/>
      </w:rPr>
    </w:lvl>
    <w:lvl w:ilvl="1" w:tplc="3D98B680">
      <w:start w:val="1"/>
      <w:numFmt w:val="bullet"/>
      <w:suff w:val="tab"/>
      <w:lvlText w:val="o"/>
      <w:lvlJc w:val="left"/>
      <w:pPr>
        <w:ind w:hanging="360" w:left="1745"/>
      </w:pPr>
      <w:rPr>
        <w:rFonts w:ascii="Courier New" w:hAnsi="Courier New"/>
      </w:rPr>
    </w:lvl>
    <w:lvl w:ilvl="2" w:tplc="0474F3DD">
      <w:start w:val="1"/>
      <w:numFmt w:val="bullet"/>
      <w:suff w:val="tab"/>
      <w:lvlText w:val=""/>
      <w:lvlJc w:val="left"/>
      <w:pPr>
        <w:ind w:hanging="360" w:left="2465"/>
      </w:pPr>
      <w:rPr>
        <w:rFonts w:ascii="Wingdings" w:hAnsi="Wingdings"/>
      </w:rPr>
    </w:lvl>
    <w:lvl w:ilvl="3" w:tplc="32263D12">
      <w:start w:val="1"/>
      <w:numFmt w:val="bullet"/>
      <w:suff w:val="tab"/>
      <w:lvlText w:val=""/>
      <w:lvlJc w:val="left"/>
      <w:pPr>
        <w:ind w:hanging="360" w:left="3185"/>
      </w:pPr>
      <w:rPr>
        <w:rFonts w:ascii="Symbol" w:hAnsi="Symbol"/>
      </w:rPr>
    </w:lvl>
    <w:lvl w:ilvl="4" w:tplc="20F328A7">
      <w:start w:val="1"/>
      <w:numFmt w:val="bullet"/>
      <w:suff w:val="tab"/>
      <w:lvlText w:val="o"/>
      <w:lvlJc w:val="left"/>
      <w:pPr>
        <w:ind w:hanging="360" w:left="3905"/>
      </w:pPr>
      <w:rPr>
        <w:rFonts w:ascii="Courier New" w:hAnsi="Courier New"/>
      </w:rPr>
    </w:lvl>
    <w:lvl w:ilvl="5" w:tplc="5E3EAA98">
      <w:start w:val="1"/>
      <w:numFmt w:val="bullet"/>
      <w:suff w:val="tab"/>
      <w:lvlText w:val=""/>
      <w:lvlJc w:val="left"/>
      <w:pPr>
        <w:ind w:hanging="360" w:left="4625"/>
      </w:pPr>
      <w:rPr>
        <w:rFonts w:ascii="Wingdings" w:hAnsi="Wingdings"/>
      </w:rPr>
    </w:lvl>
    <w:lvl w:ilvl="6" w:tplc="0CE580BA">
      <w:start w:val="1"/>
      <w:numFmt w:val="bullet"/>
      <w:suff w:val="tab"/>
      <w:lvlText w:val=""/>
      <w:lvlJc w:val="left"/>
      <w:pPr>
        <w:ind w:hanging="360" w:left="5345"/>
      </w:pPr>
      <w:rPr>
        <w:rFonts w:ascii="Symbol" w:hAnsi="Symbol"/>
      </w:rPr>
    </w:lvl>
    <w:lvl w:ilvl="7" w:tplc="66CC3866">
      <w:start w:val="1"/>
      <w:numFmt w:val="bullet"/>
      <w:suff w:val="tab"/>
      <w:lvlText w:val="o"/>
      <w:lvlJc w:val="left"/>
      <w:pPr>
        <w:ind w:hanging="360" w:left="6065"/>
      </w:pPr>
      <w:rPr>
        <w:rFonts w:ascii="Courier New" w:hAnsi="Courier New"/>
      </w:rPr>
    </w:lvl>
    <w:lvl w:ilvl="8" w:tplc="78FDAB7D">
      <w:start w:val="1"/>
      <w:numFmt w:val="bullet"/>
      <w:suff w:val="tab"/>
      <w:lvlText w:val=""/>
      <w:lvlJc w:val="left"/>
      <w:pPr>
        <w:ind w:hanging="360" w:left="6785"/>
      </w:pPr>
      <w:rPr>
        <w:rFonts w:ascii="Wingdings" w:hAnsi="Wingdings"/>
      </w:rPr>
    </w:lvl>
  </w:abstractNum>
  <w:abstractNum w:abstractNumId="2">
    <w:nsid w:val="45271DCA"/>
    <w:multiLevelType w:val="hybridMultilevel"/>
    <w:lvl w:ilvl="0" w:tplc="4F738714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5F8D27A2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301CB120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5D179EEF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267B95BA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0D0792C8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1CFBD8FC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1A13C54C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40C50E7D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3">
    <w:nsid w:val="5ACD43E7"/>
    <w:multiLevelType w:val="hybridMultilevel"/>
    <w:lvl w:ilvl="0" w:tplc="79877281">
      <w:start w:val="1"/>
      <w:numFmt w:val="bullet"/>
      <w:suff w:val="tab"/>
      <w:lvlText w:val=""/>
      <w:lvlJc w:val="left"/>
      <w:pPr>
        <w:ind w:hanging="360" w:left="792"/>
      </w:pPr>
      <w:rPr>
        <w:rFonts w:ascii="Symbol" w:hAnsi="Symbol"/>
      </w:rPr>
    </w:lvl>
    <w:lvl w:ilvl="1" w:tplc="67BBF021">
      <w:start w:val="1"/>
      <w:numFmt w:val="bullet"/>
      <w:suff w:val="tab"/>
      <w:lvlText w:val="o"/>
      <w:lvlJc w:val="left"/>
      <w:pPr>
        <w:ind w:hanging="360" w:left="1512"/>
      </w:pPr>
      <w:rPr>
        <w:rFonts w:ascii="Courier New" w:hAnsi="Courier New"/>
      </w:rPr>
    </w:lvl>
    <w:lvl w:ilvl="2" w:tplc="6C149490">
      <w:start w:val="1"/>
      <w:numFmt w:val="bullet"/>
      <w:suff w:val="tab"/>
      <w:lvlText w:val=""/>
      <w:lvlJc w:val="left"/>
      <w:pPr>
        <w:ind w:hanging="360" w:left="2232"/>
      </w:pPr>
      <w:rPr>
        <w:rFonts w:ascii="Wingdings" w:hAnsi="Wingdings"/>
      </w:rPr>
    </w:lvl>
    <w:lvl w:ilvl="3" w:tplc="75250D68">
      <w:start w:val="1"/>
      <w:numFmt w:val="bullet"/>
      <w:suff w:val="tab"/>
      <w:lvlText w:val=""/>
      <w:lvlJc w:val="left"/>
      <w:pPr>
        <w:ind w:hanging="360" w:left="2952"/>
      </w:pPr>
      <w:rPr>
        <w:rFonts w:ascii="Symbol" w:hAnsi="Symbol"/>
      </w:rPr>
    </w:lvl>
    <w:lvl w:ilvl="4" w:tplc="4190C606">
      <w:start w:val="1"/>
      <w:numFmt w:val="bullet"/>
      <w:suff w:val="tab"/>
      <w:lvlText w:val="o"/>
      <w:lvlJc w:val="left"/>
      <w:pPr>
        <w:ind w:hanging="360" w:left="3672"/>
      </w:pPr>
      <w:rPr>
        <w:rFonts w:ascii="Courier New" w:hAnsi="Courier New"/>
      </w:rPr>
    </w:lvl>
    <w:lvl w:ilvl="5" w:tplc="29B931EA">
      <w:start w:val="1"/>
      <w:numFmt w:val="bullet"/>
      <w:suff w:val="tab"/>
      <w:lvlText w:val=""/>
      <w:lvlJc w:val="left"/>
      <w:pPr>
        <w:ind w:hanging="360" w:left="4392"/>
      </w:pPr>
      <w:rPr>
        <w:rFonts w:ascii="Wingdings" w:hAnsi="Wingdings"/>
      </w:rPr>
    </w:lvl>
    <w:lvl w:ilvl="6" w:tplc="652A50D8">
      <w:start w:val="1"/>
      <w:numFmt w:val="bullet"/>
      <w:suff w:val="tab"/>
      <w:lvlText w:val=""/>
      <w:lvlJc w:val="left"/>
      <w:pPr>
        <w:ind w:hanging="360" w:left="5112"/>
      </w:pPr>
      <w:rPr>
        <w:rFonts w:ascii="Symbol" w:hAnsi="Symbol"/>
      </w:rPr>
    </w:lvl>
    <w:lvl w:ilvl="7" w:tplc="02DA1DBF">
      <w:start w:val="1"/>
      <w:numFmt w:val="bullet"/>
      <w:suff w:val="tab"/>
      <w:lvlText w:val="o"/>
      <w:lvlJc w:val="left"/>
      <w:pPr>
        <w:ind w:hanging="360" w:left="5832"/>
      </w:pPr>
      <w:rPr>
        <w:rFonts w:ascii="Courier New" w:hAnsi="Courier New"/>
      </w:rPr>
    </w:lvl>
    <w:lvl w:ilvl="8" w:tplc="2EDB139C">
      <w:start w:val="1"/>
      <w:numFmt w:val="bullet"/>
      <w:suff w:val="tab"/>
      <w:lvlText w:val=""/>
      <w:lvlJc w:val="left"/>
      <w:pPr>
        <w:ind w:hanging="360" w:left="6552"/>
      </w:pPr>
      <w:rPr>
        <w:rFonts w:ascii="Wingdings" w:hAnsi="Wingdings"/>
      </w:rPr>
    </w:lvl>
  </w:abstractNum>
  <w:abstractNum w:abstractNumId="4">
    <w:nsid w:val="63D3689F"/>
    <w:multiLevelType w:val="hybridMultilevel"/>
    <w:lvl w:ilvl="0" w:tplc="2E48ECF7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4EE795B4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6AECB13A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20D34E9A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352D5FCB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3284F67F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70B8D150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10C81E4A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54DCD476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5">
    <w:nsid w:val="6977522F"/>
    <w:multiLevelType w:val="hybridMultilevel"/>
    <w:lvl w:ilvl="0" w:tplc="510F3447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48BB1657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3F2850CF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4FCDAE7D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701C031F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38E10ABC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5C557BF7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415C6FBA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147BE576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6">
    <w:nsid w:val="75A039B2"/>
    <w:multiLevelType w:val="hybridMultilevel"/>
    <w:lvl w:ilvl="0" w:tplc="73A694B1">
      <w:start w:val="1"/>
      <w:numFmt w:val="bullet"/>
      <w:suff w:val="tab"/>
      <w:lvlText w:val="o"/>
      <w:lvlJc w:val="left"/>
      <w:pPr>
        <w:ind w:hanging="360" w:left="720"/>
      </w:pPr>
      <w:rPr>
        <w:rFonts w:ascii="Courier New" w:hAnsi="Courier New"/>
      </w:rPr>
    </w:lvl>
    <w:lvl w:ilvl="1" w:tplc="06E51416">
      <w:start w:val="1"/>
      <w:numFmt w:val="bullet"/>
      <w:suff w:val="tab"/>
      <w:lvlText w:val="o"/>
      <w:lvlJc w:val="left"/>
      <w:pPr>
        <w:ind w:hanging="360" w:left="720"/>
      </w:pPr>
      <w:rPr>
        <w:rFonts w:ascii="Courier New" w:hAnsi="Courier New"/>
      </w:rPr>
    </w:lvl>
    <w:lvl w:ilvl="2" w:tplc="71342DC2">
      <w:start w:val="1"/>
      <w:numFmt w:val="bullet"/>
      <w:suff w:val="tab"/>
      <w:lvlText w:val=""/>
      <w:lvlJc w:val="left"/>
      <w:pPr>
        <w:ind w:hanging="360" w:left="1440"/>
      </w:pPr>
      <w:rPr>
        <w:rFonts w:ascii="Wingdings" w:hAnsi="Wingdings"/>
      </w:rPr>
    </w:lvl>
    <w:lvl w:ilvl="3" w:tplc="23E1350E">
      <w:start w:val="1"/>
      <w:numFmt w:val="bullet"/>
      <w:suff w:val="tab"/>
      <w:lvlText w:val=""/>
      <w:lvlJc w:val="left"/>
      <w:pPr>
        <w:ind w:hanging="360" w:left="2160"/>
      </w:pPr>
      <w:rPr>
        <w:rFonts w:ascii="Symbol" w:hAnsi="Symbol"/>
      </w:rPr>
    </w:lvl>
    <w:lvl w:ilvl="4" w:tplc="371E7568">
      <w:start w:val="1"/>
      <w:numFmt w:val="bullet"/>
      <w:suff w:val="tab"/>
      <w:lvlText w:val="o"/>
      <w:lvlJc w:val="left"/>
      <w:pPr>
        <w:ind w:hanging="360" w:left="2880"/>
      </w:pPr>
      <w:rPr>
        <w:rFonts w:ascii="Courier New" w:hAnsi="Courier New"/>
      </w:rPr>
    </w:lvl>
    <w:lvl w:ilvl="5" w:tplc="7DD5BB59">
      <w:start w:val="1"/>
      <w:numFmt w:val="bullet"/>
      <w:suff w:val="tab"/>
      <w:lvlText w:val=""/>
      <w:lvlJc w:val="left"/>
      <w:pPr>
        <w:ind w:hanging="360" w:left="3600"/>
      </w:pPr>
      <w:rPr>
        <w:rFonts w:ascii="Wingdings" w:hAnsi="Wingdings"/>
      </w:rPr>
    </w:lvl>
    <w:lvl w:ilvl="6" w:tplc="35D269D0">
      <w:start w:val="1"/>
      <w:numFmt w:val="bullet"/>
      <w:suff w:val="tab"/>
      <w:lvlText w:val=""/>
      <w:lvlJc w:val="left"/>
      <w:pPr>
        <w:ind w:hanging="360" w:left="4320"/>
      </w:pPr>
      <w:rPr>
        <w:rFonts w:ascii="Symbol" w:hAnsi="Symbol"/>
      </w:rPr>
    </w:lvl>
    <w:lvl w:ilvl="7" w:tplc="51EBB0A1">
      <w:start w:val="1"/>
      <w:numFmt w:val="bullet"/>
      <w:suff w:val="tab"/>
      <w:lvlText w:val="o"/>
      <w:lvlJc w:val="left"/>
      <w:pPr>
        <w:ind w:hanging="360" w:left="5040"/>
      </w:pPr>
      <w:rPr>
        <w:rFonts w:ascii="Courier New" w:hAnsi="Courier New"/>
      </w:rPr>
    </w:lvl>
    <w:lvl w:ilvl="8" w:tplc="38A22C36">
      <w:start w:val="1"/>
      <w:numFmt w:val="bullet"/>
      <w:suff w:val="tab"/>
      <w:lvlText w:val=""/>
      <w:lvlJc w:val="left"/>
      <w:pPr>
        <w:ind w:hanging="360" w:left="5760"/>
      </w:pPr>
      <w:rPr>
        <w:rFonts w:ascii="Wingdings" w:hAnsi="Wingdings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before="0" w:after="0"/>
    </w:pPr>
    <w:rPr>
      <w:rFonts w:ascii="Tahoma" w:hAnsi="Tahoma"/>
      <w:sz w:val="16"/>
    </w:rPr>
  </w:style>
  <w:style w:type="paragraph" w:styleId="P5">
    <w:name w:val="Normal (Web)"/>
    <w:basedOn w:val="P0"/>
    <w:next w:val="P5"/>
    <w:pPr/>
    <w:rPr>
      <w:rFonts w:ascii="Times New Roman" w:hAnsi="Times New Roman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Tim Shea</dc:creator>
  <dcterms:created xsi:type="dcterms:W3CDTF">2022-04-24T03:39:00Z</dcterms:created>
  <cp:keywords>Motion - Commissioner</cp:keywords>
  <cp:lastModifiedBy>Jake Quackenbush</cp:lastModifiedBy>
  <cp:lastPrinted>2021-04-12T21:51:00Z</cp:lastPrinted>
  <dcterms:modified xsi:type="dcterms:W3CDTF">2025-03-05T01:47:53Z</dcterms:modified>
  <cp:revision>4</cp:revision>
  <dc:subject>Motion - Commissioner</dc:subject>
  <dc:title>Motion - Commissioner</dc:title>
</cp:coreProperties>
</file>