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81B39AA" Type="http://schemas.openxmlformats.org/officeDocument/2006/relationships/officeDocument" Target="/word/document.xml" /><Relationship Id="coreR681B39A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3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35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35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35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Order on Motion to Continue Hearing or Trial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/>
      </w:pPr>
      <w:r>
        <w:t>The matter before the court is a Motion to Continue Hearing or Trial. This matter is being resolved by the pleadings and other papers of the parties.</w:t>
      </w:r>
    </w:p>
    <w:p>
      <w:pPr>
        <w:spacing w:before="240"/>
      </w:pPr>
      <w:r>
        <w:t>Having considered the documents filed with the court, the evidence and the arguments, and now being fully informed,</w:t>
      </w:r>
    </w:p>
    <w:p>
      <w:pPr>
        <w:pStyle w:val="P7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240" w:after="240"/>
        <w:ind w:hanging="720" w:left="720"/>
      </w:pPr>
      <w:r>
        <w:t>1.</w:t>
        <w:tab/>
        <w:t xml:space="preserve">The Motion to Continue Hearing or Trial is    [  ] granted    [  ] denied.</w:t>
      </w:r>
    </w:p>
    <w:p>
      <w:pPr>
        <w:tabs>
          <w:tab w:val="left" w:pos="720" w:leader="none"/>
        </w:tabs>
        <w:spacing w:before="240" w:after="0"/>
        <w:ind w:hanging="1260" w:left="1260"/>
      </w:pPr>
      <w:r>
        <w:t>2.</w:t>
        <w:tab/>
        <w:t xml:space="preserve">[  ]</w:t>
        <w:tab/>
        <w:t xml:space="preserve">The hearing or trial scheduled for ________________________ </w:t>
      </w:r>
      <w:r>
        <w:rPr>
          <w:sz w:val="20"/>
        </w:rPr>
        <w:t xml:space="preserve">(date) </w:t>
      </w:r>
      <w:r>
        <w:t>is continued to another date to be scheduled by the court.</w:t>
      </w:r>
    </w:p>
    <w:p>
      <w:pPr>
        <w:tabs>
          <w:tab w:val="left" w:pos="720" w:leader="none"/>
        </w:tabs>
        <w:spacing w:before="240" w:after="0"/>
        <w:ind w:hanging="1260" w:left="1260"/>
        <w:rPr>
          <w:sz w:val="20"/>
        </w:rPr>
      </w:pPr>
      <w:r>
        <w:t>3.</w:t>
        <w:tab/>
        <w:t xml:space="preserve">[  ]</w:t>
        <w:tab/>
        <w:t xml:space="preserve">A scheduling conference will be held ________________________ </w:t>
      </w:r>
      <w:r>
        <w:rPr>
          <w:sz w:val="20"/>
        </w:rPr>
        <w:t>(date).</w:t>
      </w:r>
    </w:p>
    <w:p>
      <w:pPr>
        <w:tabs>
          <w:tab w:val="left" w:pos="4140" w:leader="none"/>
        </w:tabs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after="0"/>
      </w:pPr>
    </w:p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</w:p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to Continue Hearing or Trial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p>
      <w:pPr>
        <w:tabs>
          <w:tab w:val="left" w:pos="4140" w:leader="none"/>
        </w:tabs>
      </w:pPr>
      <w:r>
        <w:t xml:space="preserve"> </w:t>
      </w: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16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1136FAJ Approved June 25, 2018 / Revised May 1, 2021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</w:t>
          </w:r>
          <w:r>
            <w:rPr>
              <w:b w:val="1"/>
              <w:sz w:val="16"/>
            </w:rPr>
            <w:t xml:space="preserve"> on Motion to Continue</w:t>
          </w:r>
          <w:r>
            <w:rPr>
              <w:b w:val="1"/>
              <w:sz w:val="16"/>
            </w:rPr>
            <w:t xml:space="preserve"> Hearing or Trial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71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211C202E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285EB7A5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7CE5EA48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62BC8B71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6C48893F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4451B80F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5B7484B8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615C1822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05CCE5C4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46FF57F4"/>
    <w:multiLevelType w:val="hybridMultilevel"/>
    <w:lvl w:ilvl="0" w:tplc="256FDEB0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0652BEC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EFE8C4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D91698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DB47C4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676E7C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72ECFA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4C5655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477E4D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4">
    <w:nsid w:val="7C4D6E2D"/>
    <w:multiLevelType w:val="hybridMultilevel"/>
    <w:lvl w:ilvl="0" w:tplc="487E869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C85195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A4445A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0DA3CD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B613ED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F19F2E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CBD1FC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385C71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7EC7EA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spacing w:before="240"/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spacing w:before="240"/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spacing w:before="240"/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2022-04-06T19:09:00Z</dcterms:created>
  <cp:keywords>Order on Motion to Continue Hearing or Trial</cp:keywords>
  <cp:lastModifiedBy>Jake Quackenbush</cp:lastModifiedBy>
  <cp:lastPrinted>2019-09-25T15:21:00Z</cp:lastPrinted>
  <dcterms:modified xsi:type="dcterms:W3CDTF">2025-03-05T01:47:54Z</dcterms:modified>
  <cp:revision>4</cp:revision>
  <dc:subject>Order on Motion to Continue Hearing or Trial</dc:subject>
  <dc:title>Order on Motion to Continue Hearing or Trial</dc:title>
</cp:coreProperties>
</file>