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B7129EF" Type="http://schemas.openxmlformats.org/officeDocument/2006/relationships/officeDocument" Target="/word/document.xml" /><Relationship Id="coreR7B7129E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297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 xml:space="preserve">Email 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4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120"/>
              <w:ind w:left="540"/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5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3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 xml:space="preserve">Motion </w:t>
            </w:r>
            <w:r>
              <w:rPr>
                <w:b w:val="1"/>
              </w:rPr>
              <w:t>for Leave to Amend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(Utah Rule of Civil Procedure 15)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spacing w:after="0"/>
        <w:ind w:hanging="720" w:left="720"/>
      </w:pPr>
      <w:r>
        <w:t>1.</w:t>
        <w:tab/>
        <w:t xml:space="preserve">I ask the court for permission to amend my </w:t>
      </w:r>
    </w:p>
    <w:p>
      <w:pPr>
        <w:spacing w:before="120" w:after="0"/>
        <w:ind w:left="720"/>
      </w:pPr>
      <w:r>
        <w:t xml:space="preserve">__________________________________________________ </w:t>
      </w:r>
      <w:r>
        <w:rPr>
          <w:sz w:val="20"/>
        </w:rPr>
        <w:t>(name of document)</w:t>
      </w:r>
      <w:r>
        <w:t xml:space="preserve">. </w:t>
      </w:r>
    </w:p>
    <w:p>
      <w:pPr>
        <w:spacing w:after="0"/>
        <w:ind w:hanging="720" w:left="720"/>
        <w:rPr>
          <w:sz w:val="20"/>
        </w:rPr>
      </w:pPr>
      <w:r>
        <w:t>2.</w:t>
        <w:tab/>
        <w:t xml:space="preserve">I make this request because: </w:t>
      </w:r>
      <w:r>
        <w:rPr>
          <w:sz w:val="20"/>
        </w:rPr>
        <w:t>(choose all that apply)</w:t>
      </w:r>
    </w:p>
    <w:p>
      <w:pPr>
        <w:spacing w:after="0"/>
        <w:ind w:hanging="450" w:left="1890"/>
      </w:pPr>
      <w:r>
        <w:t xml:space="preserve">[  ]  </w:t>
        <w:tab/>
        <w:t>more than 21 days have passed since I was served with the other party’s answer, counterclaim, or motion to dismiss the document named in paragraph 1.</w:t>
      </w:r>
    </w:p>
    <w:p>
      <w:pPr>
        <w:spacing w:before="120" w:after="0"/>
        <w:ind w:hanging="446" w:left="1886"/>
      </w:pPr>
      <w:r>
        <w:t xml:space="preserve">[  ]</w:t>
        <w:tab/>
        <w:t>I have previously amended the document in paragraph 1.</w:t>
      </w:r>
    </w:p>
    <w:p>
      <w:pPr>
        <w:spacing w:after="0"/>
        <w:ind w:hanging="450" w:left="1890"/>
      </w:pPr>
      <w:r>
        <w:t xml:space="preserve">[  ]</w:t>
        <w:tab/>
        <w:t>more than 21 days have passed since I served the document named in paragraph 1 on the other party.</w:t>
      </w:r>
    </w:p>
    <w:p>
      <w:pPr>
        <w:spacing w:before="120" w:after="120"/>
      </w:pPr>
      <w:r>
        <w:t>3.</w:t>
        <w:tab/>
        <w:t xml:space="preserve">This motion is timely because </w:t>
      </w:r>
      <w:r>
        <w:rPr>
          <w:sz w:val="20"/>
        </w:rPr>
        <w:t>(choose all that apply)</w:t>
      </w:r>
      <w:r>
        <w:t>:</w:t>
      </w:r>
    </w:p>
    <w:p>
      <w:pPr>
        <w:spacing w:before="0" w:after="120"/>
      </w:pPr>
      <w:r>
        <w:tab/>
        <w:tab/>
        <w:t xml:space="preserve">[  ]   Discovery in this case has not closed</w:t>
      </w:r>
    </w:p>
    <w:p>
      <w:pPr>
        <w:spacing w:before="0" w:after="120"/>
      </w:pPr>
      <w:r>
        <w:tab/>
        <w:tab/>
        <w:t xml:space="preserve">[  ]   Trial has not been scheduled yet</w:t>
      </w:r>
    </w:p>
    <w:p>
      <w:pPr>
        <w:spacing w:before="0" w:after="120"/>
      </w:pPr>
      <w:r>
        <w:tab/>
        <w:tab/>
        <w:t xml:space="preserve">[  ]   An order of dismissal has not been entered</w:t>
      </w:r>
    </w:p>
    <w:p>
      <w:pPr>
        <w:spacing w:before="0" w:after="120"/>
      </w:pPr>
      <w:r>
        <w:tab/>
        <w:tab/>
        <w:t xml:space="preserve">[  ]   This case has not been pending for several years</w:t>
      </w:r>
    </w:p>
    <w:p>
      <w:pPr>
        <w:spacing w:after="120"/>
        <w:ind w:hanging="720" w:left="720"/>
      </w:pPr>
      <w:r>
        <w:t>4.</w:t>
        <w:tab/>
        <w:t xml:space="preserve">This motion will not prejudice the other party because they will still have time to prepare a response to the new information in my pleading because </w:t>
      </w:r>
      <w:r>
        <w:rPr>
          <w:sz w:val="20"/>
        </w:rPr>
        <w:t>(explain)</w:t>
      </w:r>
      <w:r>
        <w:t xml:space="preserve">: </w:t>
      </w:r>
    </w:p>
    <w:tbl>
      <w:tblPr>
        <w:tblStyle w:val="T2"/>
        <w:tblW w:w="8026" w:type="dxa"/>
        <w:tblInd w:w="1278" w:type="dxa"/>
        <w:tblBorders>
          <w:top w:val="none" w:sz="0" w:space="0" w:shadow="0" w:frame="0"/>
          <w:left w:val="none" w:sz="0" w:space="0" w:shadow="0" w:frame="0"/>
          <w:bottom w:val="none" w:sz="0" w:space="0" w:shadow="0" w:frame="0"/>
          <w:right w:val="none" w:sz="0" w:space="0" w:shadow="0" w:frame="0"/>
          <w:insideH w:val="single" w:sz="4" w:space="0" w:shadow="0" w:frame="0" w:color="000000"/>
          <w:insideV w:val="none" w:sz="0" w:space="0" w:shadow="0" w:frame="0"/>
        </w:tblBorders>
        <w:tblLayout w:type="fixed"/>
      </w:tblPr>
      <w:tblGrid/>
      <w:tr>
        <w:trPr>
          <w:trHeight w:hRule="atLeast" w:val="312"/>
        </w:trPr>
        <w:tc>
          <w:tcPr>
            <w:tcW w:w="8026" w:type="dxa"/>
          </w:tcPr>
          <w:p>
            <w:pPr>
              <w:spacing w:before="0" w:after="120"/>
              <w:rPr>
                <w:sz w:val="20"/>
              </w:rPr>
            </w:pPr>
          </w:p>
        </w:tc>
      </w:tr>
      <w:tr>
        <w:trPr>
          <w:trHeight w:hRule="atLeast" w:val="339"/>
        </w:trPr>
        <w:tc>
          <w:tcPr>
            <w:tcW w:w="8026" w:type="dxa"/>
          </w:tcPr>
          <w:p>
            <w:pPr>
              <w:spacing w:after="120"/>
              <w:jc w:val="center"/>
            </w:pPr>
          </w:p>
        </w:tc>
      </w:tr>
      <w:tr>
        <w:trPr>
          <w:trHeight w:hRule="atLeast" w:val="332"/>
        </w:trPr>
        <w:tc>
          <w:tcPr>
            <w:tcW w:w="8026" w:type="dxa"/>
          </w:tcPr>
          <w:p>
            <w:pPr>
              <w:spacing w:after="120"/>
              <w:jc w:val="center"/>
            </w:pPr>
          </w:p>
        </w:tc>
      </w:tr>
      <w:tr>
        <w:trPr>
          <w:trHeight w:hRule="atLeast" w:val="339"/>
        </w:trPr>
        <w:tc>
          <w:tcPr>
            <w:tcW w:w="8026" w:type="dxa"/>
          </w:tcPr>
          <w:p>
            <w:pPr>
              <w:spacing w:after="120"/>
              <w:jc w:val="center"/>
            </w:pPr>
          </w:p>
        </w:tc>
      </w:tr>
      <w:tr>
        <w:trPr>
          <w:trHeight w:hRule="atLeast" w:val="332"/>
        </w:trPr>
        <w:tc>
          <w:tcPr>
            <w:tcW w:w="8026" w:type="dxa"/>
          </w:tcPr>
          <w:p>
            <w:pPr>
              <w:spacing w:after="120"/>
              <w:jc w:val="center"/>
            </w:pPr>
          </w:p>
        </w:tc>
      </w:tr>
      <w:tr>
        <w:trPr>
          <w:trHeight w:hRule="atLeast" w:val="332"/>
        </w:trPr>
        <w:tc>
          <w:tcPr>
            <w:tcW w:w="8026" w:type="dxa"/>
          </w:tcPr>
          <w:p>
            <w:pPr>
              <w:spacing w:before="0" w:after="0"/>
            </w:pPr>
            <w:r>
              <w:tab/>
            </w:r>
          </w:p>
        </w:tc>
      </w:tr>
    </w:tbl>
    <w:p>
      <w:pPr>
        <w:tabs>
          <w:tab w:val="left" w:pos="720" w:leader="none"/>
        </w:tabs>
        <w:spacing w:before="120" w:after="0"/>
        <w:ind w:hanging="1260" w:left="1260"/>
      </w:pPr>
      <w:r>
        <w:t>5.</w:t>
        <w:tab/>
        <w:t>Granting this motion will be in the interest of justice.</w:t>
      </w:r>
    </w:p>
    <w:p>
      <w:r>
        <w:t>6.</w:t>
        <w:tab/>
        <w:t>I have attached a copy of the amended document</w:t>
      </w:r>
    </w:p>
    <w:p>
      <w:pPr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fixed"/>
      </w:tblPr>
      <w:tblGrid/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Notice to responding party</w:t>
            </w:r>
          </w:p>
          <w:p>
            <w:pPr>
              <w:spacing w:before="0"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6"/>
              </w:numPr>
              <w:spacing w:before="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6"/>
              </w:numPr>
              <w:spacing w:before="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In some situations a statute or court order may specify a different deadline. 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before="0" w:after="0"/>
            </w:pPr>
          </w:p>
          <w:p>
            <w:pPr>
              <w:spacing w:before="0" w:after="0"/>
              <w:rPr>
                <w:b w:val="1"/>
              </w:rPr>
            </w:pPr>
            <w:r>
              <w:t xml:space="preserve">See the court’s Motions page for more information about the motions process, deadlines and forms: </w:t>
            </w:r>
            <w:r>
              <w:rPr>
                <w:sz w:val="28"/>
              </w:rPr>
              <w:t>utcourts.gov/motions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la parte que responde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7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7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before="0" w:after="0"/>
              <w:rPr>
                <w:color w:val="222222"/>
              </w:rPr>
            </w:pP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sz w:val="28"/>
              </w:rPr>
              <w:t>utcourts.gov/motions-span</w:t>
            </w:r>
          </w:p>
        </w:tc>
      </w:tr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widowControl w:val="0"/>
              <w:spacing w:before="0" w:after="0"/>
              <w:rPr>
                <w:b w:val="1"/>
              </w:rPr>
            </w:pPr>
            <w:r>
              <w:t>The court’s Finding Legal Help web page (</w:t>
            </w:r>
            <w:r>
              <w:rPr>
                <w:sz w:val="28"/>
              </w:rPr>
              <w:t>utcourts.gov/help</w:t>
            </w:r>
            <w:r>
              <w:t xml:space="preserve">) provides information about the ways you can get legal help, including the Self-Help Center, reduced-fee attorneys, limited legal help and free legal clinics. 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legal</w:t>
            </w:r>
          </w:p>
          <w:p>
            <w:pPr>
              <w:widowControl w:val="0"/>
              <w:spacing w:before="0" w:after="120"/>
              <w:rPr>
                <w:color w:val="222222"/>
              </w:rPr>
            </w:pPr>
            <w:r>
              <w:rPr>
                <w:color w:val="222222"/>
              </w:rPr>
              <w:t>La página de la internet del tribunal Cómo encontrar ayuda legal (</w:t>
            </w:r>
            <w:r>
              <w:rPr>
                <w:sz w:val="28"/>
              </w:rPr>
              <w:t>utcourts.gov/help-span</w:t>
            </w:r>
            <w:r>
              <w:t>)</w:t>
            </w:r>
            <w:r>
              <w:rPr>
                <w:color w:val="222222"/>
              </w:rPr>
              <w:t xml:space="preserve"> </w:t>
              <w:br w:type="textWrapping"/>
              <w:t>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Motion for Leave to Amend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2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2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2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2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2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2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4"/>
            <w:spacing w:before="60"/>
            <w:rPr>
              <w:sz w:val="16"/>
            </w:rPr>
          </w:pPr>
          <w:r>
            <w:rPr>
              <w:sz w:val="16"/>
            </w:rPr>
            <w:t>1160FAJ Approved July 18, 2019 / Revised November 21, 2022</w:t>
          </w:r>
        </w:p>
      </w:tc>
      <w:tc>
        <w:tcPr>
          <w:tcW w:w="4590" w:type="dxa"/>
        </w:tcPr>
        <w:p>
          <w:pPr>
            <w:pStyle w:val="P4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Motion</w:t>
          </w:r>
          <w:r>
            <w:rPr>
              <w:b w:val="1"/>
              <w:sz w:val="16"/>
            </w:rPr>
            <w:t xml:space="preserve"> for Leave to Amend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980" w:type="dxa"/>
        </w:tcPr>
        <w:p>
          <w:pPr>
            <w:pStyle w:val="P4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4"/>
    </w:pPr>
  </w:p>
</w:ftr>
</file>

<file path=word/numbering.xml><?xml version="1.0" encoding="utf-8"?>
<w:numbering xmlns:w="http://schemas.openxmlformats.org/wordprocessingml/2006/main">
  <w:abstractNum w:abstractNumId="0">
    <w:nsid w:val="195636DC"/>
    <w:multiLevelType w:val="hybridMultilevel"/>
    <w:lvl w:ilvl="0" w:tplc="0A233EB6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13FAB6B3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399C1DA7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1E2B8377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6C936123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07E50955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321D5EC5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2A7879CA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72D87066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">
    <w:nsid w:val="2E9417DC"/>
    <w:multiLevelType w:val="hybridMultilevel"/>
    <w:lvl w:ilvl="0" w:tplc="392DCEF1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27CFE748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6FFFEBB7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6221B329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5F799153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434C4A6A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72276FCD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22151D0B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586F064F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2">
    <w:nsid w:val="45271DCA"/>
    <w:multiLevelType w:val="hybridMultilevel"/>
    <w:lvl w:ilvl="0" w:tplc="16EB59FC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4C5D048B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56C3557F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1DC4F086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44291D54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5FDBD7BD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246F1527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70DDB245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215A244A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nsid w:val="5ACD43E7"/>
    <w:multiLevelType w:val="hybridMultilevel"/>
    <w:lvl w:ilvl="0" w:tplc="43C6ACB6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59F86FE0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089696C2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1B2F9104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0FADC1E4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48BF9EAB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23B84EE3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05B02829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5CE9AFB2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4">
    <w:nsid w:val="63D3689F"/>
    <w:multiLevelType w:val="hybridMultilevel"/>
    <w:lvl w:ilvl="0" w:tplc="417C0E99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62F2D65A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B7C47F7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B97964C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ED13DD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43DA2E7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10E3F3B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A18371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251BF2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nsid w:val="6977522F"/>
    <w:multiLevelType w:val="hybridMultilevel"/>
    <w:lvl w:ilvl="0" w:tplc="1D487010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25EED1B9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7CEAF2DA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400C0FD8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08A5DFED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5E6914D7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1ADF2514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3C39BBD4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1C3D3FC8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6">
    <w:nsid w:val="75A039B2"/>
    <w:multiLevelType w:val="hybridMultilevel"/>
    <w:lvl w:ilvl="0" w:tplc="75525475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1" w:tplc="6C5E4E2F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2" w:tplc="4FD1995D">
      <w:start w:val="1"/>
      <w:numFmt w:val="bullet"/>
      <w:suff w:val="tab"/>
      <w:lvlText w:val=""/>
      <w:lvlJc w:val="left"/>
      <w:pPr>
        <w:ind w:hanging="360" w:left="1440"/>
      </w:pPr>
      <w:rPr>
        <w:rFonts w:ascii="Wingdings" w:hAnsi="Wingdings"/>
      </w:rPr>
    </w:lvl>
    <w:lvl w:ilvl="3" w:tplc="59C045E9">
      <w:start w:val="1"/>
      <w:numFmt w:val="bullet"/>
      <w:suff w:val="tab"/>
      <w:lvlText w:val=""/>
      <w:lvlJc w:val="left"/>
      <w:pPr>
        <w:ind w:hanging="360" w:left="2160"/>
      </w:pPr>
      <w:rPr>
        <w:rFonts w:ascii="Symbol" w:hAnsi="Symbol"/>
      </w:rPr>
    </w:lvl>
    <w:lvl w:ilvl="4" w:tplc="79BC6E4F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/>
      </w:rPr>
    </w:lvl>
    <w:lvl w:ilvl="5" w:tplc="7BB5AEDD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/>
      </w:rPr>
    </w:lvl>
    <w:lvl w:ilvl="6" w:tplc="668AE509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/>
      </w:rPr>
    </w:lvl>
    <w:lvl w:ilvl="7" w:tplc="6E56B20E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/>
      </w:rPr>
    </w:lvl>
    <w:lvl w:ilvl="8" w:tplc="508009E8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No Spacing"/>
    <w:next w:val="P1"/>
    <w:qFormat/>
    <w:pPr/>
    <w:rPr>
      <w:rFonts w:ascii="Arial" w:hAnsi="Arial"/>
      <w:sz w:val="24"/>
    </w:rPr>
  </w:style>
  <w:style w:type="paragraph" w:styleId="P2">
    <w:name w:val="List Paragraph"/>
    <w:basedOn w:val="P0"/>
    <w:next w:val="P2"/>
    <w:qFormat/>
    <w:pPr>
      <w:ind w:left="720"/>
      <w:contextualSpacing w:val="1"/>
    </w:pPr>
    <w:rPr/>
  </w:style>
  <w:style w:type="paragraph" w:styleId="P3">
    <w:name w:val="Header"/>
    <w:basedOn w:val="P0"/>
    <w:next w:val="P3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Footer"/>
    <w:basedOn w:val="P0"/>
    <w:next w:val="P4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5">
    <w:name w:val="Balloon Text"/>
    <w:basedOn w:val="P0"/>
    <w:next w:val="P5"/>
    <w:link w:val="C5"/>
    <w:pPr>
      <w:spacing w:before="0" w:after="0"/>
    </w:pPr>
    <w:rPr>
      <w:rFonts w:ascii="Tahoma" w:hAnsi="Tahoma"/>
      <w:sz w:val="16"/>
    </w:rPr>
  </w:style>
  <w:style w:type="paragraph" w:styleId="P6">
    <w:name w:val="Comment Text"/>
    <w:basedOn w:val="P0"/>
    <w:next w:val="P6"/>
    <w:link w:val="C7"/>
    <w:pPr/>
    <w:rPr>
      <w:sz w:val="20"/>
    </w:rPr>
  </w:style>
  <w:style w:type="paragraph" w:styleId="P7">
    <w:name w:val="Normal (Web)"/>
    <w:basedOn w:val="P0"/>
    <w:next w:val="P7"/>
    <w:pPr/>
    <w:rPr>
      <w:rFonts w:ascii="Times New Roman" w:hAnsi="Times New Roman"/>
    </w:rPr>
  </w:style>
  <w:style w:type="paragraph" w:styleId="P8">
    <w:name w:val="Comment Subject"/>
    <w:basedOn w:val="P6"/>
    <w:next w:val="P6"/>
    <w:link w:val="C8"/>
    <w:pPr/>
    <w:rPr>
      <w:b w:val="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3"/>
    <w:rPr/>
  </w:style>
  <w:style w:type="character" w:styleId="C4">
    <w:name w:val="Footer Char"/>
    <w:link w:val="P4"/>
    <w:rPr/>
  </w:style>
  <w:style w:type="character" w:styleId="C5">
    <w:name w:val="Balloon Text Char"/>
    <w:link w:val="P5"/>
    <w:rPr>
      <w:rFonts w:ascii="Tahoma" w:hAnsi="Tahoma"/>
      <w:sz w:val="16"/>
    </w:rPr>
  </w:style>
  <w:style w:type="character" w:styleId="C6">
    <w:name w:val="Comment Reference"/>
    <w:rPr>
      <w:sz w:val="16"/>
    </w:rPr>
  </w:style>
  <w:style w:type="character" w:styleId="C7">
    <w:name w:val="Comment Text Char"/>
    <w:link w:val="P6"/>
    <w:rPr>
      <w:sz w:val="20"/>
    </w:rPr>
  </w:style>
  <w:style w:type="character" w:styleId="C8">
    <w:name w:val="Comment Subject Char"/>
    <w:link w:val="P8"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2023-01-30T20:34:00Z</dcterms:created>
  <cp:keywords>Motion for Leave to Amend</cp:keywords>
  <cp:lastModifiedBy>Jake Quackenbush</cp:lastModifiedBy>
  <cp:lastPrinted>2019-10-07T19:54:00Z</cp:lastPrinted>
  <dcterms:modified xsi:type="dcterms:W3CDTF">2025-03-05T01:47:55Z</dcterms:modified>
  <cp:revision>6</cp:revision>
  <dc:subject>Motion for Leave to Amend</dc:subject>
  <dc:title>Motion for Leave to Amend</dc:title>
</cp:coreProperties>
</file>