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960A65" Type="http://schemas.openxmlformats.org/officeDocument/2006/relationships/officeDocument" Target="/word/document.xml" /><Relationship Id="coreR44960A6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pPr w:leftFromText="180" w:rightFromText="180" w:tblpX="1" w:tblpY="1" w:vertAnchor="text"/>
        <w:tblOverlap w:val="never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  <w:tc>
          <w:tcPr>
            <w:tcW w:w="4608" w:type="dxa"/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</w:pPr>
          </w:p>
        </w:tc>
        <w:tc>
          <w:tcPr>
            <w:tcW w:w="4608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  <w:rPr>
          <w:vanish w:val="1"/>
        </w:rPr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Order on Motion to Waive </w:t>
            </w:r>
            <w:r>
              <w:rPr>
                <w:b w:val="1"/>
              </w:rPr>
              <w:t xml:space="preserve">30-day </w:t>
            </w:r>
            <w:r>
              <w:rPr>
                <w:b w:val="1"/>
              </w:rPr>
              <w:t>Divorce</w:t>
            </w:r>
            <w:r>
              <w:rPr>
                <w:b w:val="1"/>
              </w:rPr>
              <w:t xml:space="preserve"> Waiting Period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 w:after="240"/>
        <w:rPr>
          <w:sz w:val="20"/>
        </w:rPr>
      </w:pPr>
      <w:r>
        <w:t xml:space="preserve">The matter before the court is    [  ] petitioner's    [  ] respondent's Motion to Waive 30-day Divorce Waiting Period. This matter is being resolved by: </w:t>
      </w:r>
      <w:r>
        <w:rPr>
          <w:sz w:val="20"/>
        </w:rPr>
        <w:t>(Choose all that apply.)</w:t>
      </w:r>
    </w:p>
    <w:p>
      <w:pPr>
        <w:pStyle w:val="P1"/>
        <w:spacing w:before="120"/>
        <w:ind w:hanging="360"/>
        <w:contextualSpacing w:val="0"/>
      </w:pPr>
      <w:r>
        <w:t xml:space="preserve">[  ]</w:t>
        <w:tab/>
        <w:t xml:space="preserve">The default of    [  ] petitioner    [  ] respondent.</w:t>
      </w:r>
    </w:p>
    <w:p>
      <w:pPr>
        <w:pStyle w:val="P1"/>
        <w:spacing w:before="120"/>
        <w:ind w:hanging="360"/>
        <w:contextualSpacing w:val="0"/>
      </w:pPr>
      <w:r>
        <w:t xml:space="preserve">[  ]</w:t>
        <w:tab/>
        <w:t>The pleadings and other papers of the parties.</w:t>
      </w:r>
    </w:p>
    <w:p>
      <w:pPr>
        <w:pStyle w:val="P1"/>
        <w:spacing w:before="120"/>
        <w:ind w:hanging="360"/>
        <w:contextualSpacing w:val="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2"/>
        <w:tabs>
          <w:tab w:val="left" w:pos="720" w:leader="none"/>
          <w:tab w:val="left" w:pos="2160" w:leader="none"/>
        </w:tabs>
        <w:spacing w:before="240"/>
        <w:ind w:left="720"/>
      </w:pPr>
      <w:r>
        <w:t>Petitioner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pStyle w:val="P2"/>
        <w:tabs>
          <w:tab w:val="left" w:pos="720" w:leader="none"/>
          <w:tab w:val="left" w:pos="2160" w:leader="none"/>
        </w:tabs>
        <w:spacing w:before="240"/>
        <w:ind w:left="720"/>
      </w:pPr>
      <w:r>
        <w:t>Respondent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2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pStyle w:val="P2"/>
        <w:spacing w:before="360" w:after="12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 w:after="240"/>
        <w:ind w:hanging="720" w:left="720"/>
      </w:pPr>
      <w:r>
        <w:t>1.</w:t>
        <w:tab/>
        <w:t xml:space="preserve">[  ]  30 days have passed since the case was filed, or</w:t>
      </w:r>
    </w:p>
    <w:p>
      <w:pPr>
        <w:spacing w:before="240" w:after="240"/>
        <w:ind w:hanging="720" w:left="720"/>
      </w:pPr>
      <w:r>
        <w:tab/>
        <w:t xml:space="preserve">[  ]  Extraordinary circumstances have been shown</w:t>
      </w:r>
    </w:p>
    <w:p>
      <w:pPr>
        <w:spacing w:before="240" w:after="240"/>
        <w:ind w:left="720"/>
      </w:pPr>
      <w:r>
        <w:t xml:space="preserve">[  ]  Extraordinary circumstances  have not  been shown.</w:t>
      </w:r>
    </w:p>
    <w:p>
      <w:pPr>
        <w:pStyle w:val="P2"/>
        <w:tabs>
          <w:tab w:val="left" w:pos="570" w:leader="none"/>
        </w:tabs>
        <w:spacing w:before="360" w:after="12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2.</w:t>
        <w:tab/>
        <w:t xml:space="preserve">The Motion to Waive Divorce Waiting Period is    </w:t>
      </w:r>
    </w:p>
    <w:p>
      <w:pPr>
        <w:spacing w:before="240" w:after="240"/>
        <w:ind w:left="720"/>
      </w:pPr>
      <w:r>
        <w:t xml:space="preserve">[  ] no longer relevant because 30 days have passed</w:t>
      </w:r>
    </w:p>
    <w:p>
      <w:pPr>
        <w:spacing w:before="240" w:after="240"/>
        <w:ind w:left="720"/>
      </w:pPr>
      <w:r>
        <w:t xml:space="preserve">[  ] granted    </w:t>
      </w:r>
    </w:p>
    <w:p>
      <w:pPr>
        <w:spacing w:before="240" w:after="240"/>
        <w:ind w:left="720"/>
      </w:pPr>
      <w:r>
        <w:t xml:space="preserve">[  ] denied</w:t>
      </w:r>
    </w:p>
    <w:p>
      <w:pPr>
        <w:spacing w:before="240" w:after="240"/>
        <w:ind w:hanging="720" w:left="720"/>
      </w:pPr>
    </w:p>
    <w:p>
      <w:pPr>
        <w:spacing w:before="12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Waive 30-day Divorce Waiting Period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1212FAJ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Motion to Waive </w:t>
          </w:r>
          <w:r>
            <w:rPr>
              <w:b w:val="1"/>
              <w:sz w:val="16"/>
            </w:rPr>
            <w:t xml:space="preserve">30-day </w:t>
          </w:r>
          <w:r>
            <w:rPr>
              <w:b w:val="1"/>
              <w:sz w:val="16"/>
            </w:rPr>
            <w:t>Divorce</w:t>
          </w:r>
          <w:r>
            <w:rPr>
              <w:b w:val="1"/>
              <w:sz w:val="16"/>
            </w:rPr>
            <w:t xml:space="preserve"> Waiting Period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350E1898"/>
    <w:multiLevelType w:val="multilevel"/>
    <w:lvl w:ilvl="0">
      <w:start w:val="1"/>
      <w:numFmt w:val="decimal"/>
      <w:suff w:val="tab"/>
      <w:lvlText w:val="(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2022-04-12T19:12:00Z</dcterms:created>
  <cp:keywords>Order on Motion to Waive 30-day Divorce Waiting Period</cp:keywords>
  <cp:lastModifiedBy>Jake Quackenbush</cp:lastModifiedBy>
  <cp:lastPrinted>2019-04-23T21:58:00Z</cp:lastPrinted>
  <dcterms:modified xsi:type="dcterms:W3CDTF">2025-03-05T01:47:55Z</dcterms:modified>
  <cp:revision>5</cp:revision>
  <dc:subject>Order on Motion to Waive 30-day Divorce Waiting Period</dc:subject>
  <dc:title>Order on Motion to Waive 30-day Divorce Waiting Period</dc:title>
</cp:coreProperties>
</file>