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6BAA45" Type="http://schemas.openxmlformats.org/officeDocument/2006/relationships/officeDocument" Target="/word/document.xml" /><Relationship Id="coreR406BAA4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left="27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left="27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left="27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Custody Evaluation Settlement Conference Report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of Judicial Administration Rule 4-903)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 xml:space="preserve">Commissioner </w:t>
            </w:r>
          </w:p>
        </w:tc>
      </w:tr>
    </w:tbl>
    <w:p>
      <w:pPr>
        <w:ind w:hanging="720" w:left="720"/>
        <w:rPr>
          <w:sz w:val="20"/>
        </w:rPr>
      </w:pPr>
      <w:r>
        <w:t>1.</w:t>
        <w:tab/>
        <w:t>Appointed custody evaluator:</w:t>
      </w:r>
      <w:r>
        <w:rPr>
          <w:sz w:val="20"/>
        </w:rPr>
        <w:t xml:space="preserve"> _________________________________________________</w:t>
      </w:r>
    </w:p>
    <w:p>
      <w:pPr>
        <w:ind w:hanging="720" w:left="720"/>
        <w:rPr>
          <w:sz w:val="20"/>
        </w:rPr>
      </w:pPr>
      <w:r>
        <w:t>2.</w:t>
        <w:tab/>
        <w:t>Date of settlement conference:</w:t>
      </w:r>
      <w:r>
        <w:rPr>
          <w:sz w:val="20"/>
        </w:rPr>
        <w:t xml:space="preserve"> _______________________________________________</w:t>
      </w:r>
    </w:p>
    <w:p>
      <w:pPr>
        <w:spacing w:after="120"/>
        <w:ind w:hanging="720" w:left="720"/>
        <w:rPr>
          <w:sz w:val="20"/>
        </w:rPr>
      </w:pPr>
      <w:r>
        <w:t xml:space="preserve">3. </w:t>
        <w:tab/>
        <w:t>Minor children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Name of child</w:t>
            </w:r>
          </w:p>
        </w:tc>
        <w:tc>
          <w:tcPr>
            <w:tcW w:w="3168" w:type="dxa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</w:tbl>
    <w:p>
      <w:pPr>
        <w:ind w:hanging="720" w:left="720"/>
        <w:rPr>
          <w:highlight w:val="yellow"/>
        </w:rPr>
      </w:pPr>
      <w:r>
        <w:t>4.</w:t>
        <w:tab/>
        <w:t xml:space="preserve">Petitioner: </w:t>
      </w:r>
      <w:r>
        <w:rPr>
          <w:sz w:val="20"/>
        </w:rPr>
        <w:t>___________________________________________________________________</w:t>
      </w:r>
    </w:p>
    <w:p>
      <w:pPr>
        <w:ind w:hanging="720" w:left="720"/>
      </w:pPr>
      <w:r>
        <w:t>5.</w:t>
        <w:tab/>
        <w:t xml:space="preserve">Respondent: </w:t>
      </w:r>
      <w:r>
        <w:rPr>
          <w:sz w:val="20"/>
        </w:rPr>
        <w:t>________________________________________________________________</w:t>
      </w:r>
    </w:p>
    <w:p>
      <w:pPr>
        <w:ind w:hanging="720" w:left="720"/>
      </w:pPr>
      <w:r>
        <w:br w:type="page"/>
        <w:t>6.</w:t>
        <w:tab/>
        <w:t>Other parties evaluated: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Name of person</w:t>
            </w:r>
          </w:p>
        </w:tc>
        <w:tc>
          <w:tcPr>
            <w:tcW w:w="3168" w:type="dxa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Relationship to children</w:t>
            </w: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580" w:type="dxa"/>
          </w:tcPr>
          <w:p>
            <w:pPr>
              <w:spacing w:before="0" w:after="0"/>
            </w:pPr>
          </w:p>
        </w:tc>
        <w:tc>
          <w:tcPr>
            <w:tcW w:w="3168" w:type="dxa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7.</w:t>
        <w:tab/>
        <w:t xml:space="preserve">Guardian ad Litem: </w:t>
      </w:r>
      <w:r>
        <w:rPr>
          <w:sz w:val="20"/>
        </w:rPr>
        <w:t>__________________________________________________________</w:t>
      </w:r>
    </w:p>
    <w:p>
      <w:pPr>
        <w:ind w:hanging="720" w:left="720"/>
      </w:pPr>
      <w:r>
        <w:t>8.</w:t>
        <w:tab/>
        <w:t xml:space="preserve">Petitioner's counsel: </w:t>
      </w:r>
      <w:r>
        <w:rPr>
          <w:sz w:val="20"/>
        </w:rPr>
        <w:t>_________________________________________________________</w:t>
      </w:r>
    </w:p>
    <w:p>
      <w:pPr>
        <w:ind w:hanging="720" w:left="720"/>
      </w:pPr>
      <w:r>
        <w:t>9.</w:t>
        <w:tab/>
        <w:t xml:space="preserve">Respondent's counsel: </w:t>
      </w:r>
      <w:r>
        <w:rPr>
          <w:sz w:val="20"/>
        </w:rPr>
        <w:t>_______________________________________________________</w:t>
      </w:r>
    </w:p>
    <w:p>
      <w:pPr>
        <w:spacing w:after="0"/>
        <w:ind w:hanging="720" w:left="720"/>
        <w:rPr>
          <w:b w:val="1"/>
        </w:rPr>
      </w:pPr>
    </w:p>
    <w:p>
      <w:pPr>
        <w:spacing w:after="0"/>
        <w:ind w:hanging="720" w:left="720"/>
        <w:rPr>
          <w:b w:val="1"/>
        </w:rPr>
      </w:pPr>
      <w:r>
        <w:rPr>
          <w:b w:val="1"/>
        </w:rPr>
        <w:t>Conclusions</w:t>
      </w:r>
      <w:r>
        <w:rPr>
          <w:b w:val="1"/>
        </w:rPr>
        <w:t xml:space="preserve"> </w:t>
      </w:r>
    </w:p>
    <w:p>
      <w:pPr>
        <w:spacing w:before="0"/>
        <w:ind w:hanging="720" w:left="720"/>
        <w:rPr>
          <w:sz w:val="20"/>
        </w:rPr>
      </w:pPr>
      <w:r>
        <w:rPr>
          <w:sz w:val="20"/>
        </w:rPr>
        <w:t>(Use the criteria specified Code of Judicial Administration Rule 4-903)</w:t>
      </w:r>
    </w:p>
    <w:p>
      <w:pPr>
        <w:spacing w:before="0"/>
        <w:ind w:hanging="720" w:left="720"/>
        <w:rPr>
          <w:sz w:val="20"/>
        </w:rPr>
      </w:pPr>
    </w:p>
    <w:p>
      <w:pPr>
        <w:spacing w:before="0" w:after="0"/>
        <w:ind w:hanging="720" w:left="720"/>
      </w:pPr>
    </w:p>
    <w:p>
      <w:pPr>
        <w:spacing w:before="0" w:after="0"/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Custody Evaluation Settlement Conference Report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1580FAF Approved December 9, 2019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</w:t>
          </w:r>
          <w:r>
            <w:rPr>
              <w:b w:val="1"/>
              <w:sz w:val="16"/>
            </w:rPr>
            <w:t>ustody Evaluation Settlement Conference Report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671DA9F3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C4EDAD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B28939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451139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32F8EA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90A9C1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915081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E34F73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A2D2D2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4234B462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EDE5BBA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8E7B5B6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4D26DA5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6FDBF1D2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5E0746ED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FA26EF8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31C7C972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530D3AB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320E66E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2BFE4F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2CE868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EEED6B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B026E10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AD0762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BDC0A8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8CCED3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23C706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3092A162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BED4598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ECFE1CE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1DA032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E930E1E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1D77AA14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356D55F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67BDD0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63F4C90B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46EEAD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13343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0FE399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3550AD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161315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803D64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692FBC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B0595E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8F66C5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20AFEB04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E1F1AF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8193D4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6D6BC6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A98CEC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232254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3A6B70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CB347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492261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1EC45982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582ED439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314C6CC1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30581E7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7875090F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A62A26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46CE2CB4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788266BA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1247B2A7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184477"/>
      <w:u w:val="none"/>
      <w:shd w:val="clear" w:color="auto" w:fill="auto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2022-03-18T16:58:00Z</dcterms:created>
  <cp:keywords>Custody Evaluation Settlement Conference Report</cp:keywords>
  <cp:lastModifiedBy>Jake Quackenbush</cp:lastModifiedBy>
  <cp:lastPrinted>2019-12-09T23:37:00Z</cp:lastPrinted>
  <dcterms:modified xsi:type="dcterms:W3CDTF">2025-03-05T01:47:56Z</dcterms:modified>
  <cp:revision>6</cp:revision>
  <dc:subject>Custody Evaluation Settlement Conference Report</dc:subject>
  <dc:title>Custody Evaluation Settlement Conference Report</dc:title>
</cp:coreProperties>
</file>