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717C04" Type="http://schemas.openxmlformats.org/officeDocument/2006/relationships/officeDocument" Target="/word/document.xml" /><Relationship Id="coreR73717C0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spacing w:after="0"/>
      </w:pPr>
    </w:p>
    <w:tbl>
      <w:tblPr>
        <w:tblStyle w:val="T2"/>
        <w:tblW w:w="9582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</w:t>
            </w:r>
            <w:r>
              <w:rPr>
                <w:b w:val="1"/>
              </w:rPr>
              <w:t>Consolidate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Case Number 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t xml:space="preserve">The matter before the court is a Motion to Consolidate.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firstLine="360" w:left="0"/>
      </w:pPr>
      <w:r>
        <w:t xml:space="preserve">[  ]  The default of     [  ] Plaintiff/Petitioner     [  ] Defendant/Respondent.</w:t>
      </w:r>
    </w:p>
    <w:p>
      <w:pPr>
        <w:pStyle w:val="P18"/>
        <w:spacing w:before="120"/>
        <w:ind w:left="360"/>
      </w:pPr>
      <w:r>
        <w:t xml:space="preserve">[  ]  The stipulation of the parties.</w:t>
      </w:r>
    </w:p>
    <w:p>
      <w:pPr>
        <w:pStyle w:val="P18"/>
        <w:spacing w:before="120"/>
        <w:ind w:left="360"/>
      </w:pPr>
      <w:r>
        <w:t xml:space="preserve">[  ]  The pleadings and other papers of the parties.</w:t>
      </w:r>
    </w:p>
    <w:p>
      <w:pPr>
        <w:pStyle w:val="P18"/>
        <w:spacing w:before="120"/>
        <w:ind w:left="36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Plaintiff/Petitioner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80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</w:t>
        <w:tab/>
        <w:t xml:space="preserve">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Defendant/Respondent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tabs>
          <w:tab w:val="left" w:pos="1080" w:leader="none"/>
        </w:tabs>
        <w:spacing w:before="240"/>
        <w:ind w:hanging="1080" w:left="1080"/>
      </w:pPr>
      <w:r>
        <w:t xml:space="preserve">1.       [  ]  </w:t>
        <w:tab/>
        <w:t xml:space="preserve">Case number ________________________ and this case involve the same parties, facts and circumstances. All issues of law can be resolved in a single case. </w:t>
      </w:r>
    </w:p>
    <w:p>
      <w:pPr>
        <w:pStyle w:val="P7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2.</w:t>
        <w:tab/>
        <w:t>The Motion to Consolidate is:</w:t>
      </w:r>
    </w:p>
    <w:p>
      <w:pPr>
        <w:spacing w:before="240" w:after="240"/>
        <w:ind w:firstLine="720" w:left="720"/>
      </w:pPr>
      <w:r>
        <w:t xml:space="preserve">[  ] denied</w:t>
      </w:r>
    </w:p>
    <w:p>
      <w:pPr>
        <w:spacing w:before="240" w:after="240"/>
        <w:ind w:left="1440"/>
      </w:pPr>
      <w:r>
        <w:t xml:space="preserve">[  ] granted. Case number _____________________ is consolidated into </w:t>
        <w:br w:type="textWrapping"/>
        <w:br w:type="textWrapping"/>
        <w:t xml:space="preserve">this case, which is case number _____________________.  </w:t>
      </w: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  <w:br w:type="page"/>
            </w:r>
            <w:r>
              <w:rPr>
                <w:b w:val="1"/>
              </w:rPr>
              <w:t>Certificate of S</w:t>
            </w:r>
            <w:r>
              <w:rPr>
                <w:b w:val="1"/>
              </w:rPr>
              <w:t>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Consolidate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16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9002FAJ Approved November 21,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</w:t>
          </w:r>
          <w:r>
            <w:rPr>
              <w:b w:val="1"/>
              <w:sz w:val="16"/>
            </w:rPr>
            <w:t xml:space="preserve"> on Motion to Consolidate</w:t>
          </w:r>
        </w:p>
      </w:tc>
      <w:tc>
        <w:tcPr>
          <w:tcW w:w="17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4DECA09A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3067A2D0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35B4C2DE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2175FE69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6FB128FA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B38227F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35A9D18C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704924E5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36463FE5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1835E031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2B48CC2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59578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FB66E6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E1D28A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B4C048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CBBE4A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7FBA49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83259D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0CBA3BB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BEDB0E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B69CB3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029F7C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1C98BE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29AAAC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37E874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1AB9D5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987ACA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2023-01-30T21:10:00Z</dcterms:created>
  <cp:keywords>Order on Motion to Consolidate </cp:keywords>
  <cp:lastModifiedBy>Jake Quackenbush</cp:lastModifiedBy>
  <cp:lastPrinted>2019-04-30T15:17:00Z</cp:lastPrinted>
  <dcterms:modified xsi:type="dcterms:W3CDTF">2025-03-05T01:47:56Z</dcterms:modified>
  <cp:revision>4</cp:revision>
  <dc:subject>Order on Motion to Consolidate </dc:subject>
  <dc:title>Order on Motion to Consolidate </dc:title>
</cp:coreProperties>
</file>