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rFonts w:ascii="黑体" w:hAnsi="黑体" w:eastAsia="黑体"/>
          <w:b/>
          <w:color w:val="1F3B63"/>
          <w:sz w:val="48"/>
        </w:rPr>
        <w:t>正大杯市场调查与建模</w:t>
      </w:r>
    </w:p>
    <w:p>
      <w:pPr>
        <w:spacing w:after="120"/>
        <w:jc w:val="center"/>
      </w:pPr>
      <w:r>
        <w:rPr>
          <w:rFonts w:ascii="黑体" w:hAnsi="黑体" w:eastAsia="黑体"/>
          <w:b/>
          <w:color w:val="1F3B63"/>
          <w:sz w:val="48"/>
        </w:rPr>
        <w:t>模型方法学习手册</w:t>
      </w:r>
    </w:p>
    <w:p>
      <w:pPr>
        <w:spacing w:after="480"/>
        <w:jc w:val="center"/>
      </w:pPr>
      <w:r>
        <w:rPr>
          <w:rFonts w:ascii="宋体" w:hAnsi="宋体" w:eastAsia="宋体"/>
          <w:b w:val="0"/>
          <w:color w:val="555555"/>
          <w:sz w:val="21"/>
        </w:rPr>
        <w:t>—— 按难度分级的 35 个模型：介绍、适用范围、实例与文献 ——</w:t>
      </w:r>
    </w:p>
    <w:p>
      <w:pPr>
        <w:pStyle w:val="Heading1"/>
      </w:pPr>
      <w:r>
        <w:t>前　言</w:t>
      </w:r>
    </w:p>
    <w:p>
      <w:pPr>
        <w:ind w:firstLine="420"/>
      </w:pPr>
      <w:r>
        <w:rPr>
          <w:rFonts w:ascii="宋体" w:hAnsi="宋体" w:eastAsia="宋体"/>
          <w:b w:val="0"/>
          <w:sz w:val="21"/>
        </w:rPr>
        <w:t>本手册面向具备一定编程基础、准备参加正大杯市场调查与分析大赛的读者，系统梳理市场调查与实证研究中常用的 35 个统计模型、机器学习模型与分析框架。内容取材于四篇正大杯全国一等奖获奖报告的实际做法，并经提炼、规范与补充，以教科书体例重述，力求概念准确、要点完备、篇幅精简。</w:t>
      </w:r>
    </w:p>
    <w:p>
      <w:pPr>
        <w:ind w:firstLine="420"/>
      </w:pPr>
      <w:r>
        <w:rPr>
          <w:rFonts w:ascii="宋体" w:hAnsi="宋体" w:eastAsia="宋体"/>
          <w:b w:val="0"/>
          <w:sz w:val="21"/>
        </w:rPr>
        <w:t>全册按学习难度分为三章：第一章为概念直观、无需推断统计基础的基础模型；第二章为需理解显著性检验、距离度量或监督学习原理的进阶模型；第三章为涉及矩阵运算、迭代估计、潜变量或概率图结构的高阶模型。每章内部按研究流程的逻辑顺序排列。</w:t>
      </w:r>
    </w:p>
    <w:p>
      <w:pPr>
        <w:ind w:firstLine="420"/>
      </w:pPr>
      <w:r>
        <w:rPr>
          <w:rFonts w:ascii="宋体" w:hAnsi="宋体" w:eastAsia="宋体"/>
          <w:b w:val="0"/>
          <w:sz w:val="21"/>
        </w:rPr>
        <w:t>每一个模型均按统一体例说明五部分内容：模型介绍（定义与内涵）、模型公式（给出核心数学表达式与符号释义，定性框架则给出其结构化表达并注明无统一数学公式）、适用范围（适用条件与不适用情形）、应用实例（小型算例，便于手算验证或代码复现）、拓展文献（经典文献的规范引用与可访问链接）。每章末尾附本章模型的横向对比表，以便在同类方法之间作出选择。</w:t>
      </w:r>
    </w:p>
    <w:p>
      <w:pPr>
        <w:ind w:firstLine="420"/>
      </w:pPr>
      <w:r>
        <w:rPr>
          <w:rFonts w:ascii="宋体" w:hAnsi="宋体" w:eastAsia="宋体"/>
          <w:b w:val="0"/>
          <w:sz w:val="21"/>
        </w:rPr>
        <w:t>关于文献链接：全部链接在编制时逐条实测，凡返回反爬拦截、404 或无法解析者，已替换为可公开访问的等效来源（如 NIST 工程统计手册、OpenStax 开放教材、Penn State 在线课程与开源项目官方站点）；确无可替代来源者，该篇文献不予保留，故个别模型仅附一篇。读者若需原始出版版本，可依“作者＋题名”在知网、Web of Science 或 Google Scholar 检索原文。</w:t>
      </w:r>
    </w:p>
    <w:p>
      <w:pPr>
        <w:ind w:firstLine="420"/>
      </w:pPr>
      <w:r>
        <w:rPr>
          <w:rFonts w:ascii="宋体" w:hAnsi="宋体" w:eastAsia="宋体"/>
          <w:b w:val="0"/>
          <w:sz w:val="21"/>
        </w:rPr>
        <w:t>阅读建议：初学者应依次完成第一章与第二章前六个模型，即可独立完成一份规范问卷报告的数据分析部分；第三章方法应在明确研究问题与样本条件后按需选学，并优先保证各项前提条件的满足与报告口径的完整。</w:t>
      </w:r>
    </w:p>
    <w:p>
      <w:pPr>
        <w:pStyle w:val="Heading1"/>
      </w:pPr>
      <w:r>
        <w:t>内容结构</w:t>
      </w:r>
    </w:p>
    <w:p>
      <w:pPr>
        <w:spacing w:before="120" w:after="40"/>
      </w:pPr>
      <w:r>
        <w:rPr>
          <w:rFonts w:ascii="黑体" w:hAnsi="黑体" w:eastAsia="黑体"/>
          <w:b/>
          <w:sz w:val="21"/>
        </w:rPr>
        <w:t>第一章　基础模型（11 个，★）</w:t>
      </w:r>
    </w:p>
    <w:p>
      <w:pPr>
        <w:spacing w:after="80"/>
        <w:ind w:left="420"/>
      </w:pPr>
      <w:r>
        <w:rPr>
          <w:rFonts w:ascii="宋体" w:hAnsi="宋体" w:eastAsia="宋体"/>
          <w:b w:val="0"/>
          <w:color w:val="444444"/>
          <w:sz w:val="19"/>
        </w:rPr>
        <w:t>描述性统计、李克特量表、信度检验：Cronbach's α、百度指数分析、词频分析与词云、AISAS 消费者行为分析模型、Sheth-Newman-Gross 消费价值模型、PEST 分析、SWOT 分析、STP 分析、4P 营销组合。</w:t>
      </w:r>
    </w:p>
    <w:p>
      <w:pPr>
        <w:spacing w:before="120" w:after="40"/>
      </w:pPr>
      <w:r>
        <w:rPr>
          <w:rFonts w:ascii="黑体" w:hAnsi="黑体" w:eastAsia="黑体"/>
          <w:b/>
          <w:sz w:val="21"/>
        </w:rPr>
        <w:t>第二章　进阶模型（15 个，★★）</w:t>
      </w:r>
    </w:p>
    <w:p>
      <w:pPr>
        <w:spacing w:after="80"/>
        <w:ind w:left="420"/>
      </w:pPr>
      <w:r>
        <w:rPr>
          <w:rFonts w:ascii="宋体" w:hAnsi="宋体" w:eastAsia="宋体"/>
          <w:b w:val="0"/>
          <w:color w:val="444444"/>
          <w:sz w:val="19"/>
        </w:rPr>
        <w:t>简单随机抽样与样本量测算、卡方检验、交叉分析（列联表与多重响应）、方差分析、效度检验：KMO 与巴特利特检验、聚类分析、多元线性回归、二元 Logistic 回归、SERVPERF 服务质量模型、IPA 分析、Python 网络爬虫、SnowNLP 情感分析、TF-IDF、关联规则分析、随机森林与特征重要性。</w:t>
      </w:r>
    </w:p>
    <w:p>
      <w:pPr>
        <w:spacing w:before="120" w:after="40"/>
      </w:pPr>
      <w:r>
        <w:rPr>
          <w:rFonts w:ascii="黑体" w:hAnsi="黑体" w:eastAsia="黑体"/>
          <w:b/>
          <w:sz w:val="21"/>
        </w:rPr>
        <w:t>第三章　高阶模型（9 个，★★★）</w:t>
      </w:r>
    </w:p>
    <w:p>
      <w:pPr>
        <w:spacing w:after="80"/>
        <w:ind w:left="420"/>
      </w:pPr>
      <w:r>
        <w:rPr>
          <w:rFonts w:ascii="宋体" w:hAnsi="宋体" w:eastAsia="宋体"/>
          <w:b w:val="0"/>
          <w:color w:val="444444"/>
          <w:sz w:val="19"/>
        </w:rPr>
        <w:t>多阶段抽样与 PPS 抽样、主成分分析与因子分析、层次分析法 AHP、模糊综合评价、结构方程模型 SEM、LDA 主题模型、弹性网络回归、LightGBM 梯度提升、贝叶斯网络。</w:t>
      </w:r>
    </w:p>
    <w:p>
      <w:r>
        <w:br w:type="page"/>
      </w:r>
    </w:p>
    <w:p>
      <w:pPr>
        <w:pStyle w:val="Heading1"/>
      </w:pPr>
      <w:r>
        <w:t>第一章  基础模型</w:t>
      </w:r>
    </w:p>
    <w:p>
      <w:pPr>
        <w:spacing w:after="160"/>
      </w:pPr>
      <w:r>
        <w:rPr>
          <w:rFonts w:ascii="宋体" w:hAnsi="宋体" w:eastAsia="宋体"/>
          <w:b w:val="0"/>
          <w:color w:val="666666"/>
          <w:sz w:val="18"/>
        </w:rPr>
        <w:t>难度：★　　模型数：11</w:t>
      </w:r>
    </w:p>
    <w:p>
      <w:pPr>
        <w:ind w:firstLine="420"/>
      </w:pPr>
      <w:r>
        <w:rPr>
          <w:rFonts w:ascii="宋体" w:hAnsi="宋体" w:eastAsia="宋体"/>
          <w:b w:val="0"/>
          <w:sz w:val="20"/>
        </w:rPr>
        <w:t>本章收录 11 个概念直观、数学门槛低的模型，覆盖“数据描述—测量工具—质量检验—二手数据—理论框架—策略框架”六个环节。掌握本章内容即可独立完成一份规范的市场调查报告中的描述性分析与背景论证部分，并为第二、三章的建模分析奠定数据与概念基础。</w:t>
      </w:r>
    </w:p>
    <w:p>
      <w:pPr>
        <w:pStyle w:val="Heading2"/>
      </w:pPr>
      <w:r>
        <w:t>1.1　描述性统计（Descriptive Statistics）</w:t>
      </w:r>
    </w:p>
    <w:p>
      <w:r>
        <w:rPr>
          <w:rFonts w:ascii="黑体" w:hAnsi="黑体" w:eastAsia="黑体"/>
          <w:b/>
          <w:sz w:val="21"/>
        </w:rPr>
        <w:t xml:space="preserve">模型介绍　</w:t>
      </w:r>
      <w:r>
        <w:rPr>
          <w:rFonts w:ascii="宋体" w:hAnsi="宋体" w:eastAsia="宋体"/>
          <w:b w:val="0"/>
          <w:sz w:val="21"/>
        </w:rPr>
        <w:t>描述性统计以集中趋势（均值、中位数、众数）与离散程度（标准差、极差、四分位距）刻画单变量的分布特征，并以频数与百分比呈现分类变量的构成。其功能是压缩信息、呈现样本结构，不涉及推断与因果识别。</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x̄ = (1 / n) · Σxi</w:t>
      </w:r>
    </w:p>
    <w:p>
      <w:pPr>
        <w:spacing w:before="40" w:after="40" w:line="269" w:lineRule="auto"/>
        <w:jc w:val="center"/>
      </w:pPr>
      <w:r>
        <w:rPr>
          <w:rFonts w:ascii="Times New Roman" w:hAnsi="Times New Roman" w:eastAsia="宋体"/>
          <w:b w:val="0"/>
          <w:color w:val="1A1A1A"/>
          <w:sz w:val="21"/>
        </w:rPr>
        <w:t>s = √[ Σ(xi − x̄)² / (n − 1) ]</w:t>
      </w:r>
    </w:p>
    <w:p>
      <w:pPr>
        <w:spacing w:before="40" w:after="40" w:line="269" w:lineRule="auto"/>
        <w:jc w:val="center"/>
      </w:pPr>
      <w:r>
        <w:rPr>
          <w:rFonts w:ascii="Times New Roman" w:hAnsi="Times New Roman" w:eastAsia="宋体"/>
          <w:b w:val="0"/>
          <w:color w:val="1A1A1A"/>
          <w:sz w:val="21"/>
        </w:rPr>
        <w:t>pk = nk / n</w:t>
      </w:r>
    </w:p>
    <w:p>
      <w:pPr>
        <w:spacing w:before="0" w:after="80"/>
        <w:ind w:left="420"/>
      </w:pPr>
      <w:r>
        <w:rPr>
          <w:rFonts w:ascii="宋体" w:hAnsi="宋体" w:eastAsia="宋体"/>
          <w:b w:val="0"/>
          <w:color w:val="404040"/>
          <w:sz w:val="18"/>
        </w:rPr>
        <w:t>式中：x̄ 为样本均值，s 为样本标准差，n 为样本量；nk 为第 k 类的频数，pk 为其频率。</w:t>
      </w:r>
    </w:p>
    <w:p>
      <w:r>
        <w:rPr>
          <w:rFonts w:ascii="黑体" w:hAnsi="黑体" w:eastAsia="黑体"/>
          <w:b/>
          <w:sz w:val="21"/>
        </w:rPr>
        <w:t xml:space="preserve">适用范围　</w:t>
      </w:r>
      <w:r>
        <w:rPr>
          <w:rFonts w:ascii="宋体" w:hAnsi="宋体" w:eastAsia="宋体"/>
          <w:b w:val="0"/>
          <w:sz w:val="21"/>
        </w:rPr>
        <w:t>适用于对样本做初步刻画：人口统计特征分布、量表题项的得分水平与分歧程度、各类别占比。可作为后续方差分析、回归、聚类等方法的描述性铺垫。不用于回答“为何”与“是否显著”，组间差异检验需借助方差分析，因素重要性需借助回归。</w:t>
      </w:r>
    </w:p>
    <w:p>
      <w:r>
        <w:rPr>
          <w:rFonts w:ascii="黑体" w:hAnsi="黑体" w:eastAsia="黑体"/>
          <w:b/>
          <w:sz w:val="21"/>
        </w:rPr>
        <w:t xml:space="preserve">应用实例　</w:t>
      </w:r>
      <w:r>
        <w:rPr>
          <w:rFonts w:ascii="宋体" w:hAnsi="宋体" w:eastAsia="宋体"/>
          <w:b w:val="0"/>
          <w:sz w:val="21"/>
        </w:rPr>
        <w:t>某 5 分制题项 5 个观测值为 4、5、3、5、3：均值 = 4.00，标准差 ≈ 0.89。若报告仅称“均值 4.0，满意度较高”，则遗漏了半数观测低于均值这一信息。规范做法为同时报告均值、标准差与样本量 N。</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NIST/SEMATECH. e-Handbook of Statistical Methods: Measures of Location and Scale[EB/OL]. (2012-04-01)[2026-10-18].</w:t>
      </w:r>
    </w:p>
    <w:p>
      <w:pPr>
        <w:spacing w:after="80"/>
        <w:ind w:left="595"/>
      </w:pPr>
      <w:hyperlink r:id="rId10">
        <w:r>
          <w:rPr>
            <w:rFonts w:ascii="宋体" w:hAnsi="宋体" w:eastAsia="宋体"/>
            <w:color w:val="1155CC"/>
            <w:u w:val="single"/>
            <w:sz w:val="17"/>
          </w:rPr>
          <w:t xml:space="preserve">https://www.itl.nist.gov/div898/handbook/eda/section3/eda35.htm</w:t>
        </w:r>
      </w:hyperlink>
    </w:p>
    <w:p>
      <w:pPr>
        <w:spacing w:after="0"/>
        <w:ind w:left="420" w:hanging="420"/>
      </w:pPr>
      <w:r>
        <w:rPr>
          <w:rFonts w:ascii="宋体" w:hAnsi="宋体" w:eastAsia="宋体"/>
          <w:b w:val="0"/>
          <w:sz w:val="18"/>
        </w:rPr>
        <w:t>[2] OpenStax. Introductory Statistics[M/OL]. Houston: Rice University, 2023.</w:t>
      </w:r>
    </w:p>
    <w:p>
      <w:pPr>
        <w:spacing w:after="80"/>
        <w:ind w:left="595"/>
      </w:pPr>
      <w:hyperlink r:id="rId11">
        <w:r>
          <w:rPr>
            <w:rFonts w:ascii="宋体" w:hAnsi="宋体" w:eastAsia="宋体"/>
            <w:color w:val="1155CC"/>
            <w:u w:val="single"/>
            <w:sz w:val="17"/>
          </w:rPr>
          <w:t xml:space="preserve">https://openstax.org/details/books/introductory-statistics</w:t>
        </w:r>
      </w:hyperlink>
    </w:p>
    <w:p>
      <w:pPr>
        <w:pStyle w:val="Heading2"/>
      </w:pPr>
      <w:r>
        <w:t>1.2　李克特量表（Likert Scale）</w:t>
      </w:r>
    </w:p>
    <w:p>
      <w:r>
        <w:rPr>
          <w:rFonts w:ascii="黑体" w:hAnsi="黑体" w:eastAsia="黑体"/>
          <w:b/>
          <w:sz w:val="21"/>
        </w:rPr>
        <w:t xml:space="preserve">模型介绍　</w:t>
      </w:r>
      <w:r>
        <w:rPr>
          <w:rFonts w:ascii="宋体" w:hAnsi="宋体" w:eastAsia="宋体"/>
          <w:b w:val="0"/>
          <w:sz w:val="21"/>
        </w:rPr>
        <w:t>李克特量表通过一组同向陈述句与等级选项，将态度、意愿等潜在构念操作化为可计算的分值。常用五级或七级计分，并设置反向题以识别敷衍作答。同一构念通常由 3—5 个题项构成一个维度，以多题项加权平均提高测量稳定性。</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S = (1 / k) · Σxt　（t = 1, …, k）</w:t>
      </w:r>
    </w:p>
    <w:p>
      <w:pPr>
        <w:spacing w:before="40" w:after="40" w:line="269" w:lineRule="auto"/>
        <w:jc w:val="center"/>
      </w:pPr>
      <w:r>
        <w:rPr>
          <w:rFonts w:ascii="Times New Roman" w:hAnsi="Times New Roman" w:eastAsia="宋体"/>
          <w:b w:val="0"/>
          <w:color w:val="1A1A1A"/>
          <w:sz w:val="21"/>
        </w:rPr>
        <w:t>反向题计分：x' = (L + 1) − x</w:t>
      </w:r>
    </w:p>
    <w:p>
      <w:pPr>
        <w:spacing w:before="0" w:after="80"/>
        <w:ind w:left="420"/>
      </w:pPr>
      <w:r>
        <w:rPr>
          <w:rFonts w:ascii="宋体" w:hAnsi="宋体" w:eastAsia="宋体"/>
          <w:b w:val="0"/>
          <w:color w:val="404040"/>
          <w:sz w:val="18"/>
        </w:rPr>
        <w:t>式中：S 为维度得分，k 为该维度题项数，xt 为第 t 题得分；L 为量表级数，五级量表 L = 5。</w:t>
      </w:r>
    </w:p>
    <w:p>
      <w:r>
        <w:rPr>
          <w:rFonts w:ascii="黑体" w:hAnsi="黑体" w:eastAsia="黑体"/>
          <w:b/>
          <w:sz w:val="21"/>
        </w:rPr>
        <w:t xml:space="preserve">适用范围　</w:t>
      </w:r>
      <w:r>
        <w:rPr>
          <w:rFonts w:ascii="宋体" w:hAnsi="宋体" w:eastAsia="宋体"/>
          <w:b w:val="0"/>
          <w:sz w:val="21"/>
        </w:rPr>
        <w:t>适用于态度、感知、满意度、意愿等潜在变量的测量，并要求数据可进入信度检验、相关分析、回归与结构方程模型。事实性问题（性别、年龄）宜采用选择项，不适用量表；单一题项难以构成独立量表。</w:t>
      </w:r>
    </w:p>
    <w:p>
      <w:r>
        <w:rPr>
          <w:rFonts w:ascii="黑体" w:hAnsi="黑体" w:eastAsia="黑体"/>
          <w:b/>
          <w:sz w:val="21"/>
        </w:rPr>
        <w:t xml:space="preserve">应用实例　</w:t>
      </w:r>
      <w:r>
        <w:rPr>
          <w:rFonts w:ascii="宋体" w:hAnsi="宋体" w:eastAsia="宋体"/>
          <w:b w:val="0"/>
          <w:sz w:val="21"/>
        </w:rPr>
        <w:t>测量“产品口味”维度设正向题 T1、T2、T4 与反向题 T3。受访者作答T1=5、T2=4、T3=2、T4=5，反向题需先转换（2→4），维度得分为(5+4+4+5)/4 = 4.50。若漏做反向转换，得分将被低估为 4.00。</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Likert, R. A technique for the measurement of attitudes[J]. Archives of Psychology, 1932, 22(140): 5-55.</w:t>
      </w:r>
    </w:p>
    <w:p>
      <w:pPr>
        <w:spacing w:after="80"/>
        <w:ind w:left="595"/>
      </w:pPr>
      <w:hyperlink r:id="rId12">
        <w:r>
          <w:rPr>
            <w:rFonts w:ascii="宋体" w:hAnsi="宋体" w:eastAsia="宋体"/>
            <w:color w:val="1155CC"/>
            <w:u w:val="single"/>
            <w:sz w:val="17"/>
          </w:rPr>
          <w:t xml:space="preserve">https://psycnet.apa.org/record/1933-01885-001</w:t>
        </w:r>
      </w:hyperlink>
    </w:p>
    <w:p>
      <w:pPr>
        <w:pStyle w:val="Heading2"/>
      </w:pPr>
      <w:r>
        <w:t>1.3　信度检验：Cronbach's α（Reliability: Cronbach's Alpha）</w:t>
      </w:r>
    </w:p>
    <w:p>
      <w:r>
        <w:rPr>
          <w:rFonts w:ascii="黑体" w:hAnsi="黑体" w:eastAsia="黑体"/>
          <w:b/>
          <w:sz w:val="21"/>
        </w:rPr>
        <w:t xml:space="preserve">模型介绍　</w:t>
      </w:r>
      <w:r>
        <w:rPr>
          <w:rFonts w:ascii="宋体" w:hAnsi="宋体" w:eastAsia="宋体"/>
          <w:b w:val="0"/>
          <w:sz w:val="21"/>
        </w:rPr>
        <w:t>Cronbach's α 以题项间协方差衡量量表内部一致性，取值 0—1。α 越高表示同一维度的题项作答方向越一致。计算中可借助“校正后项—总计相关”识别拖累一致性的题项，其值低于 0.3 时通常考虑删除并重算。</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α = [ k / (k − 1) ] · [ 1 − Σsi² / sT² ]</w:t>
      </w:r>
    </w:p>
    <w:p>
      <w:pPr>
        <w:spacing w:before="0" w:after="80"/>
        <w:ind w:left="420"/>
      </w:pPr>
      <w:r>
        <w:rPr>
          <w:rFonts w:ascii="宋体" w:hAnsi="宋体" w:eastAsia="宋体"/>
          <w:b w:val="0"/>
          <w:color w:val="404040"/>
          <w:sz w:val="18"/>
        </w:rPr>
        <w:t>式中：k 为题项数，si² 为第 i 题得分的方差，sT² 为量表总分的方差。</w:t>
      </w:r>
    </w:p>
    <w:p>
      <w:r>
        <w:rPr>
          <w:rFonts w:ascii="黑体" w:hAnsi="黑体" w:eastAsia="黑体"/>
          <w:b/>
          <w:sz w:val="21"/>
        </w:rPr>
        <w:t xml:space="preserve">适用范围　</w:t>
      </w:r>
      <w:r>
        <w:rPr>
          <w:rFonts w:ascii="宋体" w:hAnsi="宋体" w:eastAsia="宋体"/>
          <w:b w:val="0"/>
          <w:sz w:val="21"/>
        </w:rPr>
        <w:t>适用于多题项量表的内部一致性评价，应在正式分析前对每个维度及总量表分别计算。α 反映测量稳定性而非内容正确性；题项过少（2 题）时 α 天然偏低，可改报题间相关。α 异常偏高（&gt;0.95）提示题项语义重复。</w:t>
      </w:r>
    </w:p>
    <w:p>
      <w:r>
        <w:rPr>
          <w:rFonts w:ascii="黑体" w:hAnsi="黑体" w:eastAsia="黑体"/>
          <w:b/>
          <w:sz w:val="21"/>
        </w:rPr>
        <w:t xml:space="preserve">应用实例　</w:t>
      </w:r>
      <w:r>
        <w:rPr>
          <w:rFonts w:ascii="宋体" w:hAnsi="宋体" w:eastAsia="宋体"/>
          <w:b w:val="0"/>
          <w:sz w:val="21"/>
        </w:rPr>
        <w:t>某维度 4 题，SPSS 输出整体 α=0.87，其中 T4 的校正后项—总计相关为 0.18，删除后 α 升至 0.91。规范表述为：“初始 α=0.87，T4 校正后项—总计相关 0.18（&lt;0.3），删除后 α 升至 0.91，故删除 T4。”</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Cronbach, L. J. Coefficient alpha and the internal structure of tests[J]. Psychometrika, 1951, 16(3): 297-334.</w:t>
      </w:r>
    </w:p>
    <w:p>
      <w:pPr>
        <w:spacing w:after="80"/>
        <w:ind w:left="595"/>
      </w:pPr>
      <w:hyperlink r:id="rId13">
        <w:r>
          <w:rPr>
            <w:rFonts w:ascii="宋体" w:hAnsi="宋体" w:eastAsia="宋体"/>
            <w:color w:val="1155CC"/>
            <w:u w:val="single"/>
            <w:sz w:val="17"/>
          </w:rPr>
          <w:t xml:space="preserve">https://doi.org/10.1007/BF02310555</w:t>
        </w:r>
      </w:hyperlink>
    </w:p>
    <w:p>
      <w:pPr>
        <w:spacing w:after="0"/>
        <w:ind w:left="420" w:hanging="420"/>
      </w:pPr>
      <w:r>
        <w:rPr>
          <w:rFonts w:ascii="宋体" w:hAnsi="宋体" w:eastAsia="宋体"/>
          <w:b w:val="0"/>
          <w:sz w:val="18"/>
        </w:rPr>
        <w:t>[2] Tavakol, M., Dennick, R. Making sense of Cronbach's alpha[J]. International Journal of Medical Education, 2011, 2: 53-55.</w:t>
      </w:r>
    </w:p>
    <w:p>
      <w:pPr>
        <w:spacing w:after="80"/>
        <w:ind w:left="595"/>
      </w:pPr>
      <w:hyperlink r:id="rId14">
        <w:r>
          <w:rPr>
            <w:rFonts w:ascii="宋体" w:hAnsi="宋体" w:eastAsia="宋体"/>
            <w:color w:val="1155CC"/>
            <w:u w:val="single"/>
            <w:sz w:val="17"/>
          </w:rPr>
          <w:t xml:space="preserve">https://doi.org/10.5116/ijme.4dfb.8dfd</w:t>
        </w:r>
      </w:hyperlink>
    </w:p>
    <w:p>
      <w:pPr>
        <w:pStyle w:val="Heading2"/>
      </w:pPr>
      <w:r>
        <w:t>1.4　百度指数分析（Baidu Index Analysis）</w:t>
      </w:r>
    </w:p>
    <w:p>
      <w:r>
        <w:rPr>
          <w:rFonts w:ascii="黑体" w:hAnsi="黑体" w:eastAsia="黑体"/>
          <w:b/>
          <w:sz w:val="21"/>
        </w:rPr>
        <w:t xml:space="preserve">模型介绍　</w:t>
      </w:r>
      <w:r>
        <w:rPr>
          <w:rFonts w:ascii="宋体" w:hAnsi="宋体" w:eastAsia="宋体"/>
          <w:b w:val="0"/>
          <w:sz w:val="21"/>
        </w:rPr>
        <w:t>百度指数以关键词检索量为基准归一化为相对指数，提供趋势、需求图谱、地域分布与人群画像四类信息。指数为相对值，仅可作横向与纵向比较，不代表绝对检索人数，反映的是网络关注度而非购买行为。</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It = 100 · Qt / Qref</w:t>
      </w:r>
    </w:p>
    <w:p>
      <w:pPr>
        <w:spacing w:before="0" w:after="80"/>
        <w:ind w:left="420"/>
      </w:pPr>
      <w:r>
        <w:rPr>
          <w:rFonts w:ascii="宋体" w:hAnsi="宋体" w:eastAsia="宋体"/>
          <w:b w:val="0"/>
          <w:color w:val="404040"/>
          <w:sz w:val="18"/>
        </w:rPr>
        <w:t>式中：It 为 t 日指数，Qt 为 t 日检索量，Qref 为基准期平均检索量。指数为相对值，不代表绝对检索人次。</w:t>
      </w:r>
    </w:p>
    <w:p>
      <w:r>
        <w:rPr>
          <w:rFonts w:ascii="黑体" w:hAnsi="黑体" w:eastAsia="黑体"/>
          <w:b/>
          <w:sz w:val="21"/>
        </w:rPr>
        <w:t xml:space="preserve">适用范围　</w:t>
      </w:r>
      <w:r>
        <w:rPr>
          <w:rFonts w:ascii="宋体" w:hAnsi="宋体" w:eastAsia="宋体"/>
          <w:b w:val="0"/>
          <w:sz w:val="21"/>
        </w:rPr>
        <w:t>适用于获取客观关注度证据、判断区域市场潜力、挖掘消费者关注点，以及为 PEST 中社会与技术维度提供佐证。不适用于小众品牌词（常无数据）、不宜作为购买意愿的直接代理变量，且网民样本对全人群代表性有限。</w:t>
      </w:r>
    </w:p>
    <w:p>
      <w:r>
        <w:rPr>
          <w:rFonts w:ascii="黑体" w:hAnsi="黑体" w:eastAsia="黑体"/>
          <w:b/>
          <w:sz w:val="21"/>
        </w:rPr>
        <w:t xml:space="preserve">应用实例　</w:t>
      </w:r>
      <w:r>
        <w:rPr>
          <w:rFonts w:ascii="宋体" w:hAnsi="宋体" w:eastAsia="宋体"/>
          <w:b w:val="0"/>
          <w:sz w:val="21"/>
        </w:rPr>
        <w:t>检索“智能客服”得日均指数 1683，近一年曲线短期波动、长期平稳；地域分布广东居首，其后为北京、浙江、江苏。可据此判断该议题具有稳定关注基础，且集中于电商发达地区，为选题的现实意义提供依据。</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百度在线网络技术(北京)有限公司. 百度指数[DB/OL]. (2024-01-01)[2026-10-18].</w:t>
      </w:r>
    </w:p>
    <w:p>
      <w:pPr>
        <w:spacing w:after="80"/>
        <w:ind w:left="595"/>
      </w:pPr>
      <w:hyperlink r:id="rId15">
        <w:r>
          <w:rPr>
            <w:rFonts w:ascii="宋体" w:hAnsi="宋体" w:eastAsia="宋体"/>
            <w:color w:val="1155CC"/>
            <w:u w:val="single"/>
            <w:sz w:val="17"/>
          </w:rPr>
          <w:t xml:space="preserve">https://index.baidu.com</w:t>
        </w:r>
      </w:hyperlink>
    </w:p>
    <w:p>
      <w:pPr>
        <w:pStyle w:val="Heading2"/>
      </w:pPr>
      <w:r>
        <w:t>1.5　词频分析与词云（Word Frequency Analysis and Word Cloud）</w:t>
      </w:r>
    </w:p>
    <w:p>
      <w:r>
        <w:rPr>
          <w:rFonts w:ascii="黑体" w:hAnsi="黑体" w:eastAsia="黑体"/>
          <w:b/>
          <w:sz w:val="21"/>
        </w:rPr>
        <w:t xml:space="preserve">模型介绍　</w:t>
      </w:r>
      <w:r>
        <w:rPr>
          <w:rFonts w:ascii="宋体" w:hAnsi="宋体" w:eastAsia="宋体"/>
          <w:b w:val="0"/>
          <w:sz w:val="21"/>
        </w:rPr>
        <w:t>词频分析对文本分词、去除停用词后统计各词出现次数，以高频词表征文本主题分布；词云为词频的可视化形式，字号与词频正相关。中文需依赖分词工具（如 jieba）并配合自定义词典，以保证品牌名与专业词的切分正确。</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fw = cw / N</w:t>
      </w:r>
    </w:p>
    <w:p>
      <w:pPr>
        <w:spacing w:before="40" w:after="40" w:line="269" w:lineRule="auto"/>
        <w:jc w:val="center"/>
      </w:pPr>
      <w:r>
        <w:rPr>
          <w:rFonts w:ascii="Times New Roman" w:hAnsi="Times New Roman" w:eastAsia="宋体"/>
          <w:b w:val="0"/>
          <w:color w:val="1A1A1A"/>
          <w:sz w:val="21"/>
        </w:rPr>
        <w:t>词云字号与 fw 成正比</w:t>
      </w:r>
    </w:p>
    <w:p>
      <w:pPr>
        <w:spacing w:before="0" w:after="80"/>
        <w:ind w:left="420"/>
      </w:pPr>
      <w:r>
        <w:rPr>
          <w:rFonts w:ascii="宋体" w:hAnsi="宋体" w:eastAsia="宋体"/>
          <w:b w:val="0"/>
          <w:color w:val="404040"/>
          <w:sz w:val="18"/>
        </w:rPr>
        <w:t>式中：cw 为词 w 在语料中的出现次数，N 为语料总词数，fw 为相对词频。</w:t>
      </w:r>
    </w:p>
    <w:p>
      <w:r>
        <w:rPr>
          <w:rFonts w:ascii="黑体" w:hAnsi="黑体" w:eastAsia="黑体"/>
          <w:b/>
          <w:sz w:val="21"/>
        </w:rPr>
        <w:t xml:space="preserve">适用范围　</w:t>
      </w:r>
      <w:r>
        <w:rPr>
          <w:rFonts w:ascii="宋体" w:hAnsi="宋体" w:eastAsia="宋体"/>
          <w:b w:val="0"/>
          <w:sz w:val="21"/>
        </w:rPr>
        <w:t>适用于大规模文本的探索性摘要，为情感分析与主题模型提供线索与停用词表。词频不反映褒贬与影响强度，不可单独作为结论依据；须以高频词表配合词云，并检查分词质量。</w:t>
      </w:r>
    </w:p>
    <w:p>
      <w:r>
        <w:rPr>
          <w:rFonts w:ascii="黑体" w:hAnsi="黑体" w:eastAsia="黑体"/>
          <w:b/>
          <w:sz w:val="21"/>
        </w:rPr>
        <w:t xml:space="preserve">应用实例　</w:t>
      </w:r>
      <w:r>
        <w:rPr>
          <w:rFonts w:ascii="宋体" w:hAnsi="宋体" w:eastAsia="宋体"/>
          <w:b w:val="0"/>
          <w:sz w:val="21"/>
        </w:rPr>
        <w:t>对 1000 条评论分词后统计得：好吃 312、太甜 178、包装 156、送礼 142、价格 87。据此可初步判断“口味认可度较高，甜度与包装是主要议题，价格非主要矛盾”，并据此提出降糖与礼盒化的改进假设。</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Manning, C. D., Raghavan, P., Schütze, H. Introduction to Information Retrieval[M]. Cambridge: Cambridge University Press, 2008.</w:t>
      </w:r>
    </w:p>
    <w:p>
      <w:pPr>
        <w:spacing w:after="80"/>
        <w:ind w:left="595"/>
      </w:pPr>
      <w:hyperlink r:id="rId16">
        <w:r>
          <w:rPr>
            <w:rFonts w:ascii="宋体" w:hAnsi="宋体" w:eastAsia="宋体"/>
            <w:color w:val="1155CC"/>
            <w:u w:val="single"/>
            <w:sz w:val="17"/>
          </w:rPr>
          <w:t xml:space="preserve">https://nlp.stanford.edu/IR-book/</w:t>
        </w:r>
      </w:hyperlink>
    </w:p>
    <w:p>
      <w:pPr>
        <w:spacing w:after="0"/>
        <w:ind w:left="420" w:hanging="420"/>
      </w:pPr>
      <w:r>
        <w:rPr>
          <w:rFonts w:ascii="宋体" w:hAnsi="宋体" w:eastAsia="宋体"/>
          <w:b w:val="0"/>
          <w:sz w:val="18"/>
        </w:rPr>
        <w:t>[2] Sun, J. jieba: Chinese word segmentation[CP/OL]. (2020-01-01)[2026-10-18].</w:t>
      </w:r>
    </w:p>
    <w:p>
      <w:pPr>
        <w:spacing w:after="80"/>
        <w:ind w:left="595"/>
      </w:pPr>
      <w:hyperlink r:id="rId17">
        <w:r>
          <w:rPr>
            <w:rFonts w:ascii="宋体" w:hAnsi="宋体" w:eastAsia="宋体"/>
            <w:color w:val="1155CC"/>
            <w:u w:val="single"/>
            <w:sz w:val="17"/>
          </w:rPr>
          <w:t xml:space="preserve">https://github.com/fxsjy/jieba</w:t>
        </w:r>
      </w:hyperlink>
    </w:p>
    <w:p>
      <w:pPr>
        <w:pStyle w:val="Heading2"/>
      </w:pPr>
      <w:r>
        <w:t>1.6　AISAS 消费者行为分析模型（AISAS Model）</w:t>
      </w:r>
    </w:p>
    <w:p>
      <w:r>
        <w:rPr>
          <w:rFonts w:ascii="黑体" w:hAnsi="黑体" w:eastAsia="黑体"/>
          <w:b/>
          <w:sz w:val="21"/>
        </w:rPr>
        <w:t xml:space="preserve">模型介绍　</w:t>
      </w:r>
      <w:r>
        <w:rPr>
          <w:rFonts w:ascii="宋体" w:hAnsi="宋体" w:eastAsia="宋体"/>
          <w:b w:val="0"/>
          <w:sz w:val="21"/>
        </w:rPr>
        <w:t>AISAS 由日本电通公司于 2005 年提出，将网络环境下的消费者决策划分为注意（Attention）、兴趣（Interest）、搜索（Search）、行动（Action）与分享（Share）五阶段，较传统 AIDMA 增设搜索与分享两环，强调口碑的双向传播。</w:t>
      </w:r>
    </w:p>
    <w:p>
      <w:pPr>
        <w:spacing w:after="40"/>
      </w:pPr>
      <w:r>
        <w:rPr>
          <w:rFonts w:ascii="黑体" w:hAnsi="黑体" w:eastAsia="黑体"/>
          <w:b/>
          <w:sz w:val="21"/>
        </w:rPr>
        <w:t xml:space="preserve">模型公式　</w:t>
      </w:r>
      <w:r>
        <w:rPr>
          <w:rFonts w:ascii="宋体" w:hAnsi="宋体" w:eastAsia="宋体"/>
          <w:b w:val="0"/>
          <w:color w:val="606060"/>
          <w:sz w:val="18"/>
        </w:rPr>
        <w:t>行为分析框架，无统一数学表达式；下列为转化率的度量方式。</w:t>
      </w:r>
    </w:p>
    <w:p>
      <w:pPr>
        <w:spacing w:before="40" w:after="40" w:line="269" w:lineRule="auto"/>
        <w:jc w:val="center"/>
      </w:pPr>
      <w:r>
        <w:rPr>
          <w:rFonts w:ascii="Times New Roman" w:hAnsi="Times New Roman" w:eastAsia="宋体"/>
          <w:b w:val="0"/>
          <w:color w:val="1A1A1A"/>
          <w:sz w:val="21"/>
        </w:rPr>
        <w:t>CR(i) = N(i + 1) / N(i)　（i = Attention, Interest, Search, Action）</w:t>
      </w:r>
    </w:p>
    <w:p>
      <w:pPr>
        <w:spacing w:before="40" w:after="40" w:line="269" w:lineRule="auto"/>
        <w:jc w:val="center"/>
      </w:pPr>
      <w:r>
        <w:rPr>
          <w:rFonts w:ascii="Times New Roman" w:hAnsi="Times New Roman" w:eastAsia="宋体"/>
          <w:b w:val="0"/>
          <w:color w:val="1A1A1A"/>
          <w:sz w:val="21"/>
        </w:rPr>
        <w:t>CR(total) = N(Share) / N(Attention) = Π CR(i)</w:t>
      </w:r>
    </w:p>
    <w:p>
      <w:pPr>
        <w:spacing w:before="0" w:after="80"/>
        <w:ind w:left="420"/>
      </w:pPr>
      <w:r>
        <w:rPr>
          <w:rFonts w:ascii="宋体" w:hAnsi="宋体" w:eastAsia="宋体"/>
          <w:b w:val="0"/>
          <w:color w:val="404040"/>
          <w:sz w:val="18"/>
        </w:rPr>
        <w:t>式中：N(·) 为处于该阶段的人数，CR 为相邻阶段的转化率。</w:t>
      </w:r>
    </w:p>
    <w:p>
      <w:r>
        <w:rPr>
          <w:rFonts w:ascii="黑体" w:hAnsi="黑体" w:eastAsia="黑体"/>
          <w:b/>
          <w:sz w:val="21"/>
        </w:rPr>
        <w:t xml:space="preserve">适用范围　</w:t>
      </w:r>
      <w:r>
        <w:rPr>
          <w:rFonts w:ascii="宋体" w:hAnsi="宋体" w:eastAsia="宋体"/>
          <w:b w:val="0"/>
          <w:sz w:val="21"/>
        </w:rPr>
        <w:t>适用于消费品购买链路的问卷设计与转化诊断，可据各阶段人数比值定位薄弱环节。属分析框架而非统计模型，不产出检验统计量；不适用于工业品与 B2B 采购决策。</w:t>
      </w:r>
    </w:p>
    <w:p>
      <w:r>
        <w:rPr>
          <w:rFonts w:ascii="黑体" w:hAnsi="黑体" w:eastAsia="黑体"/>
          <w:b/>
          <w:sz w:val="21"/>
        </w:rPr>
        <w:t xml:space="preserve">应用实例　</w:t>
      </w:r>
      <w:r>
        <w:rPr>
          <w:rFonts w:ascii="宋体" w:hAnsi="宋体" w:eastAsia="宋体"/>
          <w:b w:val="0"/>
          <w:sz w:val="21"/>
        </w:rPr>
        <w:t>某品牌调研：听说过 320 人、有兴趣 210 人、主动搜索 88 人、购买 62 人、分享 31 人。兴趣→搜索转化率仅 41.9%，为全链路最低，据此将改进重点定位于搜索端内容布局而非产品本身。</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Kotler, P., Keller, K. L. Marketing Management(15th ed.)[M]. London: Pearson, 2016.</w:t>
      </w:r>
    </w:p>
    <w:p>
      <w:pPr>
        <w:spacing w:after="80"/>
        <w:ind w:left="595"/>
      </w:pPr>
      <w:hyperlink r:id="rId18">
        <w:r>
          <w:rPr>
            <w:rFonts w:ascii="宋体" w:hAnsi="宋体" w:eastAsia="宋体"/>
            <w:color w:val="1155CC"/>
            <w:u w:val="single"/>
            <w:sz w:val="17"/>
          </w:rPr>
          <w:t xml:space="preserve">https://www.pearson.com</w:t>
        </w:r>
      </w:hyperlink>
    </w:p>
    <w:p>
      <w:pPr>
        <w:spacing w:after="0"/>
        <w:ind w:left="420" w:hanging="420"/>
      </w:pPr>
      <w:r>
        <w:rPr>
          <w:rFonts w:ascii="宋体" w:hAnsi="宋体" w:eastAsia="宋体"/>
          <w:b w:val="0"/>
          <w:sz w:val="18"/>
        </w:rPr>
        <w:t>[2] OpenStax. Principles of Marketing[M/OL]. Houston: Rice University, 2023.</w:t>
      </w:r>
    </w:p>
    <w:p>
      <w:pPr>
        <w:spacing w:after="80"/>
        <w:ind w:left="595"/>
      </w:pPr>
      <w:hyperlink r:id="rId19">
        <w:r>
          <w:rPr>
            <w:rFonts w:ascii="宋体" w:hAnsi="宋体" w:eastAsia="宋体"/>
            <w:color w:val="1155CC"/>
            <w:u w:val="single"/>
            <w:sz w:val="17"/>
          </w:rPr>
          <w:t xml:space="preserve">https://openstax.org/details/books/principles-marketing</w:t>
        </w:r>
      </w:hyperlink>
    </w:p>
    <w:p>
      <w:pPr>
        <w:pStyle w:val="Heading2"/>
      </w:pPr>
      <w:r>
        <w:t>1.7　Sheth-Newman-Gross 消费价值模型（Consumption Values Theory）</w:t>
      </w:r>
    </w:p>
    <w:p>
      <w:r>
        <w:rPr>
          <w:rFonts w:ascii="黑体" w:hAnsi="黑体" w:eastAsia="黑体"/>
          <w:b/>
          <w:sz w:val="21"/>
        </w:rPr>
        <w:t xml:space="preserve">模型介绍　</w:t>
      </w:r>
      <w:r>
        <w:rPr>
          <w:rFonts w:ascii="宋体" w:hAnsi="宋体" w:eastAsia="宋体"/>
          <w:b w:val="0"/>
          <w:sz w:val="21"/>
        </w:rPr>
        <w:t>该模型由 Sheth、Newman 与 Gross 于 1991 年提出，认为消费选择由功能价值、社会价值、情感价值、认知价值与条件价值五类价值共同驱动。五类价值可并存，其相对权重因人群与品类而异。</w:t>
      </w:r>
    </w:p>
    <w:p>
      <w:pPr>
        <w:spacing w:after="40"/>
      </w:pPr>
      <w:r>
        <w:rPr>
          <w:rFonts w:ascii="黑体" w:hAnsi="黑体" w:eastAsia="黑体"/>
          <w:b/>
          <w:sz w:val="21"/>
        </w:rPr>
        <w:t xml:space="preserve">模型公式　</w:t>
      </w:r>
      <w:r>
        <w:rPr>
          <w:rFonts w:ascii="宋体" w:hAnsi="宋体" w:eastAsia="宋体"/>
          <w:b w:val="0"/>
          <w:color w:val="606060"/>
          <w:sz w:val="18"/>
        </w:rPr>
        <w:t>理论框架，无统一数学表达式；下列为消费价值的合成形式。</w:t>
      </w:r>
    </w:p>
    <w:p>
      <w:pPr>
        <w:spacing w:before="40" w:after="40" w:line="269" w:lineRule="auto"/>
        <w:jc w:val="center"/>
      </w:pPr>
      <w:r>
        <w:rPr>
          <w:rFonts w:ascii="Times New Roman" w:hAnsi="Times New Roman" w:eastAsia="宋体"/>
          <w:b w:val="0"/>
          <w:color w:val="1A1A1A"/>
          <w:sz w:val="21"/>
        </w:rPr>
        <w:t>CV = Σ wj · Vj　（j = 1, …, 5）</w:t>
      </w:r>
    </w:p>
    <w:p>
      <w:pPr>
        <w:spacing w:before="0" w:after="80"/>
        <w:ind w:left="420"/>
      </w:pPr>
      <w:r>
        <w:rPr>
          <w:rFonts w:ascii="宋体" w:hAnsi="宋体" w:eastAsia="宋体"/>
          <w:b w:val="0"/>
          <w:color w:val="404040"/>
          <w:sz w:val="18"/>
        </w:rPr>
        <w:t>式中：Vj 依次为功能价值、社会价值、情感价值、认知价值与条件价值；wj 为其相对权重。</w:t>
      </w:r>
    </w:p>
    <w:p>
      <w:r>
        <w:rPr>
          <w:rFonts w:ascii="黑体" w:hAnsi="黑体" w:eastAsia="黑体"/>
          <w:b/>
          <w:sz w:val="21"/>
        </w:rPr>
        <w:t xml:space="preserve">适用范围　</w:t>
      </w:r>
      <w:r>
        <w:rPr>
          <w:rFonts w:ascii="宋体" w:hAnsi="宋体" w:eastAsia="宋体"/>
          <w:b w:val="0"/>
          <w:sz w:val="21"/>
        </w:rPr>
        <w:t>适用于解释“为何购买”类问题，可据此拆分问卷维度、梳理卖点与产品定位，并与 AISAS 配合形成“行为流程＋价值动机”的双层框架。属理论框架，不产出统计检验结果。</w:t>
      </w:r>
    </w:p>
    <w:p>
      <w:r>
        <w:rPr>
          <w:rFonts w:ascii="黑体" w:hAnsi="黑体" w:eastAsia="黑体"/>
          <w:b/>
          <w:sz w:val="21"/>
        </w:rPr>
        <w:t xml:space="preserve">应用实例　</w:t>
      </w:r>
      <w:r>
        <w:rPr>
          <w:rFonts w:ascii="宋体" w:hAnsi="宋体" w:eastAsia="宋体"/>
          <w:b w:val="0"/>
          <w:sz w:val="21"/>
        </w:rPr>
        <w:t>对 400 名消费者测量五类价值（5 分制）得：功能 4.12、认知 3.85、情感 3.62、社会 3.41、条件 3.08。可判定消费者以产品品质为首要动因，礼赠与节日场景存在开发空间，据此调整礼盒产品线与节庆投放。</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Sheth, J. N., Newman, B. I., Gross, B. L. Why we buy what we buy: a theory of consumption values[J]. Journal of Business Research, 1991, 22(2): 159-170.</w:t>
      </w:r>
    </w:p>
    <w:p>
      <w:pPr>
        <w:spacing w:after="80"/>
        <w:ind w:left="595"/>
      </w:pPr>
      <w:hyperlink r:id="rId20">
        <w:r>
          <w:rPr>
            <w:rFonts w:ascii="宋体" w:hAnsi="宋体" w:eastAsia="宋体"/>
            <w:color w:val="1155CC"/>
            <w:u w:val="single"/>
            <w:sz w:val="17"/>
          </w:rPr>
          <w:t xml:space="preserve">https://doi.org/10.1016/0148-2963(91)90050-8</w:t>
        </w:r>
      </w:hyperlink>
    </w:p>
    <w:p>
      <w:pPr>
        <w:spacing w:after="0"/>
        <w:ind w:left="420" w:hanging="420"/>
      </w:pPr>
      <w:r>
        <w:rPr>
          <w:rFonts w:ascii="宋体" w:hAnsi="宋体" w:eastAsia="宋体"/>
          <w:b w:val="0"/>
          <w:sz w:val="18"/>
        </w:rPr>
        <w:t>[2] Sánchez-Fernández, R., Iniesta-Bonillo, M. Á. The concept of perceived value: a systematic review of the research[J]. Marketing Theory, 2007, 7(4): 427-451.</w:t>
      </w:r>
    </w:p>
    <w:p>
      <w:pPr>
        <w:spacing w:after="80"/>
        <w:ind w:left="595"/>
      </w:pPr>
      <w:hyperlink r:id="rId21">
        <w:r>
          <w:rPr>
            <w:rFonts w:ascii="宋体" w:hAnsi="宋体" w:eastAsia="宋体"/>
            <w:color w:val="1155CC"/>
            <w:u w:val="single"/>
            <w:sz w:val="17"/>
          </w:rPr>
          <w:t xml:space="preserve">https://doi.org/10.1177/1470593107083165</w:t>
        </w:r>
      </w:hyperlink>
    </w:p>
    <w:p>
      <w:pPr>
        <w:pStyle w:val="Heading2"/>
      </w:pPr>
      <w:r>
        <w:t>1.8　PEST 分析（PEST Analysis）</w:t>
      </w:r>
    </w:p>
    <w:p>
      <w:r>
        <w:rPr>
          <w:rFonts w:ascii="黑体" w:hAnsi="黑体" w:eastAsia="黑体"/>
          <w:b/>
          <w:sz w:val="21"/>
        </w:rPr>
        <w:t xml:space="preserve">模型介绍　</w:t>
      </w:r>
      <w:r>
        <w:rPr>
          <w:rFonts w:ascii="宋体" w:hAnsi="宋体" w:eastAsia="宋体"/>
          <w:b w:val="0"/>
          <w:sz w:val="21"/>
        </w:rPr>
        <w:t>PEST 从政治（Political）、经济（Economic）、社会（Social）与技术（Technological）四个维度刻画行业宏观环境。其实质为结构化检查表，用以保证环境论证的完备性与可查证性。</w:t>
      </w:r>
    </w:p>
    <w:p>
      <w:pPr>
        <w:spacing w:after="40"/>
      </w:pPr>
      <w:r>
        <w:rPr>
          <w:rFonts w:ascii="黑体" w:hAnsi="黑体" w:eastAsia="黑体"/>
          <w:b/>
          <w:sz w:val="21"/>
        </w:rPr>
        <w:t xml:space="preserve">模型公式　</w:t>
      </w:r>
      <w:r>
        <w:rPr>
          <w:rFonts w:ascii="宋体" w:hAnsi="宋体" w:eastAsia="宋体"/>
          <w:b w:val="0"/>
          <w:color w:val="606060"/>
          <w:sz w:val="18"/>
        </w:rPr>
        <w:t>定性分析框架，无统一数学表达式；上式仅为加权汇总的参考形式，实务中多用文字判读。</w:t>
      </w:r>
    </w:p>
    <w:p>
      <w:pPr>
        <w:spacing w:before="40" w:after="40" w:line="269" w:lineRule="auto"/>
        <w:jc w:val="center"/>
      </w:pPr>
      <w:r>
        <w:rPr>
          <w:rFonts w:ascii="Times New Roman" w:hAnsi="Times New Roman" w:eastAsia="宋体"/>
          <w:b w:val="0"/>
          <w:color w:val="1A1A1A"/>
          <w:sz w:val="21"/>
        </w:rPr>
        <w:t>E = Σ wk · Pk　（k = Political, Economic, Social, Technological）</w:t>
      </w:r>
    </w:p>
    <w:p>
      <w:pPr>
        <w:spacing w:before="0" w:after="80"/>
        <w:ind w:left="420"/>
      </w:pPr>
      <w:r>
        <w:rPr>
          <w:rFonts w:ascii="宋体" w:hAnsi="宋体" w:eastAsia="宋体"/>
          <w:b w:val="0"/>
          <w:color w:val="404040"/>
          <w:sz w:val="18"/>
        </w:rPr>
        <w:t>式中：Pk 为第 k 个维度的环境评价，wk 为其权重，E 为综合环境评价。</w:t>
      </w:r>
    </w:p>
    <w:p>
      <w:r>
        <w:rPr>
          <w:rFonts w:ascii="黑体" w:hAnsi="黑体" w:eastAsia="黑体"/>
          <w:b/>
          <w:sz w:val="21"/>
        </w:rPr>
        <w:t xml:space="preserve">适用范围　</w:t>
      </w:r>
      <w:r>
        <w:rPr>
          <w:rFonts w:ascii="宋体" w:hAnsi="宋体" w:eastAsia="宋体"/>
          <w:b w:val="0"/>
          <w:sz w:val="21"/>
        </w:rPr>
        <w:t>适用于报告的研究背景与可行性论证，用以说明选题的现实条件。属定性框架，不产出统计结论，不能替代行业数据；每条判断须标明政策名称、年份或数据来源。</w:t>
      </w:r>
    </w:p>
    <w:p>
      <w:r>
        <w:rPr>
          <w:rFonts w:ascii="黑体" w:hAnsi="黑体" w:eastAsia="黑体"/>
          <w:b/>
          <w:sz w:val="21"/>
        </w:rPr>
        <w:t xml:space="preserve">应用实例　</w:t>
      </w:r>
      <w:r>
        <w:rPr>
          <w:rFonts w:ascii="宋体" w:hAnsi="宋体" w:eastAsia="宋体"/>
          <w:b w:val="0"/>
          <w:sz w:val="21"/>
        </w:rPr>
        <w:t>某中式轻食研究按四维列举：政治维度援引 2022 年《轻食营养配餐设计指南》；经济维度引用 2021 年餐饮市场规模 46895 亿元及中式轻食订单量近 5 倍增长；社会维度引用居民健康素养提升；技术维度引用冷链与电商基础设施。</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Kotler, P., Keller, K. L. Marketing Management(15th ed.)[M]. London: Pearson, 2016.</w:t>
      </w:r>
    </w:p>
    <w:p>
      <w:pPr>
        <w:spacing w:after="80"/>
        <w:ind w:left="595"/>
      </w:pPr>
      <w:hyperlink r:id="rId18">
        <w:r>
          <w:rPr>
            <w:rFonts w:ascii="宋体" w:hAnsi="宋体" w:eastAsia="宋体"/>
            <w:color w:val="1155CC"/>
            <w:u w:val="single"/>
            <w:sz w:val="17"/>
          </w:rPr>
          <w:t xml:space="preserve">https://www.pearson.com</w:t>
        </w:r>
      </w:hyperlink>
    </w:p>
    <w:p>
      <w:pPr>
        <w:spacing w:after="0"/>
        <w:ind w:left="420" w:hanging="420"/>
      </w:pPr>
      <w:r>
        <w:rPr>
          <w:rFonts w:ascii="宋体" w:hAnsi="宋体" w:eastAsia="宋体"/>
          <w:b w:val="0"/>
          <w:sz w:val="18"/>
        </w:rPr>
        <w:t>[2] Yüksel, I. Developing a multi-criteria decision making model for PESTEL analysis[J]. International Journal of Business and Management, 2012, 7(24): 52-66.</w:t>
      </w:r>
    </w:p>
    <w:p>
      <w:pPr>
        <w:spacing w:after="80"/>
        <w:ind w:left="595"/>
      </w:pPr>
      <w:hyperlink r:id="rId22">
        <w:r>
          <w:rPr>
            <w:rFonts w:ascii="宋体" w:hAnsi="宋体" w:eastAsia="宋体"/>
            <w:color w:val="1155CC"/>
            <w:u w:val="single"/>
            <w:sz w:val="17"/>
          </w:rPr>
          <w:t xml:space="preserve">https://doi.org/10.5539/ijbm.v7n24p52</w:t>
        </w:r>
      </w:hyperlink>
    </w:p>
    <w:p>
      <w:pPr>
        <w:pStyle w:val="Heading2"/>
      </w:pPr>
      <w:r>
        <w:t>1.9　SWOT 分析（SWOT Analysis）</w:t>
      </w:r>
    </w:p>
    <w:p>
      <w:r>
        <w:rPr>
          <w:rFonts w:ascii="黑体" w:hAnsi="黑体" w:eastAsia="黑体"/>
          <w:b/>
          <w:sz w:val="21"/>
        </w:rPr>
        <w:t xml:space="preserve">模型介绍　</w:t>
      </w:r>
      <w:r>
        <w:rPr>
          <w:rFonts w:ascii="宋体" w:hAnsi="宋体" w:eastAsia="宋体"/>
          <w:b w:val="0"/>
          <w:sz w:val="21"/>
        </w:rPr>
        <w:t>SWOT 将内部条件（优势 Strengths、劣势 Weaknesses）与外部环境（机会 Opportunities、威胁 Threats）并列，并通过两两交叉导出 SO、WO、ST、WT 四类策略。仅罗列四项而不作交叉，不构成完整的 SWOT 分析。</w:t>
      </w:r>
    </w:p>
    <w:p>
      <w:pPr>
        <w:spacing w:after="40"/>
      </w:pPr>
      <w:r>
        <w:rPr>
          <w:rFonts w:ascii="黑体" w:hAnsi="黑体" w:eastAsia="黑体"/>
          <w:b/>
          <w:sz w:val="21"/>
        </w:rPr>
        <w:t xml:space="preserve">模型公式　</w:t>
      </w:r>
      <w:r>
        <w:rPr>
          <w:rFonts w:ascii="宋体" w:hAnsi="宋体" w:eastAsia="宋体"/>
          <w:b w:val="0"/>
          <w:color w:val="606060"/>
          <w:sz w:val="18"/>
        </w:rPr>
        <w:t>定性分析框架，无统一数学表达式；下列为策略生成的结构化表达。</w:t>
      </w:r>
    </w:p>
    <w:p>
      <w:pPr>
        <w:spacing w:before="40" w:after="40" w:line="269" w:lineRule="auto"/>
        <w:jc w:val="center"/>
      </w:pPr>
      <w:r>
        <w:rPr>
          <w:rFonts w:ascii="Times New Roman" w:hAnsi="Times New Roman" w:eastAsia="宋体"/>
          <w:b w:val="0"/>
          <w:color w:val="1A1A1A"/>
          <w:sz w:val="21"/>
        </w:rPr>
        <w:t>SO = S × O，ST = S × T</w:t>
      </w:r>
    </w:p>
    <w:p>
      <w:pPr>
        <w:spacing w:before="40" w:after="40" w:line="269" w:lineRule="auto"/>
        <w:jc w:val="center"/>
      </w:pPr>
      <w:r>
        <w:rPr>
          <w:rFonts w:ascii="Times New Roman" w:hAnsi="Times New Roman" w:eastAsia="宋体"/>
          <w:b w:val="0"/>
          <w:color w:val="1A1A1A"/>
          <w:sz w:val="21"/>
        </w:rPr>
        <w:t>WO = W × O，WT = W × T</w:t>
      </w:r>
    </w:p>
    <w:p>
      <w:pPr>
        <w:spacing w:before="0" w:after="80"/>
        <w:ind w:left="420"/>
      </w:pPr>
      <w:r>
        <w:rPr>
          <w:rFonts w:ascii="宋体" w:hAnsi="宋体" w:eastAsia="宋体"/>
          <w:b w:val="0"/>
          <w:color w:val="404040"/>
          <w:sz w:val="18"/>
        </w:rPr>
        <w:t>式中：S、W、O、T 分别为优势、劣势、机会、威胁的要素集合；运算符 × 表示要素匹配，所得四类策略构成策略矩阵 M = {SO, ST, WO, WT}。</w:t>
      </w:r>
    </w:p>
    <w:p>
      <w:r>
        <w:rPr>
          <w:rFonts w:ascii="黑体" w:hAnsi="黑体" w:eastAsia="黑体"/>
          <w:b/>
          <w:sz w:val="21"/>
        </w:rPr>
        <w:t xml:space="preserve">适用范围　</w:t>
      </w:r>
      <w:r>
        <w:rPr>
          <w:rFonts w:ascii="宋体" w:hAnsi="宋体" w:eastAsia="宋体"/>
          <w:b w:val="0"/>
          <w:sz w:val="21"/>
        </w:rPr>
        <w:t>适用于将分散的研究结论整合为战略方向，常用于报告的建议章节与可行性分析。内部条目应基于调研数据，外部条目应基于行业事实；框架具主观性，须说明条目依据。</w:t>
      </w:r>
    </w:p>
    <w:p>
      <w:r>
        <w:rPr>
          <w:rFonts w:ascii="黑体" w:hAnsi="黑体" w:eastAsia="黑体"/>
          <w:b/>
          <w:sz w:val="21"/>
        </w:rPr>
        <w:t xml:space="preserve">应用实例　</w:t>
      </w:r>
      <w:r>
        <w:rPr>
          <w:rFonts w:ascii="宋体" w:hAnsi="宋体" w:eastAsia="宋体"/>
          <w:b w:val="0"/>
          <w:sz w:val="21"/>
        </w:rPr>
        <w:t>某品牌 SWOT 交叉示例：SO 策略为“以产地工艺优势承接国潮消费趋势，主推节庆礼盒”；ST 策略为“以自有工厂的品质可控性应对价格竞争”；WT 策略为“避开与本地品牌的正面价格竞争，聚焦地域特色细分市场”。</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Weihrich, H. The TOWS matrix—a tool for situational analysis[J]. Long Range Planning, 1982, 15(2): 54-66.</w:t>
      </w:r>
    </w:p>
    <w:p>
      <w:pPr>
        <w:spacing w:after="80"/>
        <w:ind w:left="595"/>
      </w:pPr>
      <w:hyperlink r:id="rId23">
        <w:r>
          <w:rPr>
            <w:rFonts w:ascii="宋体" w:hAnsi="宋体" w:eastAsia="宋体"/>
            <w:color w:val="1155CC"/>
            <w:u w:val="single"/>
            <w:sz w:val="17"/>
          </w:rPr>
          <w:t xml:space="preserve">https://doi.org/10.1016/0024-6301(82)90120-0</w:t>
        </w:r>
      </w:hyperlink>
    </w:p>
    <w:p>
      <w:pPr>
        <w:pStyle w:val="Heading2"/>
      </w:pPr>
      <w:r>
        <w:t>1.10　STP 分析（Segmentation-Targeting-Positioning）</w:t>
      </w:r>
    </w:p>
    <w:p>
      <w:r>
        <w:rPr>
          <w:rFonts w:ascii="黑体" w:hAnsi="黑体" w:eastAsia="黑体"/>
          <w:b/>
          <w:sz w:val="21"/>
        </w:rPr>
        <w:t xml:space="preserve">模型介绍　</w:t>
      </w:r>
      <w:r>
        <w:rPr>
          <w:rFonts w:ascii="宋体" w:hAnsi="宋体" w:eastAsia="宋体"/>
          <w:b w:val="0"/>
          <w:sz w:val="21"/>
        </w:rPr>
        <w:t>STP 由市场细分（Segmentation）、目标市场选择（Targeting）与市场定位（Positioning）三步构成。细分常以聚类或交叉分析结果为据；目标选择需在规模、成长性与可服务性间权衡取舍；定位须以一句话界定差异化位置。</w:t>
      </w:r>
    </w:p>
    <w:p>
      <w:pPr>
        <w:spacing w:after="40"/>
      </w:pPr>
      <w:r>
        <w:rPr>
          <w:rFonts w:ascii="黑体" w:hAnsi="黑体" w:eastAsia="黑体"/>
          <w:b/>
          <w:sz w:val="21"/>
        </w:rPr>
        <w:t xml:space="preserve">模型公式　</w:t>
      </w:r>
      <w:r>
        <w:rPr>
          <w:rFonts w:ascii="宋体" w:hAnsi="宋体" w:eastAsia="宋体"/>
          <w:b w:val="0"/>
          <w:color w:val="606060"/>
          <w:sz w:val="18"/>
        </w:rPr>
        <w:t>策略框架，无统一数学表达式；下列为市场吸引力评价与定位距离的度量方式。</w:t>
      </w:r>
    </w:p>
    <w:p>
      <w:pPr>
        <w:spacing w:before="40" w:after="40" w:line="269" w:lineRule="auto"/>
        <w:jc w:val="center"/>
      </w:pPr>
      <w:r>
        <w:rPr>
          <w:rFonts w:ascii="Times New Roman" w:hAnsi="Times New Roman" w:eastAsia="宋体"/>
          <w:b w:val="0"/>
          <w:color w:val="1A1A1A"/>
          <w:sz w:val="21"/>
        </w:rPr>
        <w:t>Ti = Σ wj · aij</w:t>
      </w:r>
    </w:p>
    <w:p>
      <w:pPr>
        <w:spacing w:before="40" w:after="40" w:line="269" w:lineRule="auto"/>
        <w:jc w:val="center"/>
      </w:pPr>
      <w:r>
        <w:rPr>
          <w:rFonts w:ascii="Times New Roman" w:hAnsi="Times New Roman" w:eastAsia="宋体"/>
          <w:b w:val="0"/>
          <w:color w:val="1A1A1A"/>
          <w:sz w:val="21"/>
        </w:rPr>
        <w:t>d(p, q) = √[ Σ(pk − qk)² ]</w:t>
      </w:r>
    </w:p>
    <w:p>
      <w:pPr>
        <w:spacing w:before="0" w:after="80"/>
        <w:ind w:left="420"/>
      </w:pPr>
      <w:r>
        <w:rPr>
          <w:rFonts w:ascii="宋体" w:hAnsi="宋体" w:eastAsia="宋体"/>
          <w:b w:val="0"/>
          <w:color w:val="404040"/>
          <w:sz w:val="18"/>
        </w:rPr>
        <w:t>式中：Ti 为第 i 个细分市场的吸引力，aij 为其在第 j 项标准上的得分，wj 为标准权重；d(p, q) 为定位点 p 与竞争品牌 q 在感知空间中的距离。</w:t>
      </w:r>
    </w:p>
    <w:p>
      <w:r>
        <w:rPr>
          <w:rFonts w:ascii="黑体" w:hAnsi="黑体" w:eastAsia="黑体"/>
          <w:b/>
          <w:sz w:val="21"/>
        </w:rPr>
        <w:t xml:space="preserve">适用范围　</w:t>
      </w:r>
      <w:r>
        <w:rPr>
          <w:rFonts w:ascii="宋体" w:hAnsi="宋体" w:eastAsia="宋体"/>
          <w:b w:val="0"/>
          <w:sz w:val="21"/>
        </w:rPr>
        <w:t>适用于聚类分析之后的人群取舍与定位决策，是产品、价格、渠道策略的逻辑起点。属策略框架，不作统计检验；目标选择必须作出取舍，定位须能通过“差异—相关—可守”三项检验。</w:t>
      </w:r>
    </w:p>
    <w:p>
      <w:r>
        <w:rPr>
          <w:rFonts w:ascii="黑体" w:hAnsi="黑体" w:eastAsia="黑体"/>
          <w:b/>
          <w:sz w:val="21"/>
        </w:rPr>
        <w:t xml:space="preserve">应用实例　</w:t>
      </w:r>
      <w:r>
        <w:rPr>
          <w:rFonts w:ascii="宋体" w:hAnsi="宋体" w:eastAsia="宋体"/>
          <w:b w:val="0"/>
          <w:sz w:val="21"/>
        </w:rPr>
        <w:t>某研究依聚类得五类人群后，选定规模合计 40% 的两类为核心目标，定位表述为“为 18—30 岁城市青年提供兼顾健康与口感的新式主食”，并据此设定 168—238 元礼盒价格带与内容电商渠道。</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Kotler, P., Keller, K. L. Marketing Management(15th ed.)[M]. London: Pearson, 2016.</w:t>
      </w:r>
    </w:p>
    <w:p>
      <w:pPr>
        <w:spacing w:after="80"/>
        <w:ind w:left="595"/>
      </w:pPr>
      <w:hyperlink r:id="rId18">
        <w:r>
          <w:rPr>
            <w:rFonts w:ascii="宋体" w:hAnsi="宋体" w:eastAsia="宋体"/>
            <w:color w:val="1155CC"/>
            <w:u w:val="single"/>
            <w:sz w:val="17"/>
          </w:rPr>
          <w:t xml:space="preserve">https://www.pearson.com</w:t>
        </w:r>
      </w:hyperlink>
    </w:p>
    <w:p>
      <w:pPr>
        <w:spacing w:after="0"/>
        <w:ind w:left="420" w:hanging="420"/>
      </w:pPr>
      <w:r>
        <w:rPr>
          <w:rFonts w:ascii="宋体" w:hAnsi="宋体" w:eastAsia="宋体"/>
          <w:b w:val="0"/>
          <w:sz w:val="18"/>
        </w:rPr>
        <w:t>[2] Wedel, M., Kamakura, W. A. Market Segmentation: Conceptual and Methodological Foundations(2nd ed.)[M]. Boston: Springer, 2000.</w:t>
      </w:r>
    </w:p>
    <w:p>
      <w:pPr>
        <w:spacing w:after="80"/>
        <w:ind w:left="595"/>
      </w:pPr>
      <w:hyperlink r:id="rId24">
        <w:r>
          <w:rPr>
            <w:rFonts w:ascii="宋体" w:hAnsi="宋体" w:eastAsia="宋体"/>
            <w:color w:val="1155CC"/>
            <w:u w:val="single"/>
            <w:sz w:val="17"/>
          </w:rPr>
          <w:t xml:space="preserve">https://doi.org/10.1007/978-1-4615-4651-1</w:t>
        </w:r>
      </w:hyperlink>
    </w:p>
    <w:p>
      <w:pPr>
        <w:pStyle w:val="Heading2"/>
      </w:pPr>
      <w:r>
        <w:t>1.11　4P 营销组合（4P Marketing Mix）</w:t>
      </w:r>
    </w:p>
    <w:p>
      <w:r>
        <w:rPr>
          <w:rFonts w:ascii="黑体" w:hAnsi="黑体" w:eastAsia="黑体"/>
          <w:b/>
          <w:sz w:val="21"/>
        </w:rPr>
        <w:t xml:space="preserve">模型介绍　</w:t>
      </w:r>
      <w:r>
        <w:rPr>
          <w:rFonts w:ascii="宋体" w:hAnsi="宋体" w:eastAsia="宋体"/>
          <w:b w:val="0"/>
          <w:sz w:val="21"/>
        </w:rPr>
        <w:t>4P 将营销决策归纳为产品（Product）、价格（Price）、渠道（Place）与促销（Promotion）四类要素。其有效性取决于四者与既定定位的一致性：定位、定价、渠道与传播须指向同一目标人群与同一价值主张。</w:t>
      </w:r>
    </w:p>
    <w:p>
      <w:pPr>
        <w:spacing w:after="40"/>
      </w:pPr>
      <w:r>
        <w:rPr>
          <w:rFonts w:ascii="黑体" w:hAnsi="黑体" w:eastAsia="黑体"/>
          <w:b/>
          <w:sz w:val="21"/>
        </w:rPr>
        <w:t xml:space="preserve">模型公式　</w:t>
      </w:r>
      <w:r>
        <w:rPr>
          <w:rFonts w:ascii="宋体" w:hAnsi="宋体" w:eastAsia="宋体"/>
          <w:b w:val="0"/>
          <w:color w:val="606060"/>
          <w:sz w:val="18"/>
        </w:rPr>
        <w:t>策略框架，无统一数学表达式；下列为其结构化表达。</w:t>
      </w:r>
    </w:p>
    <w:p>
      <w:pPr>
        <w:spacing w:before="40" w:after="40" w:line="269" w:lineRule="auto"/>
        <w:jc w:val="center"/>
      </w:pPr>
      <w:r>
        <w:rPr>
          <w:rFonts w:ascii="Times New Roman" w:hAnsi="Times New Roman" w:eastAsia="宋体"/>
          <w:b w:val="0"/>
          <w:color w:val="1A1A1A"/>
          <w:sz w:val="21"/>
        </w:rPr>
        <w:t>MM = (Product, Price, Place, Promotion)</w:t>
      </w:r>
    </w:p>
    <w:p>
      <w:pPr>
        <w:spacing w:before="40" w:after="40" w:line="269" w:lineRule="auto"/>
        <w:jc w:val="center"/>
      </w:pPr>
      <w:r>
        <w:rPr>
          <w:rFonts w:ascii="Times New Roman" w:hAnsi="Times New Roman" w:eastAsia="宋体"/>
          <w:b w:val="0"/>
          <w:color w:val="1A1A1A"/>
          <w:sz w:val="21"/>
        </w:rPr>
        <w:t>约束：四要素共同指向同一定位 P</w:t>
      </w:r>
    </w:p>
    <w:p>
      <w:pPr>
        <w:spacing w:before="0" w:after="80"/>
        <w:ind w:left="420"/>
      </w:pPr>
      <w:r>
        <w:rPr>
          <w:rFonts w:ascii="宋体" w:hAnsi="宋体" w:eastAsia="宋体"/>
          <w:b w:val="0"/>
          <w:color w:val="404040"/>
          <w:sz w:val="18"/>
        </w:rPr>
        <w:t>式中：MM 为营销组合四元组，P 为既定市场定位。</w:t>
      </w:r>
    </w:p>
    <w:p>
      <w:r>
        <w:rPr>
          <w:rFonts w:ascii="黑体" w:hAnsi="黑体" w:eastAsia="黑体"/>
          <w:b/>
          <w:sz w:val="21"/>
        </w:rPr>
        <w:t xml:space="preserve">适用范围　</w:t>
      </w:r>
      <w:r>
        <w:rPr>
          <w:rFonts w:ascii="宋体" w:hAnsi="宋体" w:eastAsia="宋体"/>
          <w:b w:val="0"/>
          <w:sz w:val="21"/>
        </w:rPr>
        <w:t>适用于报告建议章节的结构化表达，将研究结论转译为可执行动作。每条建议应有数据来源，价格须给出具体区间，渠道须按人群区分，传播须对接受访者关注点。属策略框架，不作数据分析。</w:t>
      </w:r>
    </w:p>
    <w:p>
      <w:r>
        <w:rPr>
          <w:rFonts w:ascii="黑体" w:hAnsi="黑体" w:eastAsia="黑体"/>
          <w:b/>
          <w:sz w:val="21"/>
        </w:rPr>
        <w:t xml:space="preserve">应用实例　</w:t>
      </w:r>
      <w:r>
        <w:rPr>
          <w:rFonts w:ascii="宋体" w:hAnsi="宋体" w:eastAsia="宋体"/>
          <w:b w:val="0"/>
          <w:sz w:val="21"/>
        </w:rPr>
        <w:t>某咖啡品牌依调研得满意度四维均分：种类 3.6、口味 3.2、性价比 2.9、宣传 2.5，据此在 4P 中优先强化传播端（内容种草与节点营销），并在产品端补齐新兴品类，形成“健康化＋差异化”的组合。</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OpenStax. Principles of Marketing[M/OL]. Houston: Rice University, 2023.</w:t>
      </w:r>
    </w:p>
    <w:p>
      <w:pPr>
        <w:spacing w:after="80"/>
        <w:ind w:left="595"/>
      </w:pPr>
      <w:hyperlink r:id="rId19">
        <w:r>
          <w:rPr>
            <w:rFonts w:ascii="宋体" w:hAnsi="宋体" w:eastAsia="宋体"/>
            <w:color w:val="1155CC"/>
            <w:u w:val="single"/>
            <w:sz w:val="17"/>
          </w:rPr>
          <w:t xml:space="preserve">https://openstax.org/details/books/principles-marketing</w:t>
        </w:r>
      </w:hyperlink>
    </w:p>
    <w:p>
      <w:pPr>
        <w:spacing w:after="0"/>
        <w:ind w:left="420" w:hanging="420"/>
      </w:pPr>
      <w:r>
        <w:rPr>
          <w:rFonts w:ascii="宋体" w:hAnsi="宋体" w:eastAsia="宋体"/>
          <w:b w:val="0"/>
          <w:sz w:val="18"/>
        </w:rPr>
        <w:t>[2] Kotler, P., Keller, K. L. Marketing Management(15th ed.)[M]. London: Pearson, 2016.</w:t>
      </w:r>
    </w:p>
    <w:p>
      <w:pPr>
        <w:spacing w:after="80"/>
        <w:ind w:left="595"/>
      </w:pPr>
      <w:hyperlink r:id="rId18">
        <w:r>
          <w:rPr>
            <w:rFonts w:ascii="宋体" w:hAnsi="宋体" w:eastAsia="宋体"/>
            <w:color w:val="1155CC"/>
            <w:u w:val="single"/>
            <w:sz w:val="17"/>
          </w:rPr>
          <w:t xml:space="preserve">https://www.pearson.com</w:t>
        </w:r>
      </w:hyperlink>
    </w:p>
    <w:p>
      <w:r>
        <w:br w:type="page"/>
      </w:r>
    </w:p>
    <w:p>
      <w:pPr>
        <w:spacing w:before="40" w:after="120"/>
        <w:jc w:val="center"/>
      </w:pPr>
      <w:r>
        <w:rPr>
          <w:rFonts w:ascii="黑体" w:hAnsi="黑体" w:eastAsia="黑体"/>
          <w:b/>
          <w:sz w:val="20"/>
        </w:rPr>
        <w:t>表 1-1  第一章各模型对比</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14"/>
        <w:gridCol w:w="1814"/>
        <w:gridCol w:w="1814"/>
        <w:gridCol w:w="1814"/>
        <w:gridCol w:w="1814"/>
      </w:tblGrid>
      <w:tr>
        <w:trPr>
          <w:tblHeader w:val="true"/>
        </w:trPr>
        <w:tc>
          <w:tcPr>
            <w:tcW w:type="dxa" w:w="1644"/>
            <w:shd w:val="clear" w:color="auto" w:fill="1F3B63"/>
          </w:tcPr>
          <w:p>
            <w:pPr>
              <w:spacing w:before="40" w:after="40"/>
              <w:jc w:val="center"/>
            </w:pPr>
            <w:r>
              <w:rPr>
                <w:rFonts w:ascii="黑体" w:hAnsi="黑体" w:eastAsia="黑体"/>
                <w:b/>
                <w:color w:val="FFFFFF"/>
                <w:sz w:val="17"/>
              </w:rPr>
              <w:t>模型</w:t>
            </w:r>
          </w:p>
        </w:tc>
        <w:tc>
          <w:tcPr>
            <w:tcW w:type="dxa" w:w="1984"/>
            <w:shd w:val="clear" w:color="auto" w:fill="1F3B63"/>
          </w:tcPr>
          <w:p>
            <w:pPr>
              <w:spacing w:before="40" w:after="40"/>
              <w:jc w:val="center"/>
            </w:pPr>
            <w:r>
              <w:rPr>
                <w:rFonts w:ascii="黑体" w:hAnsi="黑体" w:eastAsia="黑体"/>
                <w:b/>
                <w:color w:val="FFFFFF"/>
                <w:sz w:val="17"/>
              </w:rPr>
              <w:t>核心用途</w:t>
            </w:r>
          </w:p>
        </w:tc>
        <w:tc>
          <w:tcPr>
            <w:tcW w:type="dxa" w:w="2041"/>
            <w:shd w:val="clear" w:color="auto" w:fill="1F3B63"/>
          </w:tcPr>
          <w:p>
            <w:pPr>
              <w:spacing w:before="40" w:after="40"/>
              <w:jc w:val="center"/>
            </w:pPr>
            <w:r>
              <w:rPr>
                <w:rFonts w:ascii="黑体" w:hAnsi="黑体" w:eastAsia="黑体"/>
                <w:b/>
                <w:color w:val="FFFFFF"/>
                <w:sz w:val="17"/>
              </w:rPr>
              <w:t>输入数据要求</w:t>
            </w:r>
          </w:p>
        </w:tc>
        <w:tc>
          <w:tcPr>
            <w:tcW w:type="dxa" w:w="2154"/>
            <w:shd w:val="clear" w:color="auto" w:fill="1F3B63"/>
          </w:tcPr>
          <w:p>
            <w:pPr>
              <w:spacing w:before="40" w:after="40"/>
              <w:jc w:val="center"/>
            </w:pPr>
            <w:r>
              <w:rPr>
                <w:rFonts w:ascii="黑体" w:hAnsi="黑体" w:eastAsia="黑体"/>
                <w:b/>
                <w:color w:val="FFFFFF"/>
                <w:sz w:val="17"/>
              </w:rPr>
              <w:t>主要输出</w:t>
            </w:r>
          </w:p>
        </w:tc>
        <w:tc>
          <w:tcPr>
            <w:tcW w:type="dxa" w:w="1247"/>
            <w:shd w:val="clear" w:color="auto" w:fill="1F3B63"/>
          </w:tcPr>
          <w:p>
            <w:pPr>
              <w:spacing w:before="40" w:after="40"/>
              <w:jc w:val="center"/>
            </w:pPr>
            <w:r>
              <w:rPr>
                <w:rFonts w:ascii="黑体" w:hAnsi="黑体" w:eastAsia="黑体"/>
                <w:b/>
                <w:color w:val="FFFFFF"/>
                <w:sz w:val="17"/>
              </w:rPr>
              <w:t>方法属性</w:t>
            </w:r>
          </w:p>
        </w:tc>
      </w:tr>
      <w:tr>
        <w:tc>
          <w:tcPr>
            <w:tcW w:type="dxa" w:w="1644"/>
          </w:tcPr>
          <w:p>
            <w:pPr>
              <w:spacing w:before="30" w:after="30" w:line="264" w:lineRule="auto"/>
              <w:jc w:val="left"/>
            </w:pPr>
            <w:r>
              <w:rPr>
                <w:rFonts w:ascii="宋体" w:hAnsi="宋体" w:eastAsia="宋体"/>
                <w:b/>
                <w:sz w:val="17"/>
              </w:rPr>
              <w:t>描述性统计</w:t>
            </w:r>
          </w:p>
        </w:tc>
        <w:tc>
          <w:tcPr>
            <w:tcW w:type="dxa" w:w="1984"/>
          </w:tcPr>
          <w:p>
            <w:pPr>
              <w:spacing w:before="30" w:after="30" w:line="264" w:lineRule="auto"/>
            </w:pPr>
            <w:r>
              <w:rPr>
                <w:rFonts w:ascii="宋体" w:hAnsi="宋体" w:eastAsia="宋体"/>
                <w:b w:val="0"/>
                <w:sz w:val="17"/>
              </w:rPr>
              <w:t>刻画样本结构与题项水平</w:t>
            </w:r>
          </w:p>
        </w:tc>
        <w:tc>
          <w:tcPr>
            <w:tcW w:type="dxa" w:w="2041"/>
          </w:tcPr>
          <w:p>
            <w:pPr>
              <w:spacing w:before="30" w:after="30" w:line="264" w:lineRule="auto"/>
            </w:pPr>
            <w:r>
              <w:rPr>
                <w:rFonts w:ascii="宋体" w:hAnsi="宋体" w:eastAsia="宋体"/>
                <w:b w:val="0"/>
                <w:sz w:val="17"/>
              </w:rPr>
              <w:t>单变量，分类或连续</w:t>
            </w:r>
          </w:p>
        </w:tc>
        <w:tc>
          <w:tcPr>
            <w:tcW w:type="dxa" w:w="2154"/>
          </w:tcPr>
          <w:p>
            <w:pPr>
              <w:spacing w:before="30" w:after="30" w:line="264" w:lineRule="auto"/>
            </w:pPr>
            <w:r>
              <w:rPr>
                <w:rFonts w:ascii="宋体" w:hAnsi="宋体" w:eastAsia="宋体"/>
                <w:b w:val="0"/>
                <w:sz w:val="17"/>
              </w:rPr>
              <w:t>均值、标准差、频数、百分比</w:t>
            </w:r>
          </w:p>
        </w:tc>
        <w:tc>
          <w:tcPr>
            <w:tcW w:type="dxa" w:w="1247"/>
          </w:tcPr>
          <w:p>
            <w:pPr>
              <w:spacing w:before="30" w:after="30" w:line="264" w:lineRule="auto"/>
            </w:pPr>
            <w:r>
              <w:rPr>
                <w:rFonts w:ascii="宋体" w:hAnsi="宋体" w:eastAsia="宋体"/>
                <w:b w:val="0"/>
                <w:sz w:val="17"/>
              </w:rPr>
              <w:t>统计描述</w:t>
            </w:r>
          </w:p>
        </w:tc>
      </w:tr>
      <w:tr>
        <w:tc>
          <w:tcPr>
            <w:tcW w:type="dxa" w:w="1644"/>
            <w:shd w:val="clear" w:color="auto" w:fill="F2F5FA"/>
          </w:tcPr>
          <w:p>
            <w:pPr>
              <w:spacing w:before="30" w:after="30" w:line="264" w:lineRule="auto"/>
              <w:jc w:val="left"/>
            </w:pPr>
            <w:r>
              <w:rPr>
                <w:rFonts w:ascii="宋体" w:hAnsi="宋体" w:eastAsia="宋体"/>
                <w:b/>
                <w:sz w:val="17"/>
              </w:rPr>
              <w:t>李克特量表</w:t>
            </w:r>
          </w:p>
        </w:tc>
        <w:tc>
          <w:tcPr>
            <w:tcW w:type="dxa" w:w="1984"/>
            <w:shd w:val="clear" w:color="auto" w:fill="F2F5FA"/>
          </w:tcPr>
          <w:p>
            <w:pPr>
              <w:spacing w:before="30" w:after="30" w:line="264" w:lineRule="auto"/>
            </w:pPr>
            <w:r>
              <w:rPr>
                <w:rFonts w:ascii="宋体" w:hAnsi="宋体" w:eastAsia="宋体"/>
                <w:b w:val="0"/>
                <w:sz w:val="17"/>
              </w:rPr>
              <w:t>将潜在构念操作化</w:t>
            </w:r>
          </w:p>
        </w:tc>
        <w:tc>
          <w:tcPr>
            <w:tcW w:type="dxa" w:w="2041"/>
            <w:shd w:val="clear" w:color="auto" w:fill="F2F5FA"/>
          </w:tcPr>
          <w:p>
            <w:pPr>
              <w:spacing w:before="30" w:after="30" w:line="264" w:lineRule="auto"/>
            </w:pPr>
            <w:r>
              <w:rPr>
                <w:rFonts w:ascii="宋体" w:hAnsi="宋体" w:eastAsia="宋体"/>
                <w:b w:val="0"/>
                <w:sz w:val="17"/>
              </w:rPr>
              <w:t>多题项、有序等级</w:t>
            </w:r>
          </w:p>
        </w:tc>
        <w:tc>
          <w:tcPr>
            <w:tcW w:type="dxa" w:w="2154"/>
            <w:shd w:val="clear" w:color="auto" w:fill="F2F5FA"/>
          </w:tcPr>
          <w:p>
            <w:pPr>
              <w:spacing w:before="30" w:after="30" w:line="264" w:lineRule="auto"/>
            </w:pPr>
            <w:r>
              <w:rPr>
                <w:rFonts w:ascii="宋体" w:hAnsi="宋体" w:eastAsia="宋体"/>
                <w:b w:val="0"/>
                <w:sz w:val="17"/>
              </w:rPr>
              <w:t>维度得分</w:t>
            </w:r>
          </w:p>
        </w:tc>
        <w:tc>
          <w:tcPr>
            <w:tcW w:type="dxa" w:w="1247"/>
            <w:shd w:val="clear" w:color="auto" w:fill="F2F5FA"/>
          </w:tcPr>
          <w:p>
            <w:pPr>
              <w:spacing w:before="30" w:after="30" w:line="264" w:lineRule="auto"/>
            </w:pPr>
            <w:r>
              <w:rPr>
                <w:rFonts w:ascii="宋体" w:hAnsi="宋体" w:eastAsia="宋体"/>
                <w:b w:val="0"/>
                <w:sz w:val="17"/>
              </w:rPr>
              <w:t>测量工具</w:t>
            </w:r>
          </w:p>
        </w:tc>
      </w:tr>
      <w:tr>
        <w:tc>
          <w:tcPr>
            <w:tcW w:type="dxa" w:w="1644"/>
          </w:tcPr>
          <w:p>
            <w:pPr>
              <w:spacing w:before="30" w:after="30" w:line="264" w:lineRule="auto"/>
              <w:jc w:val="left"/>
            </w:pPr>
            <w:r>
              <w:rPr>
                <w:rFonts w:ascii="宋体" w:hAnsi="宋体" w:eastAsia="宋体"/>
                <w:b/>
                <w:sz w:val="17"/>
              </w:rPr>
              <w:t>Cronbach's α</w:t>
            </w:r>
          </w:p>
        </w:tc>
        <w:tc>
          <w:tcPr>
            <w:tcW w:type="dxa" w:w="1984"/>
          </w:tcPr>
          <w:p>
            <w:pPr>
              <w:spacing w:before="30" w:after="30" w:line="264" w:lineRule="auto"/>
            </w:pPr>
            <w:r>
              <w:rPr>
                <w:rFonts w:ascii="宋体" w:hAnsi="宋体" w:eastAsia="宋体"/>
                <w:b w:val="0"/>
                <w:sz w:val="17"/>
              </w:rPr>
              <w:t>评价量表内部一致性</w:t>
            </w:r>
          </w:p>
        </w:tc>
        <w:tc>
          <w:tcPr>
            <w:tcW w:type="dxa" w:w="2041"/>
          </w:tcPr>
          <w:p>
            <w:pPr>
              <w:spacing w:before="30" w:after="30" w:line="264" w:lineRule="auto"/>
            </w:pPr>
            <w:r>
              <w:rPr>
                <w:rFonts w:ascii="宋体" w:hAnsi="宋体" w:eastAsia="宋体"/>
                <w:b w:val="0"/>
                <w:sz w:val="17"/>
              </w:rPr>
              <w:t>多题项、同维度</w:t>
            </w:r>
          </w:p>
        </w:tc>
        <w:tc>
          <w:tcPr>
            <w:tcW w:type="dxa" w:w="2154"/>
          </w:tcPr>
          <w:p>
            <w:pPr>
              <w:spacing w:before="30" w:after="30" w:line="264" w:lineRule="auto"/>
            </w:pPr>
            <w:r>
              <w:rPr>
                <w:rFonts w:ascii="宋体" w:hAnsi="宋体" w:eastAsia="宋体"/>
                <w:b w:val="0"/>
                <w:sz w:val="17"/>
              </w:rPr>
              <w:t>α 系数、项—总计相关</w:t>
            </w:r>
          </w:p>
        </w:tc>
        <w:tc>
          <w:tcPr>
            <w:tcW w:type="dxa" w:w="1247"/>
          </w:tcPr>
          <w:p>
            <w:pPr>
              <w:spacing w:before="30" w:after="30" w:line="264" w:lineRule="auto"/>
            </w:pPr>
            <w:r>
              <w:rPr>
                <w:rFonts w:ascii="宋体" w:hAnsi="宋体" w:eastAsia="宋体"/>
                <w:b w:val="0"/>
                <w:sz w:val="17"/>
              </w:rPr>
              <w:t>信度检验</w:t>
            </w:r>
          </w:p>
        </w:tc>
      </w:tr>
      <w:tr>
        <w:tc>
          <w:tcPr>
            <w:tcW w:type="dxa" w:w="1644"/>
            <w:shd w:val="clear" w:color="auto" w:fill="F2F5FA"/>
          </w:tcPr>
          <w:p>
            <w:pPr>
              <w:spacing w:before="30" w:after="30" w:line="264" w:lineRule="auto"/>
              <w:jc w:val="left"/>
            </w:pPr>
            <w:r>
              <w:rPr>
                <w:rFonts w:ascii="宋体" w:hAnsi="宋体" w:eastAsia="宋体"/>
                <w:b/>
                <w:sz w:val="17"/>
              </w:rPr>
              <w:t>百度指数</w:t>
            </w:r>
          </w:p>
        </w:tc>
        <w:tc>
          <w:tcPr>
            <w:tcW w:type="dxa" w:w="1984"/>
            <w:shd w:val="clear" w:color="auto" w:fill="F2F5FA"/>
          </w:tcPr>
          <w:p>
            <w:pPr>
              <w:spacing w:before="30" w:after="30" w:line="264" w:lineRule="auto"/>
            </w:pPr>
            <w:r>
              <w:rPr>
                <w:rFonts w:ascii="宋体" w:hAnsi="宋体" w:eastAsia="宋体"/>
                <w:b w:val="0"/>
                <w:sz w:val="17"/>
              </w:rPr>
              <w:t>度量网络关注度</w:t>
            </w:r>
          </w:p>
        </w:tc>
        <w:tc>
          <w:tcPr>
            <w:tcW w:type="dxa" w:w="2041"/>
            <w:shd w:val="clear" w:color="auto" w:fill="F2F5FA"/>
          </w:tcPr>
          <w:p>
            <w:pPr>
              <w:spacing w:before="30" w:after="30" w:line="264" w:lineRule="auto"/>
            </w:pPr>
            <w:r>
              <w:rPr>
                <w:rFonts w:ascii="宋体" w:hAnsi="宋体" w:eastAsia="宋体"/>
                <w:b w:val="0"/>
                <w:sz w:val="17"/>
              </w:rPr>
              <w:t>关键词</w:t>
            </w:r>
          </w:p>
        </w:tc>
        <w:tc>
          <w:tcPr>
            <w:tcW w:type="dxa" w:w="2154"/>
            <w:shd w:val="clear" w:color="auto" w:fill="F2F5FA"/>
          </w:tcPr>
          <w:p>
            <w:pPr>
              <w:spacing w:before="30" w:after="30" w:line="264" w:lineRule="auto"/>
            </w:pPr>
            <w:r>
              <w:rPr>
                <w:rFonts w:ascii="宋体" w:hAnsi="宋体" w:eastAsia="宋体"/>
                <w:b w:val="0"/>
                <w:sz w:val="17"/>
              </w:rPr>
              <w:t>指数曲线、地域与人群分布</w:t>
            </w:r>
          </w:p>
        </w:tc>
        <w:tc>
          <w:tcPr>
            <w:tcW w:type="dxa" w:w="1247"/>
            <w:shd w:val="clear" w:color="auto" w:fill="F2F5FA"/>
          </w:tcPr>
          <w:p>
            <w:pPr>
              <w:spacing w:before="30" w:after="30" w:line="264" w:lineRule="auto"/>
            </w:pPr>
            <w:r>
              <w:rPr>
                <w:rFonts w:ascii="宋体" w:hAnsi="宋体" w:eastAsia="宋体"/>
                <w:b w:val="0"/>
                <w:sz w:val="17"/>
              </w:rPr>
              <w:t>二手数据</w:t>
            </w:r>
          </w:p>
        </w:tc>
      </w:tr>
      <w:tr>
        <w:tc>
          <w:tcPr>
            <w:tcW w:type="dxa" w:w="1644"/>
          </w:tcPr>
          <w:p>
            <w:pPr>
              <w:spacing w:before="30" w:after="30" w:line="264" w:lineRule="auto"/>
              <w:jc w:val="left"/>
            </w:pPr>
            <w:r>
              <w:rPr>
                <w:rFonts w:ascii="宋体" w:hAnsi="宋体" w:eastAsia="宋体"/>
                <w:b/>
                <w:sz w:val="17"/>
              </w:rPr>
              <w:t>词频与词云</w:t>
            </w:r>
          </w:p>
        </w:tc>
        <w:tc>
          <w:tcPr>
            <w:tcW w:type="dxa" w:w="1984"/>
          </w:tcPr>
          <w:p>
            <w:pPr>
              <w:spacing w:before="30" w:after="30" w:line="264" w:lineRule="auto"/>
            </w:pPr>
            <w:r>
              <w:rPr>
                <w:rFonts w:ascii="宋体" w:hAnsi="宋体" w:eastAsia="宋体"/>
                <w:b w:val="0"/>
                <w:sz w:val="17"/>
              </w:rPr>
              <w:t>文本主题初筛</w:t>
            </w:r>
          </w:p>
        </w:tc>
        <w:tc>
          <w:tcPr>
            <w:tcW w:type="dxa" w:w="2041"/>
          </w:tcPr>
          <w:p>
            <w:pPr>
              <w:spacing w:before="30" w:after="30" w:line="264" w:lineRule="auto"/>
            </w:pPr>
            <w:r>
              <w:rPr>
                <w:rFonts w:ascii="宋体" w:hAnsi="宋体" w:eastAsia="宋体"/>
                <w:b w:val="0"/>
                <w:sz w:val="17"/>
              </w:rPr>
              <w:t>文本语料</w:t>
            </w:r>
          </w:p>
        </w:tc>
        <w:tc>
          <w:tcPr>
            <w:tcW w:type="dxa" w:w="2154"/>
          </w:tcPr>
          <w:p>
            <w:pPr>
              <w:spacing w:before="30" w:after="30" w:line="264" w:lineRule="auto"/>
            </w:pPr>
            <w:r>
              <w:rPr>
                <w:rFonts w:ascii="宋体" w:hAnsi="宋体" w:eastAsia="宋体"/>
                <w:b w:val="0"/>
                <w:sz w:val="17"/>
              </w:rPr>
              <w:t>高频词表、词云</w:t>
            </w:r>
          </w:p>
        </w:tc>
        <w:tc>
          <w:tcPr>
            <w:tcW w:type="dxa" w:w="1247"/>
          </w:tcPr>
          <w:p>
            <w:pPr>
              <w:spacing w:before="30" w:after="30" w:line="264" w:lineRule="auto"/>
            </w:pPr>
            <w:r>
              <w:rPr>
                <w:rFonts w:ascii="宋体" w:hAnsi="宋体" w:eastAsia="宋体"/>
                <w:b w:val="0"/>
                <w:sz w:val="17"/>
              </w:rPr>
              <w:t>文本描述</w:t>
            </w:r>
          </w:p>
        </w:tc>
      </w:tr>
      <w:tr>
        <w:tc>
          <w:tcPr>
            <w:tcW w:type="dxa" w:w="1644"/>
            <w:shd w:val="clear" w:color="auto" w:fill="F2F5FA"/>
          </w:tcPr>
          <w:p>
            <w:pPr>
              <w:spacing w:before="30" w:after="30" w:line="264" w:lineRule="auto"/>
              <w:jc w:val="left"/>
            </w:pPr>
            <w:r>
              <w:rPr>
                <w:rFonts w:ascii="宋体" w:hAnsi="宋体" w:eastAsia="宋体"/>
                <w:b/>
                <w:sz w:val="17"/>
              </w:rPr>
              <w:t>AISAS</w:t>
            </w:r>
          </w:p>
        </w:tc>
        <w:tc>
          <w:tcPr>
            <w:tcW w:type="dxa" w:w="1984"/>
            <w:shd w:val="clear" w:color="auto" w:fill="F2F5FA"/>
          </w:tcPr>
          <w:p>
            <w:pPr>
              <w:spacing w:before="30" w:after="30" w:line="264" w:lineRule="auto"/>
            </w:pPr>
            <w:r>
              <w:rPr>
                <w:rFonts w:ascii="宋体" w:hAnsi="宋体" w:eastAsia="宋体"/>
                <w:b w:val="0"/>
                <w:sz w:val="17"/>
              </w:rPr>
              <w:t>刻画购买链路</w:t>
            </w:r>
          </w:p>
        </w:tc>
        <w:tc>
          <w:tcPr>
            <w:tcW w:type="dxa" w:w="2041"/>
            <w:shd w:val="clear" w:color="auto" w:fill="F2F5FA"/>
          </w:tcPr>
          <w:p>
            <w:pPr>
              <w:spacing w:before="30" w:after="30" w:line="264" w:lineRule="auto"/>
            </w:pPr>
            <w:r>
              <w:rPr>
                <w:rFonts w:ascii="宋体" w:hAnsi="宋体" w:eastAsia="宋体"/>
                <w:b w:val="0"/>
                <w:sz w:val="17"/>
              </w:rPr>
              <w:t>分阶段问卷题项</w:t>
            </w:r>
          </w:p>
        </w:tc>
        <w:tc>
          <w:tcPr>
            <w:tcW w:type="dxa" w:w="2154"/>
            <w:shd w:val="clear" w:color="auto" w:fill="F2F5FA"/>
          </w:tcPr>
          <w:p>
            <w:pPr>
              <w:spacing w:before="30" w:after="30" w:line="264" w:lineRule="auto"/>
            </w:pPr>
            <w:r>
              <w:rPr>
                <w:rFonts w:ascii="宋体" w:hAnsi="宋体" w:eastAsia="宋体"/>
                <w:b w:val="0"/>
                <w:sz w:val="17"/>
              </w:rPr>
              <w:t>各阶段转化率</w:t>
            </w:r>
          </w:p>
        </w:tc>
        <w:tc>
          <w:tcPr>
            <w:tcW w:type="dxa" w:w="1247"/>
            <w:shd w:val="clear" w:color="auto" w:fill="F2F5FA"/>
          </w:tcPr>
          <w:p>
            <w:pPr>
              <w:spacing w:before="30" w:after="30" w:line="264" w:lineRule="auto"/>
            </w:pPr>
            <w:r>
              <w:rPr>
                <w:rFonts w:ascii="宋体" w:hAnsi="宋体" w:eastAsia="宋体"/>
                <w:b w:val="0"/>
                <w:sz w:val="17"/>
              </w:rPr>
              <w:t>行为框架</w:t>
            </w:r>
          </w:p>
        </w:tc>
      </w:tr>
      <w:tr>
        <w:tc>
          <w:tcPr>
            <w:tcW w:type="dxa" w:w="1644"/>
          </w:tcPr>
          <w:p>
            <w:pPr>
              <w:spacing w:before="30" w:after="30" w:line="264" w:lineRule="auto"/>
              <w:jc w:val="left"/>
            </w:pPr>
            <w:r>
              <w:rPr>
                <w:rFonts w:ascii="宋体" w:hAnsi="宋体" w:eastAsia="宋体"/>
                <w:b/>
                <w:sz w:val="17"/>
              </w:rPr>
              <w:t>Sheth-Newman-Gross</w:t>
            </w:r>
          </w:p>
        </w:tc>
        <w:tc>
          <w:tcPr>
            <w:tcW w:type="dxa" w:w="1984"/>
          </w:tcPr>
          <w:p>
            <w:pPr>
              <w:spacing w:before="30" w:after="30" w:line="264" w:lineRule="auto"/>
            </w:pPr>
            <w:r>
              <w:rPr>
                <w:rFonts w:ascii="宋体" w:hAnsi="宋体" w:eastAsia="宋体"/>
                <w:b w:val="0"/>
                <w:sz w:val="17"/>
              </w:rPr>
              <w:t>识别消费价值结构</w:t>
            </w:r>
          </w:p>
        </w:tc>
        <w:tc>
          <w:tcPr>
            <w:tcW w:type="dxa" w:w="2041"/>
          </w:tcPr>
          <w:p>
            <w:pPr>
              <w:spacing w:before="30" w:after="30" w:line="264" w:lineRule="auto"/>
            </w:pPr>
            <w:r>
              <w:rPr>
                <w:rFonts w:ascii="宋体" w:hAnsi="宋体" w:eastAsia="宋体"/>
                <w:b w:val="0"/>
                <w:sz w:val="17"/>
              </w:rPr>
              <w:t>五类价值量表</w:t>
            </w:r>
          </w:p>
        </w:tc>
        <w:tc>
          <w:tcPr>
            <w:tcW w:type="dxa" w:w="2154"/>
          </w:tcPr>
          <w:p>
            <w:pPr>
              <w:spacing w:before="30" w:after="30" w:line="264" w:lineRule="auto"/>
            </w:pPr>
            <w:r>
              <w:rPr>
                <w:rFonts w:ascii="宋体" w:hAnsi="宋体" w:eastAsia="宋体"/>
                <w:b w:val="0"/>
                <w:sz w:val="17"/>
              </w:rPr>
              <w:t>价值维度得分排序</w:t>
            </w:r>
          </w:p>
        </w:tc>
        <w:tc>
          <w:tcPr>
            <w:tcW w:type="dxa" w:w="1247"/>
          </w:tcPr>
          <w:p>
            <w:pPr>
              <w:spacing w:before="30" w:after="30" w:line="264" w:lineRule="auto"/>
            </w:pPr>
            <w:r>
              <w:rPr>
                <w:rFonts w:ascii="宋体" w:hAnsi="宋体" w:eastAsia="宋体"/>
                <w:b w:val="0"/>
                <w:sz w:val="17"/>
              </w:rPr>
              <w:t>理论框架</w:t>
            </w:r>
          </w:p>
        </w:tc>
      </w:tr>
      <w:tr>
        <w:tc>
          <w:tcPr>
            <w:tcW w:type="dxa" w:w="1644"/>
            <w:shd w:val="clear" w:color="auto" w:fill="F2F5FA"/>
          </w:tcPr>
          <w:p>
            <w:pPr>
              <w:spacing w:before="30" w:after="30" w:line="264" w:lineRule="auto"/>
              <w:jc w:val="left"/>
            </w:pPr>
            <w:r>
              <w:rPr>
                <w:rFonts w:ascii="宋体" w:hAnsi="宋体" w:eastAsia="宋体"/>
                <w:b/>
                <w:sz w:val="17"/>
              </w:rPr>
              <w:t>PEST</w:t>
            </w:r>
          </w:p>
        </w:tc>
        <w:tc>
          <w:tcPr>
            <w:tcW w:type="dxa" w:w="1984"/>
            <w:shd w:val="clear" w:color="auto" w:fill="F2F5FA"/>
          </w:tcPr>
          <w:p>
            <w:pPr>
              <w:spacing w:before="30" w:after="30" w:line="264" w:lineRule="auto"/>
            </w:pPr>
            <w:r>
              <w:rPr>
                <w:rFonts w:ascii="宋体" w:hAnsi="宋体" w:eastAsia="宋体"/>
                <w:b w:val="0"/>
                <w:sz w:val="17"/>
              </w:rPr>
              <w:t>刻画宏观环境</w:t>
            </w:r>
          </w:p>
        </w:tc>
        <w:tc>
          <w:tcPr>
            <w:tcW w:type="dxa" w:w="2041"/>
            <w:shd w:val="clear" w:color="auto" w:fill="F2F5FA"/>
          </w:tcPr>
          <w:p>
            <w:pPr>
              <w:spacing w:before="30" w:after="30" w:line="264" w:lineRule="auto"/>
            </w:pPr>
            <w:r>
              <w:rPr>
                <w:rFonts w:ascii="宋体" w:hAnsi="宋体" w:eastAsia="宋体"/>
                <w:b w:val="0"/>
                <w:sz w:val="17"/>
              </w:rPr>
              <w:t>政策、行业与统计数据</w:t>
            </w:r>
          </w:p>
        </w:tc>
        <w:tc>
          <w:tcPr>
            <w:tcW w:type="dxa" w:w="2154"/>
            <w:shd w:val="clear" w:color="auto" w:fill="F2F5FA"/>
          </w:tcPr>
          <w:p>
            <w:pPr>
              <w:spacing w:before="30" w:after="30" w:line="264" w:lineRule="auto"/>
            </w:pPr>
            <w:r>
              <w:rPr>
                <w:rFonts w:ascii="宋体" w:hAnsi="宋体" w:eastAsia="宋体"/>
                <w:b w:val="0"/>
                <w:sz w:val="17"/>
              </w:rPr>
              <w:t>四维环境判断</w:t>
            </w:r>
          </w:p>
        </w:tc>
        <w:tc>
          <w:tcPr>
            <w:tcW w:type="dxa" w:w="1247"/>
            <w:shd w:val="clear" w:color="auto" w:fill="F2F5FA"/>
          </w:tcPr>
          <w:p>
            <w:pPr>
              <w:spacing w:before="30" w:after="30" w:line="264" w:lineRule="auto"/>
            </w:pPr>
            <w:r>
              <w:rPr>
                <w:rFonts w:ascii="宋体" w:hAnsi="宋体" w:eastAsia="宋体"/>
                <w:b w:val="0"/>
                <w:sz w:val="17"/>
              </w:rPr>
              <w:t>定性框架</w:t>
            </w:r>
          </w:p>
        </w:tc>
      </w:tr>
      <w:tr>
        <w:tc>
          <w:tcPr>
            <w:tcW w:type="dxa" w:w="1644"/>
          </w:tcPr>
          <w:p>
            <w:pPr>
              <w:spacing w:before="30" w:after="30" w:line="264" w:lineRule="auto"/>
              <w:jc w:val="left"/>
            </w:pPr>
            <w:r>
              <w:rPr>
                <w:rFonts w:ascii="宋体" w:hAnsi="宋体" w:eastAsia="宋体"/>
                <w:b/>
                <w:sz w:val="17"/>
              </w:rPr>
              <w:t>SWOT</w:t>
            </w:r>
          </w:p>
        </w:tc>
        <w:tc>
          <w:tcPr>
            <w:tcW w:type="dxa" w:w="1984"/>
          </w:tcPr>
          <w:p>
            <w:pPr>
              <w:spacing w:before="30" w:after="30" w:line="264" w:lineRule="auto"/>
            </w:pPr>
            <w:r>
              <w:rPr>
                <w:rFonts w:ascii="宋体" w:hAnsi="宋体" w:eastAsia="宋体"/>
                <w:b w:val="0"/>
                <w:sz w:val="17"/>
              </w:rPr>
              <w:t>整合内外部条件</w:t>
            </w:r>
          </w:p>
        </w:tc>
        <w:tc>
          <w:tcPr>
            <w:tcW w:type="dxa" w:w="2041"/>
          </w:tcPr>
          <w:p>
            <w:pPr>
              <w:spacing w:before="30" w:after="30" w:line="264" w:lineRule="auto"/>
            </w:pPr>
            <w:r>
              <w:rPr>
                <w:rFonts w:ascii="宋体" w:hAnsi="宋体" w:eastAsia="宋体"/>
                <w:b w:val="0"/>
                <w:sz w:val="17"/>
              </w:rPr>
              <w:t>调研结论与行业事实</w:t>
            </w:r>
          </w:p>
        </w:tc>
        <w:tc>
          <w:tcPr>
            <w:tcW w:type="dxa" w:w="2154"/>
          </w:tcPr>
          <w:p>
            <w:pPr>
              <w:spacing w:before="30" w:after="30" w:line="264" w:lineRule="auto"/>
            </w:pPr>
            <w:r>
              <w:rPr>
                <w:rFonts w:ascii="宋体" w:hAnsi="宋体" w:eastAsia="宋体"/>
                <w:b w:val="0"/>
                <w:sz w:val="17"/>
              </w:rPr>
              <w:t>四类交叉策略</w:t>
            </w:r>
          </w:p>
        </w:tc>
        <w:tc>
          <w:tcPr>
            <w:tcW w:type="dxa" w:w="1247"/>
          </w:tcPr>
          <w:p>
            <w:pPr>
              <w:spacing w:before="30" w:after="30" w:line="264" w:lineRule="auto"/>
            </w:pPr>
            <w:r>
              <w:rPr>
                <w:rFonts w:ascii="宋体" w:hAnsi="宋体" w:eastAsia="宋体"/>
                <w:b w:val="0"/>
                <w:sz w:val="17"/>
              </w:rPr>
              <w:t>定性框架</w:t>
            </w:r>
          </w:p>
        </w:tc>
      </w:tr>
      <w:tr>
        <w:tc>
          <w:tcPr>
            <w:tcW w:type="dxa" w:w="1644"/>
            <w:shd w:val="clear" w:color="auto" w:fill="F2F5FA"/>
          </w:tcPr>
          <w:p>
            <w:pPr>
              <w:spacing w:before="30" w:after="30" w:line="264" w:lineRule="auto"/>
              <w:jc w:val="left"/>
            </w:pPr>
            <w:r>
              <w:rPr>
                <w:rFonts w:ascii="宋体" w:hAnsi="宋体" w:eastAsia="宋体"/>
                <w:b/>
                <w:sz w:val="17"/>
              </w:rPr>
              <w:t>STP</w:t>
            </w:r>
          </w:p>
        </w:tc>
        <w:tc>
          <w:tcPr>
            <w:tcW w:type="dxa" w:w="1984"/>
            <w:shd w:val="clear" w:color="auto" w:fill="F2F5FA"/>
          </w:tcPr>
          <w:p>
            <w:pPr>
              <w:spacing w:before="30" w:after="30" w:line="264" w:lineRule="auto"/>
            </w:pPr>
            <w:r>
              <w:rPr>
                <w:rFonts w:ascii="宋体" w:hAnsi="宋体" w:eastAsia="宋体"/>
                <w:b w:val="0"/>
                <w:sz w:val="17"/>
              </w:rPr>
              <w:t>人群取舍与定位</w:t>
            </w:r>
          </w:p>
        </w:tc>
        <w:tc>
          <w:tcPr>
            <w:tcW w:type="dxa" w:w="2041"/>
            <w:shd w:val="clear" w:color="auto" w:fill="F2F5FA"/>
          </w:tcPr>
          <w:p>
            <w:pPr>
              <w:spacing w:before="30" w:after="30" w:line="264" w:lineRule="auto"/>
            </w:pPr>
            <w:r>
              <w:rPr>
                <w:rFonts w:ascii="宋体" w:hAnsi="宋体" w:eastAsia="宋体"/>
                <w:b w:val="0"/>
                <w:sz w:val="17"/>
              </w:rPr>
              <w:t>聚类或细分结果</w:t>
            </w:r>
          </w:p>
        </w:tc>
        <w:tc>
          <w:tcPr>
            <w:tcW w:type="dxa" w:w="2154"/>
            <w:shd w:val="clear" w:color="auto" w:fill="F2F5FA"/>
          </w:tcPr>
          <w:p>
            <w:pPr>
              <w:spacing w:before="30" w:after="30" w:line="264" w:lineRule="auto"/>
            </w:pPr>
            <w:r>
              <w:rPr>
                <w:rFonts w:ascii="宋体" w:hAnsi="宋体" w:eastAsia="宋体"/>
                <w:b w:val="0"/>
                <w:sz w:val="17"/>
              </w:rPr>
              <w:t>目标人群与定位陈述</w:t>
            </w:r>
          </w:p>
        </w:tc>
        <w:tc>
          <w:tcPr>
            <w:tcW w:type="dxa" w:w="1247"/>
            <w:shd w:val="clear" w:color="auto" w:fill="F2F5FA"/>
          </w:tcPr>
          <w:p>
            <w:pPr>
              <w:spacing w:before="30" w:after="30" w:line="264" w:lineRule="auto"/>
            </w:pPr>
            <w:r>
              <w:rPr>
                <w:rFonts w:ascii="宋体" w:hAnsi="宋体" w:eastAsia="宋体"/>
                <w:b w:val="0"/>
                <w:sz w:val="17"/>
              </w:rPr>
              <w:t>策略框架</w:t>
            </w:r>
          </w:p>
        </w:tc>
      </w:tr>
      <w:tr>
        <w:tc>
          <w:tcPr>
            <w:tcW w:type="dxa" w:w="1644"/>
          </w:tcPr>
          <w:p>
            <w:pPr>
              <w:spacing w:before="30" w:after="30" w:line="264" w:lineRule="auto"/>
              <w:jc w:val="left"/>
            </w:pPr>
            <w:r>
              <w:rPr>
                <w:rFonts w:ascii="宋体" w:hAnsi="宋体" w:eastAsia="宋体"/>
                <w:b/>
                <w:sz w:val="17"/>
              </w:rPr>
              <w:t>4P</w:t>
            </w:r>
          </w:p>
        </w:tc>
        <w:tc>
          <w:tcPr>
            <w:tcW w:type="dxa" w:w="1984"/>
          </w:tcPr>
          <w:p>
            <w:pPr>
              <w:spacing w:before="30" w:after="30" w:line="264" w:lineRule="auto"/>
            </w:pPr>
            <w:r>
              <w:rPr>
                <w:rFonts w:ascii="宋体" w:hAnsi="宋体" w:eastAsia="宋体"/>
                <w:b w:val="0"/>
                <w:sz w:val="17"/>
              </w:rPr>
              <w:t>形成营销组合</w:t>
            </w:r>
          </w:p>
        </w:tc>
        <w:tc>
          <w:tcPr>
            <w:tcW w:type="dxa" w:w="2041"/>
          </w:tcPr>
          <w:p>
            <w:pPr>
              <w:spacing w:before="30" w:after="30" w:line="264" w:lineRule="auto"/>
            </w:pPr>
            <w:r>
              <w:rPr>
                <w:rFonts w:ascii="宋体" w:hAnsi="宋体" w:eastAsia="宋体"/>
                <w:b w:val="0"/>
                <w:sz w:val="17"/>
              </w:rPr>
              <w:t>前序分析结论</w:t>
            </w:r>
          </w:p>
        </w:tc>
        <w:tc>
          <w:tcPr>
            <w:tcW w:type="dxa" w:w="2154"/>
          </w:tcPr>
          <w:p>
            <w:pPr>
              <w:spacing w:before="30" w:after="30" w:line="264" w:lineRule="auto"/>
            </w:pPr>
            <w:r>
              <w:rPr>
                <w:rFonts w:ascii="宋体" w:hAnsi="宋体" w:eastAsia="宋体"/>
                <w:b w:val="0"/>
                <w:sz w:val="17"/>
              </w:rPr>
              <w:t>产品、价格、渠道、传播方案</w:t>
            </w:r>
          </w:p>
        </w:tc>
        <w:tc>
          <w:tcPr>
            <w:tcW w:type="dxa" w:w="1247"/>
          </w:tcPr>
          <w:p>
            <w:pPr>
              <w:spacing w:before="30" w:after="30" w:line="264" w:lineRule="auto"/>
            </w:pPr>
            <w:r>
              <w:rPr>
                <w:rFonts w:ascii="宋体" w:hAnsi="宋体" w:eastAsia="宋体"/>
                <w:b w:val="0"/>
                <w:sz w:val="17"/>
              </w:rPr>
              <w:t>策略框架</w:t>
            </w:r>
          </w:p>
        </w:tc>
      </w:tr>
    </w:tbl>
    <w:p>
      <w:pPr>
        <w:spacing w:before="120"/>
      </w:pPr>
      <w:r>
        <w:rPr>
          <w:rFonts w:ascii="宋体" w:hAnsi="宋体" w:eastAsia="宋体"/>
          <w:b w:val="0"/>
          <w:color w:val="666666"/>
          <w:sz w:val="17"/>
        </w:rPr>
        <w:t>注：表中“主要输出”指该模型用于报告时应呈现的核心结果；“关键前提”指违背时结论不可靠的必要条件，正式写作中应予交代。</w:t>
      </w:r>
    </w:p>
    <w:p>
      <w:r>
        <w:br w:type="page"/>
      </w:r>
    </w:p>
    <w:p>
      <w:pPr>
        <w:pStyle w:val="Heading1"/>
      </w:pPr>
      <w:r>
        <w:t>第二章  进阶模型</w:t>
      </w:r>
    </w:p>
    <w:p>
      <w:pPr>
        <w:spacing w:after="160"/>
      </w:pPr>
      <w:r>
        <w:rPr>
          <w:rFonts w:ascii="宋体" w:hAnsi="宋体" w:eastAsia="宋体"/>
          <w:b w:val="0"/>
          <w:color w:val="666666"/>
          <w:sz w:val="18"/>
        </w:rPr>
        <w:t>难度：★★　　模型数：15</w:t>
      </w:r>
    </w:p>
    <w:p>
      <w:pPr>
        <w:ind w:firstLine="420"/>
      </w:pPr>
      <w:r>
        <w:rPr>
          <w:rFonts w:ascii="宋体" w:hAnsi="宋体" w:eastAsia="宋体"/>
          <w:b w:val="0"/>
          <w:sz w:val="20"/>
        </w:rPr>
        <w:t>本章收录 15 个需要理解显著性检验、距离度量或监督学习原理的模型，覆盖抽样设计、分类数据检验、组间比较、降维与分群、回归建模、质量评价、文本挖掘与集成学习。本章方法构成市场调查类报告的主体分析部分，建议按“抽样—检验—分群—回归—文本”的顺序学习。</w:t>
      </w:r>
    </w:p>
    <w:p>
      <w:pPr>
        <w:pStyle w:val="Heading2"/>
      </w:pPr>
      <w:r>
        <w:t>2.1　简单随机抽样与样本量测算（Simple Random Sampling &amp; Sample Size）</w:t>
      </w:r>
    </w:p>
    <w:p>
      <w:r>
        <w:rPr>
          <w:rFonts w:ascii="黑体" w:hAnsi="黑体" w:eastAsia="黑体"/>
          <w:b/>
          <w:sz w:val="21"/>
        </w:rPr>
        <w:t xml:space="preserve">模型介绍　</w:t>
      </w:r>
      <w:r>
        <w:rPr>
          <w:rFonts w:ascii="宋体" w:hAnsi="宋体" w:eastAsia="宋体"/>
          <w:b w:val="0"/>
          <w:sz w:val="21"/>
        </w:rPr>
        <w:t>样本量测算以给定置信水平与允许误差为前提，由简单随机抽样公式确定最低样本量；实务中再乘以设计效应并除以预计有效率，得到计划发放量。其核心表达式见“模型公式”。</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n0 = t² · P(1 − P) / d²</w:t>
      </w:r>
    </w:p>
    <w:p>
      <w:pPr>
        <w:spacing w:before="40" w:after="40" w:line="269" w:lineRule="auto"/>
        <w:jc w:val="center"/>
      </w:pPr>
      <w:r>
        <w:rPr>
          <w:rFonts w:ascii="Times New Roman" w:hAnsi="Times New Roman" w:eastAsia="宋体"/>
          <w:b w:val="0"/>
          <w:color w:val="1A1A1A"/>
          <w:sz w:val="21"/>
        </w:rPr>
        <w:t>n = n0 · deff / r</w:t>
      </w:r>
    </w:p>
    <w:p>
      <w:pPr>
        <w:spacing w:before="0" w:after="80"/>
        <w:ind w:left="420"/>
      </w:pPr>
      <w:r>
        <w:rPr>
          <w:rFonts w:ascii="宋体" w:hAnsi="宋体" w:eastAsia="宋体"/>
          <w:b w:val="0"/>
          <w:color w:val="404040"/>
          <w:sz w:val="18"/>
        </w:rPr>
        <w:t>式中：t 为置信水平对应的标准正态分位数，P 为预估比例，d 为允许误差，deff 为设计效应，r 为预计有效率。总体较小时须作有限总体修正：n0' = n0 / [1 + (n0 − 1) / N]。</w:t>
      </w:r>
    </w:p>
    <w:p>
      <w:r>
        <w:rPr>
          <w:rFonts w:ascii="黑体" w:hAnsi="黑体" w:eastAsia="黑体"/>
          <w:b/>
          <w:sz w:val="21"/>
        </w:rPr>
        <w:t xml:space="preserve">适用范围　</w:t>
      </w:r>
      <w:r>
        <w:rPr>
          <w:rFonts w:ascii="宋体" w:hAnsi="宋体" w:eastAsia="宋体"/>
          <w:b w:val="0"/>
          <w:sz w:val="21"/>
        </w:rPr>
        <w:t>适用于抽样方案设计的论证环节，用以说明样本量的统计依据。总体规模较小时须作有限总体修正；分层、整群或多阶段抽样须相应调整设计效应，不能直接套用简单随机公式。</w:t>
      </w:r>
    </w:p>
    <w:p>
      <w:r>
        <w:rPr>
          <w:rFonts w:ascii="黑体" w:hAnsi="黑体" w:eastAsia="黑体"/>
          <w:b/>
          <w:sz w:val="21"/>
        </w:rPr>
        <w:t xml:space="preserve">应用实例　</w:t>
      </w:r>
      <w:r>
        <w:rPr>
          <w:rFonts w:ascii="宋体" w:hAnsi="宋体" w:eastAsia="宋体"/>
          <w:b w:val="0"/>
          <w:sz w:val="21"/>
        </w:rPr>
        <w:t>取置信水平 95%（t=1.96）、P=0.5、允许误差 d=5%，得 n0≈384；设设计效应 deff=1.2、预计有效率 r=90%，则 n=384×1.2/0.9≈512。报告中应完整列出四项参数及其取值理由。</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Cochran, W. G. Sampling Techniques(3rd ed.)[M]. New York: John Wiley &amp; Sons, 1977.</w:t>
      </w:r>
    </w:p>
    <w:p>
      <w:pPr>
        <w:spacing w:after="80"/>
        <w:ind w:left="595"/>
      </w:pPr>
      <w:hyperlink r:id="rId25">
        <w:r>
          <w:rPr>
            <w:rFonts w:ascii="宋体" w:hAnsi="宋体" w:eastAsia="宋体"/>
            <w:color w:val="1155CC"/>
            <w:u w:val="single"/>
            <w:sz w:val="17"/>
          </w:rPr>
          <w:t xml:space="preserve">https://www.wiley.com/en-us/Sampling+Techniques%2C+3rd+Edition-p-9780471162407</w:t>
        </w:r>
      </w:hyperlink>
    </w:p>
    <w:p>
      <w:pPr>
        <w:pStyle w:val="Heading2"/>
      </w:pPr>
      <w:r>
        <w:t>2.2　卡方检验（Chi-square Test）</w:t>
      </w:r>
    </w:p>
    <w:p>
      <w:r>
        <w:rPr>
          <w:rFonts w:ascii="黑体" w:hAnsi="黑体" w:eastAsia="黑体"/>
          <w:b/>
          <w:sz w:val="21"/>
        </w:rPr>
        <w:t xml:space="preserve">模型介绍　</w:t>
      </w:r>
      <w:r>
        <w:rPr>
          <w:rFonts w:ascii="宋体" w:hAnsi="宋体" w:eastAsia="宋体"/>
          <w:b w:val="0"/>
          <w:sz w:val="21"/>
        </w:rPr>
        <w:t>卡方统计量度量实际频数与理论频数的偏离程度，χ² = Σ(O−E)²/E。依用途分两类：拟合优度检验判断样本分布与理论分布是否一致；独立性检验判断两个分类变量是否相关。两类检验的结论方向相反，解读时须区分。</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χ² = Σ (Oi − Ei)² / Ei</w:t>
      </w:r>
    </w:p>
    <w:p>
      <w:pPr>
        <w:spacing w:before="40" w:after="40" w:line="269" w:lineRule="auto"/>
        <w:jc w:val="center"/>
      </w:pPr>
      <w:r>
        <w:rPr>
          <w:rFonts w:ascii="Times New Roman" w:hAnsi="Times New Roman" w:eastAsia="宋体"/>
          <w:b w:val="0"/>
          <w:color w:val="1A1A1A"/>
          <w:sz w:val="21"/>
        </w:rPr>
        <w:t>df = (r − 1)(c − 1)</w:t>
      </w:r>
    </w:p>
    <w:p>
      <w:pPr>
        <w:spacing w:before="0" w:after="80"/>
        <w:ind w:left="420"/>
      </w:pPr>
      <w:r>
        <w:rPr>
          <w:rFonts w:ascii="宋体" w:hAnsi="宋体" w:eastAsia="宋体"/>
          <w:b w:val="0"/>
          <w:color w:val="404040"/>
          <w:sz w:val="18"/>
        </w:rPr>
        <w:t>式中：Oi 为实际频数，Ei 为理论频数，r、c 为列联表的行列数；拟合优度检验中 df = k − 1 − m，k 为类别数，m 为估计参数个数。</w:t>
      </w:r>
    </w:p>
    <w:p>
      <w:r>
        <w:rPr>
          <w:rFonts w:ascii="黑体" w:hAnsi="黑体" w:eastAsia="黑体"/>
          <w:b/>
          <w:sz w:val="21"/>
        </w:rPr>
        <w:t xml:space="preserve">适用范围　</w:t>
      </w:r>
      <w:r>
        <w:rPr>
          <w:rFonts w:ascii="宋体" w:hAnsi="宋体" w:eastAsia="宋体"/>
          <w:b w:val="0"/>
          <w:sz w:val="21"/>
        </w:rPr>
        <w:t>适用于分类数据的频数比较，如样本代表性检验、人口特征与行为的关联检验。要求各格期望频数不小于 5，否则须合并类别或改用 Fisher 精确检验；不适用于连续变量。</w:t>
      </w:r>
    </w:p>
    <w:p>
      <w:r>
        <w:rPr>
          <w:rFonts w:ascii="黑体" w:hAnsi="黑体" w:eastAsia="黑体"/>
          <w:b/>
          <w:sz w:val="21"/>
        </w:rPr>
        <w:t xml:space="preserve">应用实例　</w:t>
      </w:r>
      <w:r>
        <w:rPr>
          <w:rFonts w:ascii="宋体" w:hAnsi="宋体" w:eastAsia="宋体"/>
          <w:b w:val="0"/>
          <w:sz w:val="21"/>
        </w:rPr>
        <w:t>样本代表性检验：四个区实际回收 108、95、97、100，理论值均为 100，得 χ²=0.98，df=3，p≈0.81&gt;0.05，可认为实际分布与理论分布无显著差异，样本具有代表性。</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NIST/SEMATECH. e-Handbook of Statistical Methods: Chi-Square Goodness-of-Fit Test[EB/OL]. (2012-04-01)[2026-10-18].</w:t>
      </w:r>
    </w:p>
    <w:p>
      <w:pPr>
        <w:spacing w:after="80"/>
        <w:ind w:left="595"/>
      </w:pPr>
      <w:hyperlink r:id="rId26">
        <w:r>
          <w:rPr>
            <w:rFonts w:ascii="宋体" w:hAnsi="宋体" w:eastAsia="宋体"/>
            <w:color w:val="1155CC"/>
            <w:u w:val="single"/>
            <w:sz w:val="17"/>
          </w:rPr>
          <w:t xml:space="preserve">https://www.itl.nist.gov/div898/handbook/eda/section3/eda35f.htm</w:t>
        </w:r>
      </w:hyperlink>
    </w:p>
    <w:p>
      <w:pPr>
        <w:spacing w:after="0"/>
        <w:ind w:left="420" w:hanging="420"/>
      </w:pPr>
      <w:r>
        <w:rPr>
          <w:rFonts w:ascii="宋体" w:hAnsi="宋体" w:eastAsia="宋体"/>
          <w:b w:val="0"/>
          <w:sz w:val="18"/>
        </w:rPr>
        <w:t>[2] OpenStax. Introductory Statistics: The Chi-Square Distribution[M/OL]. Houston: Rice University, 2023.</w:t>
      </w:r>
    </w:p>
    <w:p>
      <w:pPr>
        <w:spacing w:after="80"/>
        <w:ind w:left="595"/>
      </w:pPr>
      <w:hyperlink r:id="rId27">
        <w:r>
          <w:rPr>
            <w:rFonts w:ascii="宋体" w:hAnsi="宋体" w:eastAsia="宋体"/>
            <w:color w:val="1155CC"/>
            <w:u w:val="single"/>
            <w:sz w:val="17"/>
          </w:rPr>
          <w:t xml:space="preserve">https://openstax.org/books/introductory-statistics/pages/11-introduction</w:t>
        </w:r>
      </w:hyperlink>
    </w:p>
    <w:p>
      <w:pPr>
        <w:pStyle w:val="Heading2"/>
      </w:pPr>
      <w:r>
        <w:t>2.3　交叉分析（列联表与多重响应）（Cross-tabulation Analysis）</w:t>
      </w:r>
    </w:p>
    <w:p>
      <w:r>
        <w:rPr>
          <w:rFonts w:ascii="黑体" w:hAnsi="黑体" w:eastAsia="黑体"/>
          <w:b/>
          <w:sz w:val="21"/>
        </w:rPr>
        <w:t xml:space="preserve">模型介绍　</w:t>
      </w:r>
      <w:r>
        <w:rPr>
          <w:rFonts w:ascii="宋体" w:hAnsi="宋体" w:eastAsia="宋体"/>
          <w:b w:val="0"/>
          <w:sz w:val="21"/>
        </w:rPr>
        <w:t>交叉分析将两个分类变量分别置于行与列，统计各单元格频数并计算行或列百分比，以呈现不同群体的分布差异，通常配合卡方独立性检验判断差异的统计显著性。多选题须以多重响应集处理，按响应百分比或个案百分比报告。</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pij = nij / ni·　（行百分比）</w:t>
      </w:r>
    </w:p>
    <w:p>
      <w:pPr>
        <w:spacing w:before="40" w:after="40" w:line="269" w:lineRule="auto"/>
        <w:jc w:val="center"/>
      </w:pPr>
      <w:r>
        <w:rPr>
          <w:rFonts w:ascii="Times New Roman" w:hAnsi="Times New Roman" w:eastAsia="宋体"/>
          <w:b w:val="0"/>
          <w:color w:val="1A1A1A"/>
          <w:sz w:val="21"/>
        </w:rPr>
        <w:t>Eij = ni· · n·j / n</w:t>
      </w:r>
    </w:p>
    <w:p>
      <w:pPr>
        <w:spacing w:before="40" w:after="40" w:line="269" w:lineRule="auto"/>
        <w:jc w:val="center"/>
      </w:pPr>
      <w:r>
        <w:rPr>
          <w:rFonts w:ascii="Times New Roman" w:hAnsi="Times New Roman" w:eastAsia="宋体"/>
          <w:b w:val="0"/>
          <w:color w:val="1A1A1A"/>
          <w:sz w:val="21"/>
        </w:rPr>
        <w:t>χ² = ΣΣ (nij − Eij)² / Eij</w:t>
      </w:r>
    </w:p>
    <w:p>
      <w:pPr>
        <w:spacing w:before="0" w:after="80"/>
        <w:ind w:left="420"/>
      </w:pPr>
      <w:r>
        <w:rPr>
          <w:rFonts w:ascii="宋体" w:hAnsi="宋体" w:eastAsia="宋体"/>
          <w:b w:val="0"/>
          <w:color w:val="404040"/>
          <w:sz w:val="18"/>
        </w:rPr>
        <w:t>式中：nij 为第 i 行第 j 列频数，ni·、n·j 为对应的行合计与列合计，n 为总数。多选题按多重响应集处理，个案百分比 = 选择该选项人数 / 总人数。</w:t>
      </w:r>
    </w:p>
    <w:p>
      <w:r>
        <w:rPr>
          <w:rFonts w:ascii="黑体" w:hAnsi="黑体" w:eastAsia="黑体"/>
          <w:b/>
          <w:sz w:val="21"/>
        </w:rPr>
        <w:t xml:space="preserve">适用范围　</w:t>
      </w:r>
      <w:r>
        <w:rPr>
          <w:rFonts w:ascii="宋体" w:hAnsi="宋体" w:eastAsia="宋体"/>
          <w:b w:val="0"/>
          <w:sz w:val="21"/>
        </w:rPr>
        <w:t>适用于分类变量之间的关系描述，如人口特征与偏好、渠道、购买频率的对应关系。连续变量须先分段；列联表维度不宜超过 5×5；多选题若按单选计算百分比将导致总和超过 100%。</w:t>
      </w:r>
    </w:p>
    <w:p>
      <w:r>
        <w:rPr>
          <w:rFonts w:ascii="黑体" w:hAnsi="黑体" w:eastAsia="黑体"/>
          <w:b/>
          <w:sz w:val="21"/>
        </w:rPr>
        <w:t xml:space="preserve">应用实例　</w:t>
      </w:r>
      <w:r>
        <w:rPr>
          <w:rFonts w:ascii="宋体" w:hAnsi="宋体" w:eastAsia="宋体"/>
          <w:b w:val="0"/>
          <w:sz w:val="21"/>
        </w:rPr>
        <w:t>以职业为行、购买渠道为列的交叉表显示：学生群体外卖平台占比 68%、企业职员到店购买占 35%、自由职业者生鲜电商占 32%；χ²=24.7，df=6，p&lt;0.001，可判定渠道选择随职业显著差异。</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Penn State Eberly College of Science. STAT 504: Analysis of Discrete Data[EB/OL]. (2024-01-01)[2026-10-18].</w:t>
      </w:r>
    </w:p>
    <w:p>
      <w:pPr>
        <w:spacing w:after="80"/>
        <w:ind w:left="595"/>
      </w:pPr>
      <w:hyperlink r:id="rId28">
        <w:r>
          <w:rPr>
            <w:rFonts w:ascii="宋体" w:hAnsi="宋体" w:eastAsia="宋体"/>
            <w:color w:val="1155CC"/>
            <w:u w:val="single"/>
            <w:sz w:val="17"/>
          </w:rPr>
          <w:t xml:space="preserve">https://online.stat.psu.edu/stat504/</w:t>
        </w:r>
      </w:hyperlink>
    </w:p>
    <w:p>
      <w:pPr>
        <w:spacing w:after="0"/>
        <w:ind w:left="420" w:hanging="420"/>
      </w:pPr>
      <w:r>
        <w:rPr>
          <w:rFonts w:ascii="宋体" w:hAnsi="宋体" w:eastAsia="宋体"/>
          <w:b w:val="0"/>
          <w:sz w:val="18"/>
        </w:rPr>
        <w:t>[2] OpenStax. Introductory Statistics: The Chi-Square Distribution[M/OL]. Houston: Rice University, 2023.</w:t>
      </w:r>
    </w:p>
    <w:p>
      <w:pPr>
        <w:spacing w:after="80"/>
        <w:ind w:left="595"/>
      </w:pPr>
      <w:hyperlink r:id="rId27">
        <w:r>
          <w:rPr>
            <w:rFonts w:ascii="宋体" w:hAnsi="宋体" w:eastAsia="宋体"/>
            <w:color w:val="1155CC"/>
            <w:u w:val="single"/>
            <w:sz w:val="17"/>
          </w:rPr>
          <w:t xml:space="preserve">https://openstax.org/books/introductory-statistics/pages/11-introduction</w:t>
        </w:r>
      </w:hyperlink>
    </w:p>
    <w:p>
      <w:pPr>
        <w:pStyle w:val="Heading2"/>
      </w:pPr>
      <w:r>
        <w:t>2.4　方差分析（Analysis of Variance (ANOVA)）</w:t>
      </w:r>
    </w:p>
    <w:p>
      <w:r>
        <w:rPr>
          <w:rFonts w:ascii="黑体" w:hAnsi="黑体" w:eastAsia="黑体"/>
          <w:b/>
          <w:sz w:val="21"/>
        </w:rPr>
        <w:t xml:space="preserve">模型介绍　</w:t>
      </w:r>
      <w:r>
        <w:rPr>
          <w:rFonts w:ascii="宋体" w:hAnsi="宋体" w:eastAsia="宋体"/>
          <w:b w:val="0"/>
          <w:sz w:val="21"/>
        </w:rPr>
        <w:t>方差分析将总变异分解为组间变异与组内变异，以 F = MS_between / MS_within 检验多组均值是否相等。F 值越大、p 值越小，越倾向于拒绝“各组均值相等”的原假设。结论显著后需以事后多重比较定位差异来源。</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SST = SSB + SSW</w:t>
      </w:r>
    </w:p>
    <w:p>
      <w:pPr>
        <w:spacing w:before="40" w:after="40" w:line="269" w:lineRule="auto"/>
        <w:jc w:val="center"/>
      </w:pPr>
      <w:r>
        <w:rPr>
          <w:rFonts w:ascii="Times New Roman" w:hAnsi="Times New Roman" w:eastAsia="宋体"/>
          <w:b w:val="0"/>
          <w:color w:val="1A1A1A"/>
          <w:sz w:val="21"/>
        </w:rPr>
        <w:t>F = [ SSB / (k − 1) ] / [ SSW / (N − k) ]</w:t>
      </w:r>
    </w:p>
    <w:p>
      <w:pPr>
        <w:spacing w:before="0" w:after="80"/>
        <w:ind w:left="420"/>
      </w:pPr>
      <w:r>
        <w:rPr>
          <w:rFonts w:ascii="宋体" w:hAnsi="宋体" w:eastAsia="宋体"/>
          <w:b w:val="0"/>
          <w:color w:val="404040"/>
          <w:sz w:val="18"/>
        </w:rPr>
        <w:t>式中：SST 为总平方和，SSB 为组间平方和，SSW 为组内平方和，k 为组数，N 为总样本量。</w:t>
      </w:r>
    </w:p>
    <w:p>
      <w:r>
        <w:rPr>
          <w:rFonts w:ascii="黑体" w:hAnsi="黑体" w:eastAsia="黑体"/>
          <w:b/>
          <w:sz w:val="21"/>
        </w:rPr>
        <w:t xml:space="preserve">适用范围　</w:t>
      </w:r>
      <w:r>
        <w:rPr>
          <w:rFonts w:ascii="宋体" w:hAnsi="宋体" w:eastAsia="宋体"/>
          <w:b w:val="0"/>
          <w:sz w:val="21"/>
        </w:rPr>
        <w:t>适用于一个分类自变量与一个连续因变量的组间比较，可扩展至双因素及协方差分析。要求观测独立、残差近似正态、方差齐性（Levene 检验 p&gt;0.05）；方差不齐时改用 Welch ANOVA。因变量为二分类时不适用。</w:t>
      </w:r>
    </w:p>
    <w:p>
      <w:r>
        <w:rPr>
          <w:rFonts w:ascii="黑体" w:hAnsi="黑体" w:eastAsia="黑体"/>
          <w:b/>
          <w:sz w:val="21"/>
        </w:rPr>
        <w:t xml:space="preserve">应用实例　</w:t>
      </w:r>
      <w:r>
        <w:rPr>
          <w:rFonts w:ascii="宋体" w:hAnsi="宋体" w:eastAsia="宋体"/>
          <w:b w:val="0"/>
          <w:sz w:val="21"/>
        </w:rPr>
        <w:t>比较三个收入段的购买意愿均值 3.42、3.61、3.85，得 F=7.42，p&lt;0.001，可判定收入段间差异显著；事后 LSD 检验显示高收入组显著高于低收入组。报告须同时给出 F 值、自由度与 p 值。</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OpenStax. Introductory Statistics: F Distribution and One-Way ANOVA[M/OL]. Houston: Rice University, 2023.</w:t>
      </w:r>
    </w:p>
    <w:p>
      <w:pPr>
        <w:spacing w:after="80"/>
        <w:ind w:left="595"/>
      </w:pPr>
      <w:hyperlink r:id="rId29">
        <w:r>
          <w:rPr>
            <w:rFonts w:ascii="宋体" w:hAnsi="宋体" w:eastAsia="宋体"/>
            <w:color w:val="1155CC"/>
            <w:u w:val="single"/>
            <w:sz w:val="17"/>
          </w:rPr>
          <w:t xml:space="preserve">https://openstax.org/books/introductory-statistics/pages/13-introduction</w:t>
        </w:r>
      </w:hyperlink>
    </w:p>
    <w:p>
      <w:pPr>
        <w:spacing w:after="0"/>
        <w:ind w:left="420" w:hanging="420"/>
      </w:pPr>
      <w:r>
        <w:rPr>
          <w:rFonts w:ascii="宋体" w:hAnsi="宋体" w:eastAsia="宋体"/>
          <w:b w:val="0"/>
          <w:sz w:val="18"/>
        </w:rPr>
        <w:t>[2] NIST/SEMATECH. e-Handbook of Statistical Methods: ANOVA[EB/OL]. (2012-04-01)[2026-10-18].</w:t>
      </w:r>
    </w:p>
    <w:p>
      <w:pPr>
        <w:spacing w:after="80"/>
        <w:ind w:left="595"/>
      </w:pPr>
      <w:hyperlink r:id="rId30">
        <w:r>
          <w:rPr>
            <w:rFonts w:ascii="宋体" w:hAnsi="宋体" w:eastAsia="宋体"/>
            <w:color w:val="1155CC"/>
            <w:u w:val="single"/>
            <w:sz w:val="17"/>
          </w:rPr>
          <w:t xml:space="preserve">https://www.itl.nist.gov/div898/handbook/ppc/section4/ppc44.htm</w:t>
        </w:r>
      </w:hyperlink>
    </w:p>
    <w:p>
      <w:pPr>
        <w:pStyle w:val="Heading2"/>
      </w:pPr>
      <w:r>
        <w:t>2.5　效度检验：KMO 与巴特利特检验（Validity: KMO &amp; Bartlett Test）</w:t>
      </w:r>
    </w:p>
    <w:p>
      <w:r>
        <w:rPr>
          <w:rFonts w:ascii="黑体" w:hAnsi="黑体" w:eastAsia="黑体"/>
          <w:b/>
          <w:sz w:val="21"/>
        </w:rPr>
        <w:t xml:space="preserve">模型介绍　</w:t>
      </w:r>
      <w:r>
        <w:rPr>
          <w:rFonts w:ascii="宋体" w:hAnsi="宋体" w:eastAsia="宋体"/>
          <w:b w:val="0"/>
          <w:sz w:val="21"/>
        </w:rPr>
        <w:t>KMO 统计量比较变量间简单相关与偏相关的相对大小，取值 0—1，越接近 1 表示共同因子结构越明显；巴特利特球形检验的原假设为相关矩阵为单位矩阵，显著则表明变量间存在可提取的共同变异。二者构成因子分析的适用性前提。</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KMO = ΣΣr² / ( ΣΣr² + ΣΣq² )</w:t>
      </w:r>
    </w:p>
    <w:p>
      <w:pPr>
        <w:spacing w:before="40" w:after="40" w:line="269" w:lineRule="auto"/>
        <w:jc w:val="center"/>
      </w:pPr>
      <w:r>
        <w:rPr>
          <w:rFonts w:ascii="Times New Roman" w:hAnsi="Times New Roman" w:eastAsia="宋体"/>
          <w:b w:val="0"/>
          <w:color w:val="1A1A1A"/>
          <w:sz w:val="21"/>
        </w:rPr>
        <w:t>χ² = −[ (N − 1) − (2p + 5) / 6 ] · ln|R|</w:t>
      </w:r>
    </w:p>
    <w:p>
      <w:pPr>
        <w:spacing w:before="0" w:after="80"/>
        <w:ind w:left="420"/>
      </w:pPr>
      <w:r>
        <w:rPr>
          <w:rFonts w:ascii="宋体" w:hAnsi="宋体" w:eastAsia="宋体"/>
          <w:b w:val="0"/>
          <w:color w:val="404040"/>
          <w:sz w:val="18"/>
        </w:rPr>
        <w:t>式中：r 为变量间简单相关系数，q 为偏相关系数；N 为样本量，p 为变量数，|R| 为相关矩阵行列式。</w:t>
      </w:r>
    </w:p>
    <w:p>
      <w:r>
        <w:rPr>
          <w:rFonts w:ascii="黑体" w:hAnsi="黑体" w:eastAsia="黑体"/>
          <w:b/>
          <w:sz w:val="21"/>
        </w:rPr>
        <w:t xml:space="preserve">适用范围　</w:t>
      </w:r>
      <w:r>
        <w:rPr>
          <w:rFonts w:ascii="宋体" w:hAnsi="宋体" w:eastAsia="宋体"/>
          <w:b w:val="0"/>
          <w:sz w:val="21"/>
        </w:rPr>
        <w:t>适用于因子分析或主成分分析之前的适用性检验。一般以 KMO&gt;0.7、巴特利特检验 p&lt;0.05 为通过。样本量宜为题项数的 5—10 倍以上；题项过少（&lt;5）时 KMO 易偏低。</w:t>
      </w:r>
    </w:p>
    <w:p>
      <w:r>
        <w:rPr>
          <w:rFonts w:ascii="黑体" w:hAnsi="黑体" w:eastAsia="黑体"/>
          <w:b/>
          <w:sz w:val="21"/>
        </w:rPr>
        <w:t xml:space="preserve">应用实例　</w:t>
      </w:r>
      <w:r>
        <w:rPr>
          <w:rFonts w:ascii="宋体" w:hAnsi="宋体" w:eastAsia="宋体"/>
          <w:b w:val="0"/>
          <w:sz w:val="21"/>
        </w:rPr>
        <w:t>某量表 KMO=0.872，巴特利特近似卡方 3421.56，df=190，p&lt;0.001，表明数据适合因子分析。规范表述应同时给出 KMO 值、卡方值、自由度与显著性。</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Kaiser, H. F. An index of factorial simplicity[J]. Psychometrika, 1974, 39(1): 31-36.</w:t>
      </w:r>
    </w:p>
    <w:p>
      <w:pPr>
        <w:spacing w:after="80"/>
        <w:ind w:left="595"/>
      </w:pPr>
      <w:hyperlink r:id="rId31">
        <w:r>
          <w:rPr>
            <w:rFonts w:ascii="宋体" w:hAnsi="宋体" w:eastAsia="宋体"/>
            <w:color w:val="1155CC"/>
            <w:u w:val="single"/>
            <w:sz w:val="17"/>
          </w:rPr>
          <w:t xml:space="preserve">https://doi.org/10.1007/BF02291575</w:t>
        </w:r>
      </w:hyperlink>
    </w:p>
    <w:p>
      <w:pPr>
        <w:spacing w:after="0"/>
        <w:ind w:left="420" w:hanging="420"/>
      </w:pPr>
      <w:r>
        <w:rPr>
          <w:rFonts w:ascii="宋体" w:hAnsi="宋体" w:eastAsia="宋体"/>
          <w:b w:val="0"/>
          <w:sz w:val="18"/>
        </w:rPr>
        <w:t>[2] Cerny, B. A., Kaiser, H. F. A study of a measure of sampling adequacy for factor-analytic correlation matrices[J]. Multivariate Behavioral Research, 1977, 12(1): 43-47.</w:t>
      </w:r>
    </w:p>
    <w:p>
      <w:pPr>
        <w:spacing w:after="80"/>
        <w:ind w:left="595"/>
      </w:pPr>
      <w:hyperlink r:id="rId32">
        <w:r>
          <w:rPr>
            <w:rFonts w:ascii="宋体" w:hAnsi="宋体" w:eastAsia="宋体"/>
            <w:color w:val="1155CC"/>
            <w:u w:val="single"/>
            <w:sz w:val="17"/>
          </w:rPr>
          <w:t xml:space="preserve">https://doi.org/10.1007/BF02291478</w:t>
        </w:r>
      </w:hyperlink>
    </w:p>
    <w:p>
      <w:pPr>
        <w:pStyle w:val="Heading2"/>
      </w:pPr>
      <w:r>
        <w:t>2.6　聚类分析（Cluster Analysis (K-Means / K-Modes)）</w:t>
      </w:r>
    </w:p>
    <w:p>
      <w:r>
        <w:rPr>
          <w:rFonts w:ascii="黑体" w:hAnsi="黑体" w:eastAsia="黑体"/>
          <w:b/>
          <w:sz w:val="21"/>
        </w:rPr>
        <w:t xml:space="preserve">模型介绍　</w:t>
      </w:r>
      <w:r>
        <w:rPr>
          <w:rFonts w:ascii="宋体" w:hAnsi="宋体" w:eastAsia="宋体"/>
          <w:b w:val="0"/>
          <w:sz w:val="21"/>
        </w:rPr>
        <w:t>聚类分析依据样本在特征空间中的距离或相似度，将样本划分为组内相似、组间相异的若干类别，属无监督学习。K-Means 以欧氏距离与均值中心迭代求解，适用于连续变量；K-Modes 以汉明距离与众数中心求解，适用于分类变量。类别数 K 需依业务需要或肘部法则、轮廓系数确定。</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J = Σk Σ(x ∈ Ck) ||x − μk||²</w:t>
      </w:r>
    </w:p>
    <w:p>
      <w:pPr>
        <w:spacing w:before="40" w:after="40" w:line="269" w:lineRule="auto"/>
        <w:jc w:val="center"/>
      </w:pPr>
      <w:r>
        <w:rPr>
          <w:rFonts w:ascii="Times New Roman" w:hAnsi="Times New Roman" w:eastAsia="宋体"/>
          <w:b w:val="0"/>
          <w:color w:val="1A1A1A"/>
          <w:sz w:val="21"/>
        </w:rPr>
        <w:t>s(i) = [ b(i) − a(i) ] / max{ a(i), b(i) }</w:t>
      </w:r>
    </w:p>
    <w:p>
      <w:pPr>
        <w:spacing w:before="0" w:after="80"/>
        <w:ind w:left="420"/>
      </w:pPr>
      <w:r>
        <w:rPr>
          <w:rFonts w:ascii="宋体" w:hAnsi="宋体" w:eastAsia="宋体"/>
          <w:b w:val="0"/>
          <w:color w:val="404040"/>
          <w:sz w:val="18"/>
        </w:rPr>
        <w:t>式中：μk 为第 k 类的中心，Ck 为第 k 类样本集合；a(i) 为样本 i 到同类其他点的平均距离，b(i) 为到最近异类的平均距离，s(i) 为轮廓系数。</w:t>
      </w:r>
    </w:p>
    <w:p>
      <w:r>
        <w:rPr>
          <w:rFonts w:ascii="黑体" w:hAnsi="黑体" w:eastAsia="黑体"/>
          <w:b/>
          <w:sz w:val="21"/>
        </w:rPr>
        <w:t xml:space="preserve">适用范围　</w:t>
      </w:r>
      <w:r>
        <w:rPr>
          <w:rFonts w:ascii="宋体" w:hAnsi="宋体" w:eastAsia="宋体"/>
          <w:b w:val="0"/>
          <w:sz w:val="21"/>
        </w:rPr>
        <w:t>适用于消费者画像与市场细分，样本量宜在 200 以上。聚类结果为算法给定而非客观真理，须报告 K 值确定依据，并在分群后以方差分析或交叉分析验证群间确实存在差异。</w:t>
      </w:r>
    </w:p>
    <w:p>
      <w:r>
        <w:rPr>
          <w:rFonts w:ascii="黑体" w:hAnsi="黑体" w:eastAsia="黑体"/>
          <w:b/>
          <w:sz w:val="21"/>
        </w:rPr>
        <w:t xml:space="preserve">应用实例　</w:t>
      </w:r>
      <w:r>
        <w:rPr>
          <w:rFonts w:ascii="宋体" w:hAnsi="宋体" w:eastAsia="宋体"/>
          <w:b w:val="0"/>
          <w:sz w:val="21"/>
        </w:rPr>
        <w:t>以性别、年龄、收入、网购频次对 609 份样本施行 K-Means，取 K=4，得四类画像：年轻高频型、城市白领型、中年男性型与低网购型；随后以方差分析检验四类在购买意愿上的差异（F=6.31，p&lt;0.001），确认分群有效。</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MacQueen, J. Some methods for classification and analysis of multivariate observations[C]//Proceedings of the Fifth Berkeley Symposium on Mathematical Statistics and Probability. 1967: 281-297.</w:t>
      </w:r>
    </w:p>
    <w:p>
      <w:pPr>
        <w:spacing w:after="80"/>
        <w:ind w:left="595"/>
      </w:pPr>
      <w:hyperlink r:id="rId33">
        <w:r>
          <w:rPr>
            <w:rFonts w:ascii="宋体" w:hAnsi="宋体" w:eastAsia="宋体"/>
            <w:color w:val="1155CC"/>
            <w:u w:val="single"/>
            <w:sz w:val="17"/>
          </w:rPr>
          <w:t xml:space="preserve">https://projecteuclid.org/euclid.bsmsp/1200512992</w:t>
        </w:r>
      </w:hyperlink>
    </w:p>
    <w:p>
      <w:pPr>
        <w:spacing w:after="0"/>
        <w:ind w:left="420" w:hanging="420"/>
      </w:pPr>
      <w:r>
        <w:rPr>
          <w:rFonts w:ascii="宋体" w:hAnsi="宋体" w:eastAsia="宋体"/>
          <w:b w:val="0"/>
          <w:sz w:val="18"/>
        </w:rPr>
        <w:t>[2] Huang, Z. Extensions to the k-means algorithm for clustering large data sets with categorical values[J]. Data Mining and Knowledge Discovery, 1998, 2(3): 283-304.</w:t>
      </w:r>
    </w:p>
    <w:p>
      <w:pPr>
        <w:spacing w:after="80"/>
        <w:ind w:left="595"/>
      </w:pPr>
      <w:hyperlink r:id="rId34">
        <w:r>
          <w:rPr>
            <w:rFonts w:ascii="宋体" w:hAnsi="宋体" w:eastAsia="宋体"/>
            <w:color w:val="1155CC"/>
            <w:u w:val="single"/>
            <w:sz w:val="17"/>
          </w:rPr>
          <w:t xml:space="preserve">https://doi.org/10.1023/A:1009769707641</w:t>
        </w:r>
      </w:hyperlink>
    </w:p>
    <w:p>
      <w:pPr>
        <w:pStyle w:val="Heading2"/>
      </w:pPr>
      <w:r>
        <w:t>2.7　多元线性回归（Multiple Linear Regression）</w:t>
      </w:r>
    </w:p>
    <w:p>
      <w:r>
        <w:rPr>
          <w:rFonts w:ascii="黑体" w:hAnsi="黑体" w:eastAsia="黑体"/>
          <w:b/>
          <w:sz w:val="21"/>
        </w:rPr>
        <w:t xml:space="preserve">模型介绍　</w:t>
      </w:r>
      <w:r>
        <w:rPr>
          <w:rFonts w:ascii="宋体" w:hAnsi="宋体" w:eastAsia="宋体"/>
          <w:b w:val="0"/>
          <w:sz w:val="21"/>
        </w:rPr>
        <w:t>多元线性回归以自变量的线性组合拟合连续因变量，以最小二乘法估计系数（表达式见“模型公式”）。标准化系数可跨变量比较影响强度；R² 与调整 R² 度量解释力，VIF 诊断共线性。</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y = β0 + β1x1 + … + βpxp + ε</w:t>
      </w:r>
    </w:p>
    <w:p>
      <w:pPr>
        <w:spacing w:before="40" w:after="40" w:line="269" w:lineRule="auto"/>
        <w:jc w:val="center"/>
      </w:pPr>
      <w:r>
        <w:rPr>
          <w:rFonts w:ascii="Times New Roman" w:hAnsi="Times New Roman" w:eastAsia="宋体"/>
          <w:b w:val="0"/>
          <w:color w:val="1A1A1A"/>
          <w:sz w:val="21"/>
        </w:rPr>
        <w:t>VIFj = 1 / (1 − Rj²)</w:t>
      </w:r>
    </w:p>
    <w:p>
      <w:pPr>
        <w:spacing w:before="0" w:after="80"/>
        <w:ind w:left="420"/>
      </w:pPr>
      <w:r>
        <w:rPr>
          <w:rFonts w:ascii="宋体" w:hAnsi="宋体" w:eastAsia="宋体"/>
          <w:b w:val="0"/>
          <w:color w:val="404040"/>
          <w:sz w:val="18"/>
        </w:rPr>
        <w:t>式中：βj 为偏回归系数，ε 为随机误差；Rj² 为第 j 个自变量对其余自变量回归的决定系数。</w:t>
      </w:r>
    </w:p>
    <w:p>
      <w:r>
        <w:rPr>
          <w:rFonts w:ascii="黑体" w:hAnsi="黑体" w:eastAsia="黑体"/>
          <w:b/>
          <w:sz w:val="21"/>
        </w:rPr>
        <w:t xml:space="preserve">适用范围　</w:t>
      </w:r>
      <w:r>
        <w:rPr>
          <w:rFonts w:ascii="宋体" w:hAnsi="宋体" w:eastAsia="宋体"/>
          <w:b w:val="0"/>
          <w:sz w:val="21"/>
        </w:rPr>
        <w:t>因变量须为连续或近似连续变量，样本量宜为自变量数的 10—20 倍。须报告调整 R²、F 检验与 VIF（&lt;5 为宜）。回归仅刻画相关关系，不宜作因果表述；因变量为二分类时应改用 Logistic 回归。</w:t>
      </w:r>
    </w:p>
    <w:p>
      <w:r>
        <w:rPr>
          <w:rFonts w:ascii="黑体" w:hAnsi="黑体" w:eastAsia="黑体"/>
          <w:b/>
          <w:sz w:val="21"/>
        </w:rPr>
        <w:t xml:space="preserve">应用实例　</w:t>
      </w:r>
      <w:r>
        <w:rPr>
          <w:rFonts w:ascii="宋体" w:hAnsi="宋体" w:eastAsia="宋体"/>
          <w:b w:val="0"/>
          <w:sz w:val="21"/>
        </w:rPr>
        <w:t>以口味、价格、知名度、包装预测购买意愿，得调整 R²=0.38、F=24.6（p&lt;0.001）；口味 β=0.42（p&lt;0.001）、价格 β=−0.28（p=0.002）、知名度与包装不显著；VIF 均小于 2，无共线性问题。</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OpenStax. Introductory Statistics: Linear Regression and Correlation[M/OL]. Houston: Rice University, 2023.</w:t>
      </w:r>
    </w:p>
    <w:p>
      <w:pPr>
        <w:spacing w:after="80"/>
        <w:ind w:left="595"/>
      </w:pPr>
      <w:hyperlink r:id="rId35">
        <w:r>
          <w:rPr>
            <w:rFonts w:ascii="宋体" w:hAnsi="宋体" w:eastAsia="宋体"/>
            <w:color w:val="1155CC"/>
            <w:u w:val="single"/>
            <w:sz w:val="17"/>
          </w:rPr>
          <w:t xml:space="preserve">https://openstax.org/books/introductory-statistics/pages/12-introduction</w:t>
        </w:r>
      </w:hyperlink>
    </w:p>
    <w:p>
      <w:pPr>
        <w:spacing w:after="0"/>
        <w:ind w:left="420" w:hanging="420"/>
      </w:pPr>
      <w:r>
        <w:rPr>
          <w:rFonts w:ascii="宋体" w:hAnsi="宋体" w:eastAsia="宋体"/>
          <w:b w:val="0"/>
          <w:sz w:val="18"/>
        </w:rPr>
        <w:t>[2] NIST/SEMATECH. e-Handbook of Statistical Methods: Multiple Linear Regression[EB/OL]. (2012-04-01)[2026-10-18].</w:t>
      </w:r>
    </w:p>
    <w:p>
      <w:pPr>
        <w:spacing w:after="80"/>
        <w:ind w:left="595"/>
      </w:pPr>
      <w:hyperlink r:id="rId36">
        <w:r>
          <w:rPr>
            <w:rFonts w:ascii="宋体" w:hAnsi="宋体" w:eastAsia="宋体"/>
            <w:color w:val="1155CC"/>
            <w:u w:val="single"/>
            <w:sz w:val="17"/>
          </w:rPr>
          <w:t xml:space="preserve">https://www.itl.nist.gov/div898/handbook/pmd/section4/pmd44.htm</w:t>
        </w:r>
      </w:hyperlink>
    </w:p>
    <w:p>
      <w:pPr>
        <w:pStyle w:val="Heading2"/>
      </w:pPr>
      <w:r>
        <w:t>2.8　二元 Logistic 回归（Binary Logistic Regression）</w:t>
      </w:r>
    </w:p>
    <w:p>
      <w:r>
        <w:rPr>
          <w:rFonts w:ascii="黑体" w:hAnsi="黑体" w:eastAsia="黑体"/>
          <w:b/>
          <w:sz w:val="21"/>
        </w:rPr>
        <w:t xml:space="preserve">模型介绍　</w:t>
      </w:r>
      <w:r>
        <w:rPr>
          <w:rFonts w:ascii="宋体" w:hAnsi="宋体" w:eastAsia="宋体"/>
          <w:b w:val="0"/>
          <w:sz w:val="21"/>
        </w:rPr>
        <w:t>二元 Logistic 回归以 Logit 变换将线性预测映射为 0—1 之间的概率（表达式见“模型公式”）。系数取指数得发生比 Exp(B)，表示该组事件发生几率相对于参照组的倍数。</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ln[ p / (1 − p) ] = β0 + β1x1 + … + βpxp</w:t>
      </w:r>
    </w:p>
    <w:p>
      <w:pPr>
        <w:spacing w:before="40" w:after="40" w:line="269" w:lineRule="auto"/>
        <w:jc w:val="center"/>
      </w:pPr>
      <w:r>
        <w:rPr>
          <w:rFonts w:ascii="Times New Roman" w:hAnsi="Times New Roman" w:eastAsia="宋体"/>
          <w:b w:val="0"/>
          <w:color w:val="1A1A1A"/>
          <w:sz w:val="21"/>
        </w:rPr>
        <w:t>ORj = exp(βj)</w:t>
      </w:r>
    </w:p>
    <w:p>
      <w:pPr>
        <w:spacing w:before="0" w:after="80"/>
        <w:ind w:left="420"/>
      </w:pPr>
      <w:r>
        <w:rPr>
          <w:rFonts w:ascii="宋体" w:hAnsi="宋体" w:eastAsia="宋体"/>
          <w:b w:val="0"/>
          <w:color w:val="404040"/>
          <w:sz w:val="18"/>
        </w:rPr>
        <w:t>式中：p 为事件发生概率，βj 为回归系数，ORj 为第 j 个变量的发生比。</w:t>
      </w:r>
    </w:p>
    <w:p>
      <w:r>
        <w:rPr>
          <w:rFonts w:ascii="黑体" w:hAnsi="黑体" w:eastAsia="黑体"/>
          <w:b/>
          <w:sz w:val="21"/>
        </w:rPr>
        <w:t xml:space="preserve">适用范围　</w:t>
      </w:r>
      <w:r>
        <w:rPr>
          <w:rFonts w:ascii="宋体" w:hAnsi="宋体" w:eastAsia="宋体"/>
          <w:b w:val="0"/>
          <w:sz w:val="21"/>
        </w:rPr>
        <w:t>因变量须为二分类，分类自变量的参照组须明示。每自变量宜对应 10—20 个事件样本；须报告 Hosmer-Lemeshow 拟合优度与分类正确率。出现极大标准误通常提示类别稀疏或完全分离，须合并类别。</w:t>
      </w:r>
    </w:p>
    <w:p>
      <w:r>
        <w:rPr>
          <w:rFonts w:ascii="黑体" w:hAnsi="黑体" w:eastAsia="黑体"/>
          <w:b/>
          <w:sz w:val="21"/>
        </w:rPr>
        <w:t xml:space="preserve">应用实例　</w:t>
      </w:r>
      <w:r>
        <w:rPr>
          <w:rFonts w:ascii="宋体" w:hAnsi="宋体" w:eastAsia="宋体"/>
          <w:b w:val="0"/>
          <w:sz w:val="21"/>
        </w:rPr>
        <w:t>以“是否购买”为因变量，得“听说过该品牌”的 B=1.20、Exp(B)=3.32、p=0.001，可表述为：听说过该品牌的受访者购买几率约为未听说者的 3.3 倍；年龄项 p=0.210，未通过显著性检验，不作解释。</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scikit-learn developers. Logistic regression[EB/OL]. (2024-01-01)[2026-10-18].</w:t>
      </w:r>
    </w:p>
    <w:p>
      <w:pPr>
        <w:spacing w:after="80"/>
        <w:ind w:left="595"/>
      </w:pPr>
      <w:hyperlink r:id="rId37">
        <w:r>
          <w:rPr>
            <w:rFonts w:ascii="宋体" w:hAnsi="宋体" w:eastAsia="宋体"/>
            <w:color w:val="1155CC"/>
            <w:u w:val="single"/>
            <w:sz w:val="17"/>
          </w:rPr>
          <w:t xml:space="preserve">https://scikit-learn.org/stable/modules/generated/sklearn.linear_model.LogisticRegression.html</w:t>
        </w:r>
      </w:hyperlink>
    </w:p>
    <w:p>
      <w:pPr>
        <w:spacing w:after="0"/>
        <w:ind w:left="420" w:hanging="420"/>
      </w:pPr>
      <w:r>
        <w:rPr>
          <w:rFonts w:ascii="宋体" w:hAnsi="宋体" w:eastAsia="宋体"/>
          <w:b w:val="0"/>
          <w:sz w:val="18"/>
        </w:rPr>
        <w:t>[2] Penn State Eberly College of Science. STAT 504: Analysis of Discrete Data[EB/OL]. (2024-01-01)[2026-10-18].</w:t>
      </w:r>
    </w:p>
    <w:p>
      <w:pPr>
        <w:spacing w:after="80"/>
        <w:ind w:left="595"/>
      </w:pPr>
      <w:hyperlink r:id="rId28">
        <w:r>
          <w:rPr>
            <w:rFonts w:ascii="宋体" w:hAnsi="宋体" w:eastAsia="宋体"/>
            <w:color w:val="1155CC"/>
            <w:u w:val="single"/>
            <w:sz w:val="17"/>
          </w:rPr>
          <w:t xml:space="preserve">https://online.stat.psu.edu/stat504/</w:t>
        </w:r>
      </w:hyperlink>
    </w:p>
    <w:p>
      <w:pPr>
        <w:pStyle w:val="Heading2"/>
      </w:pPr>
      <w:r>
        <w:t>2.9　SERVPERF 服务质量模型（SERVPERF Service Quality Model）</w:t>
      </w:r>
    </w:p>
    <w:p>
      <w:r>
        <w:rPr>
          <w:rFonts w:ascii="黑体" w:hAnsi="黑体" w:eastAsia="黑体"/>
          <w:b/>
          <w:sz w:val="21"/>
        </w:rPr>
        <w:t xml:space="preserve">模型介绍　</w:t>
      </w:r>
      <w:r>
        <w:rPr>
          <w:rFonts w:ascii="宋体" w:hAnsi="宋体" w:eastAsia="宋体"/>
          <w:b w:val="0"/>
          <w:sz w:val="21"/>
        </w:rPr>
        <w:t>SERVPERF 由 Cronin 与 Taylor 于 1992 年提出，以消费者实际感知的服务表现直接度量服务质量，不引入期望减实际的差值结构。模型将服务质量划分为有形性、可靠性、响应性、保证性与移情性五个维度。</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SQ = (1 / m) · Σ SQj　（j = 1, …, 5）</w:t>
      </w:r>
    </w:p>
    <w:p>
      <w:pPr>
        <w:spacing w:before="0" w:after="80"/>
        <w:ind w:left="420"/>
      </w:pPr>
      <w:r>
        <w:rPr>
          <w:rFonts w:ascii="宋体" w:hAnsi="宋体" w:eastAsia="宋体"/>
          <w:b w:val="0"/>
          <w:color w:val="404040"/>
          <w:sz w:val="18"/>
        </w:rPr>
        <w:t>式中：SQj 为有形性、可靠性、响应性、保证性与移情性五个维度的感知得分，m = 5。SERVPERF 直接以感知值度量，不作“期望减感知”的差值运算。</w:t>
      </w:r>
    </w:p>
    <w:p>
      <w:r>
        <w:rPr>
          <w:rFonts w:ascii="黑体" w:hAnsi="黑体" w:eastAsia="黑体"/>
          <w:b/>
          <w:sz w:val="21"/>
        </w:rPr>
        <w:t xml:space="preserve">适用范围　</w:t>
      </w:r>
      <w:r>
        <w:rPr>
          <w:rFonts w:ascii="宋体" w:hAnsi="宋体" w:eastAsia="宋体"/>
          <w:b w:val="0"/>
          <w:sz w:val="21"/>
        </w:rPr>
        <w:t>适用于服务质量与体验评价类研究，维度可依行业情境调整，并须以成熟量表为基础改写题项。区别于含期望成分的 SERVQUAL，SERVPERF 问卷更短、受访负担更低；研究非服务类构念时不适用。</w:t>
      </w:r>
    </w:p>
    <w:p>
      <w:r>
        <w:rPr>
          <w:rFonts w:ascii="黑体" w:hAnsi="黑体" w:eastAsia="黑体"/>
          <w:b/>
          <w:sz w:val="21"/>
        </w:rPr>
        <w:t xml:space="preserve">应用实例　</w:t>
      </w:r>
      <w:r>
        <w:rPr>
          <w:rFonts w:ascii="宋体" w:hAnsi="宋体" w:eastAsia="宋体"/>
          <w:b w:val="0"/>
          <w:sz w:val="21"/>
        </w:rPr>
        <w:t>以五维度各 4 题、五级计分测量 AI 客服，得整体均值 3.58；有形性 3.61 最高，移情性 3.53 最低；各维度 α 介于 0.896—0.942。据此判定硬件表现较优、情感交互为短板。</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Cronin, J. J., Taylor, S. A. Measuring service quality: a reexamination and extension[J]. Journal of Marketing, 1992, 56(3): 55-68.</w:t>
      </w:r>
    </w:p>
    <w:p>
      <w:pPr>
        <w:spacing w:after="80"/>
        <w:ind w:left="595"/>
      </w:pPr>
      <w:hyperlink r:id="rId38">
        <w:r>
          <w:rPr>
            <w:rFonts w:ascii="宋体" w:hAnsi="宋体" w:eastAsia="宋体"/>
            <w:color w:val="1155CC"/>
            <w:u w:val="single"/>
            <w:sz w:val="17"/>
          </w:rPr>
          <w:t xml:space="preserve">https://doi.org/10.1177/002224299205600304</w:t>
        </w:r>
      </w:hyperlink>
    </w:p>
    <w:p>
      <w:pPr>
        <w:spacing w:after="0"/>
        <w:ind w:left="420" w:hanging="420"/>
      </w:pPr>
      <w:r>
        <w:rPr>
          <w:rFonts w:ascii="宋体" w:hAnsi="宋体" w:eastAsia="宋体"/>
          <w:b w:val="0"/>
          <w:sz w:val="18"/>
        </w:rPr>
        <w:t>[2] Cronin, J. J., Taylor, S. A. SERVPERF versus SERVQUAL: reconciling performance-based and perceptions-minus-expectations measurement of service quality[J]. Journal of Marketing, 1994, 58(1): 53-66.</w:t>
      </w:r>
    </w:p>
    <w:p>
      <w:pPr>
        <w:spacing w:after="80"/>
        <w:ind w:left="595"/>
      </w:pPr>
      <w:hyperlink r:id="rId39">
        <w:r>
          <w:rPr>
            <w:rFonts w:ascii="宋体" w:hAnsi="宋体" w:eastAsia="宋体"/>
            <w:color w:val="1155CC"/>
            <w:u w:val="single"/>
            <w:sz w:val="17"/>
          </w:rPr>
          <w:t xml:space="preserve">https://doi.org/10.1177/002224299405800104</w:t>
        </w:r>
      </w:hyperlink>
    </w:p>
    <w:p>
      <w:pPr>
        <w:pStyle w:val="Heading2"/>
      </w:pPr>
      <w:r>
        <w:t>2.10　IPA 分析（Importance-Performance Analysis）</w:t>
      </w:r>
    </w:p>
    <w:p>
      <w:r>
        <w:rPr>
          <w:rFonts w:ascii="黑体" w:hAnsi="黑体" w:eastAsia="黑体"/>
          <w:b/>
          <w:sz w:val="21"/>
        </w:rPr>
        <w:t xml:space="preserve">模型介绍　</w:t>
      </w:r>
      <w:r>
        <w:rPr>
          <w:rFonts w:ascii="宋体" w:hAnsi="宋体" w:eastAsia="宋体"/>
          <w:b w:val="0"/>
          <w:sz w:val="21"/>
        </w:rPr>
        <w:t>IPA 由 Martilla 与 James 于 1977 年提出，以重要度为纵轴、满意度（表现）为横轴构建四象限图，以两轴均值划分优势区、改进区、低优先区与过度区，从而确定资源投放的优先次序。</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改进区：Ii &gt; mean(I) 且 Pi &lt; mean(P)</w:t>
      </w:r>
    </w:p>
    <w:p>
      <w:pPr>
        <w:spacing w:before="40" w:after="40" w:line="269" w:lineRule="auto"/>
        <w:jc w:val="center"/>
      </w:pPr>
      <w:r>
        <w:rPr>
          <w:rFonts w:ascii="Times New Roman" w:hAnsi="Times New Roman" w:eastAsia="宋体"/>
          <w:b w:val="0"/>
          <w:color w:val="1A1A1A"/>
          <w:sz w:val="21"/>
        </w:rPr>
        <w:t>优势区：Ii &gt; mean(I) 且 Pi &gt; mean(P)</w:t>
      </w:r>
    </w:p>
    <w:p>
      <w:pPr>
        <w:spacing w:before="40" w:after="40" w:line="269" w:lineRule="auto"/>
        <w:jc w:val="center"/>
      </w:pPr>
      <w:r>
        <w:rPr>
          <w:rFonts w:ascii="Times New Roman" w:hAnsi="Times New Roman" w:eastAsia="宋体"/>
          <w:b w:val="0"/>
          <w:color w:val="1A1A1A"/>
          <w:sz w:val="21"/>
        </w:rPr>
        <w:t>低优先区：Ii &lt; mean(I) 且 Pi &lt; mean(P)</w:t>
      </w:r>
    </w:p>
    <w:p>
      <w:pPr>
        <w:spacing w:before="40" w:after="40" w:line="269" w:lineRule="auto"/>
        <w:jc w:val="center"/>
      </w:pPr>
      <w:r>
        <w:rPr>
          <w:rFonts w:ascii="Times New Roman" w:hAnsi="Times New Roman" w:eastAsia="宋体"/>
          <w:b w:val="0"/>
          <w:color w:val="1A1A1A"/>
          <w:sz w:val="21"/>
        </w:rPr>
        <w:t>过度区：Ii &lt; mean(I) 且 Pi &gt; mean(P)</w:t>
      </w:r>
    </w:p>
    <w:p>
      <w:pPr>
        <w:spacing w:before="0" w:after="80"/>
        <w:ind w:left="420"/>
      </w:pPr>
      <w:r>
        <w:rPr>
          <w:rFonts w:ascii="宋体" w:hAnsi="宋体" w:eastAsia="宋体"/>
          <w:b w:val="0"/>
          <w:color w:val="404040"/>
          <w:sz w:val="18"/>
        </w:rPr>
        <w:t>式中：Ii 为第 i 项指标的重要度，Pi 为其满意度（表现值）；分割线取两轴均值，亦可取中位数或量表中点，须在报告中注明。</w:t>
      </w:r>
    </w:p>
    <w:p>
      <w:r>
        <w:rPr>
          <w:rFonts w:ascii="黑体" w:hAnsi="黑体" w:eastAsia="黑体"/>
          <w:b/>
          <w:sz w:val="21"/>
        </w:rPr>
        <w:t xml:space="preserve">适用范围　</w:t>
      </w:r>
      <w:r>
        <w:rPr>
          <w:rFonts w:ascii="宋体" w:hAnsi="宋体" w:eastAsia="宋体"/>
          <w:b w:val="0"/>
          <w:sz w:val="21"/>
        </w:rPr>
        <w:t>适用于多指标改进优先级的排序，须同时具备重要度与满意度两组数据。重要度来源（专家赋权或消费者评分）与分割线取法（均值、中位数或量表中点）须在报告中明示；指标过多时应分维度绘图。</w:t>
      </w:r>
    </w:p>
    <w:p>
      <w:r>
        <w:rPr>
          <w:rFonts w:ascii="黑体" w:hAnsi="黑体" w:eastAsia="黑体"/>
          <w:b/>
          <w:sz w:val="21"/>
        </w:rPr>
        <w:t xml:space="preserve">应用实例　</w:t>
      </w:r>
      <w:r>
        <w:rPr>
          <w:rFonts w:ascii="宋体" w:hAnsi="宋体" w:eastAsia="宋体"/>
          <w:b w:val="0"/>
          <w:sz w:val="21"/>
        </w:rPr>
        <w:t>四指标的重要度为 0.06、0.49、0.36、0.10，满意度为 3.90、3.50、3.80、3.60，两轴均值分别为 0.25 与 3.70。第二项落于改进区（重要度高、满意度低），定为优先改进对象。</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Martilla, J. A., James, J. C. Importance-performance analysis[J]. Journal of Marketing, 1977, 41(1): 77-79.</w:t>
      </w:r>
    </w:p>
    <w:p>
      <w:pPr>
        <w:spacing w:after="80"/>
        <w:ind w:left="595"/>
      </w:pPr>
      <w:hyperlink r:id="rId40">
        <w:r>
          <w:rPr>
            <w:rFonts w:ascii="宋体" w:hAnsi="宋体" w:eastAsia="宋体"/>
            <w:color w:val="1155CC"/>
            <w:u w:val="single"/>
            <w:sz w:val="17"/>
          </w:rPr>
          <w:t xml:space="preserve">https://doi.org/10.1177/002224297704100112</w:t>
        </w:r>
      </w:hyperlink>
    </w:p>
    <w:p>
      <w:pPr>
        <w:spacing w:after="0"/>
        <w:ind w:left="420" w:hanging="420"/>
      </w:pPr>
      <w:r>
        <w:rPr>
          <w:rFonts w:ascii="宋体" w:hAnsi="宋体" w:eastAsia="宋体"/>
          <w:b w:val="0"/>
          <w:sz w:val="18"/>
        </w:rPr>
        <w:t>[2] Sever, I. Importance-performance analysis: a valid management tool?[J]. Tourism Management, 2015, 48: 43-53.</w:t>
      </w:r>
    </w:p>
    <w:p>
      <w:pPr>
        <w:spacing w:after="80"/>
        <w:ind w:left="595"/>
      </w:pPr>
      <w:hyperlink r:id="rId41">
        <w:r>
          <w:rPr>
            <w:rFonts w:ascii="宋体" w:hAnsi="宋体" w:eastAsia="宋体"/>
            <w:color w:val="1155CC"/>
            <w:u w:val="single"/>
            <w:sz w:val="17"/>
          </w:rPr>
          <w:t xml:space="preserve">https://doi.org/10.1016/j.tourman.2014.10.022</w:t>
        </w:r>
      </w:hyperlink>
    </w:p>
    <w:p>
      <w:pPr>
        <w:pStyle w:val="Heading2"/>
      </w:pPr>
      <w:r>
        <w:t>2.11　Python 网络爬虫（Web Crawling）</w:t>
      </w:r>
    </w:p>
    <w:p>
      <w:r>
        <w:rPr>
          <w:rFonts w:ascii="黑体" w:hAnsi="黑体" w:eastAsia="黑体"/>
          <w:b/>
          <w:sz w:val="21"/>
        </w:rPr>
        <w:t xml:space="preserve">模型介绍　</w:t>
      </w:r>
      <w:r>
        <w:rPr>
          <w:rFonts w:ascii="宋体" w:hAnsi="宋体" w:eastAsia="宋体"/>
          <w:b w:val="0"/>
          <w:sz w:val="21"/>
        </w:rPr>
        <w:t>网络爬虫以 HTTP 请求或浏览器自动化方式获取网页文档，经解析器定位目标节点并抽取结构化字段，最终落库为表格数据。对依赖脚本渲染的页面，通常采用 Selenium 等无头浏览器方案模拟滚动与点击。</w:t>
      </w:r>
    </w:p>
    <w:p>
      <w:pPr>
        <w:spacing w:after="40"/>
      </w:pPr>
      <w:r>
        <w:rPr>
          <w:rFonts w:ascii="黑体" w:hAnsi="黑体" w:eastAsia="黑体"/>
          <w:b/>
          <w:sz w:val="21"/>
        </w:rPr>
        <w:t xml:space="preserve">模型公式　</w:t>
      </w:r>
      <w:r>
        <w:rPr>
          <w:rFonts w:ascii="宋体" w:hAnsi="宋体" w:eastAsia="宋体"/>
          <w:b w:val="0"/>
          <w:color w:val="606060"/>
          <w:sz w:val="18"/>
        </w:rPr>
        <w:t>工程方法，无理论公式；下列为抓取质量的核心度量。</w:t>
      </w:r>
    </w:p>
    <w:p>
      <w:pPr>
        <w:spacing w:before="40" w:after="40" w:line="269" w:lineRule="auto"/>
        <w:jc w:val="center"/>
      </w:pPr>
      <w:r>
        <w:rPr>
          <w:rFonts w:ascii="Times New Roman" w:hAnsi="Times New Roman" w:eastAsia="宋体"/>
          <w:b w:val="0"/>
          <w:color w:val="1A1A1A"/>
          <w:sz w:val="21"/>
        </w:rPr>
        <w:t>η = N(valid) / N(crawled)</w:t>
      </w:r>
    </w:p>
    <w:p>
      <w:pPr>
        <w:spacing w:before="0" w:after="80"/>
        <w:ind w:left="420"/>
      </w:pPr>
      <w:r>
        <w:rPr>
          <w:rFonts w:ascii="宋体" w:hAnsi="宋体" w:eastAsia="宋体"/>
          <w:b w:val="0"/>
          <w:color w:val="404040"/>
          <w:sz w:val="18"/>
        </w:rPr>
        <w:t>式中：N(crawled) 为抓取条目总数，N(valid) 为去重、去噪后的有效条目数，η 为有效率。</w:t>
      </w:r>
    </w:p>
    <w:p>
      <w:r>
        <w:rPr>
          <w:rFonts w:ascii="黑体" w:hAnsi="黑体" w:eastAsia="黑体"/>
          <w:b/>
          <w:sz w:val="21"/>
        </w:rPr>
        <w:t xml:space="preserve">适用范围　</w:t>
      </w:r>
      <w:r>
        <w:rPr>
          <w:rFonts w:ascii="宋体" w:hAnsi="宋体" w:eastAsia="宋体"/>
          <w:b w:val="0"/>
          <w:sz w:val="21"/>
        </w:rPr>
        <w:t>适用于获取大规模公开文本数据，如商品评论与社区帖子。须遵守 robots.txt 与平台协议，控制请求频率，不得抓取个人信息。反爬机制较强的平台宜改用官方接口；抓取后须执行去重、去噪与长度过滤。</w:t>
      </w:r>
    </w:p>
    <w:p>
      <w:r>
        <w:rPr>
          <w:rFonts w:ascii="黑体" w:hAnsi="黑体" w:eastAsia="黑体"/>
          <w:b/>
          <w:sz w:val="21"/>
        </w:rPr>
        <w:t xml:space="preserve">应用实例　</w:t>
      </w:r>
      <w:r>
        <w:rPr>
          <w:rFonts w:ascii="宋体" w:hAnsi="宋体" w:eastAsia="宋体"/>
          <w:b w:val="0"/>
          <w:sz w:val="21"/>
        </w:rPr>
        <w:t>以 Selenium 抓取商品评论并滚动加载 20 次，解析评论节点文本后保存为 Excel；共获取 5457 条，剔除重复与无效 887 条，留有效 4570 条，并在报告中写明“抓取—清洗—有效”的数据链条。</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Python Software Foundation. urllib.request: extensible library for opening URLs[EB/OL]. (2024-01-01)[2026-10-18].</w:t>
      </w:r>
    </w:p>
    <w:p>
      <w:pPr>
        <w:spacing w:after="80"/>
        <w:ind w:left="595"/>
      </w:pPr>
      <w:hyperlink r:id="rId42">
        <w:r>
          <w:rPr>
            <w:rFonts w:ascii="宋体" w:hAnsi="宋体" w:eastAsia="宋体"/>
            <w:color w:val="1155CC"/>
            <w:u w:val="single"/>
            <w:sz w:val="17"/>
          </w:rPr>
          <w:t xml:space="preserve">https://docs.python.org/3/library/urllib.request.html</w:t>
        </w:r>
      </w:hyperlink>
    </w:p>
    <w:p>
      <w:pPr>
        <w:spacing w:after="0"/>
        <w:ind w:left="420" w:hanging="420"/>
      </w:pPr>
      <w:r>
        <w:rPr>
          <w:rFonts w:ascii="宋体" w:hAnsi="宋体" w:eastAsia="宋体"/>
          <w:b w:val="0"/>
          <w:sz w:val="18"/>
        </w:rPr>
        <w:t>[2] Selenium Project. Selenium Documentation[EB/OL]. (2024-01-01)[2026-10-18].</w:t>
      </w:r>
    </w:p>
    <w:p>
      <w:pPr>
        <w:spacing w:after="80"/>
        <w:ind w:left="595"/>
      </w:pPr>
      <w:hyperlink r:id="rId43">
        <w:r>
          <w:rPr>
            <w:rFonts w:ascii="宋体" w:hAnsi="宋体" w:eastAsia="宋体"/>
            <w:color w:val="1155CC"/>
            <w:u w:val="single"/>
            <w:sz w:val="17"/>
          </w:rPr>
          <w:t xml:space="preserve">https://www.selenium.dev/documentation/</w:t>
        </w:r>
      </w:hyperlink>
    </w:p>
    <w:p>
      <w:pPr>
        <w:pStyle w:val="Heading2"/>
      </w:pPr>
      <w:r>
        <w:t>2.12　SnowNLP 情感分析（Sentiment Analysis with SnowNLP）</w:t>
      </w:r>
    </w:p>
    <w:p>
      <w:r>
        <w:rPr>
          <w:rFonts w:ascii="黑体" w:hAnsi="黑体" w:eastAsia="黑体"/>
          <w:b/>
          <w:sz w:val="21"/>
        </w:rPr>
        <w:t xml:space="preserve">模型介绍　</w:t>
      </w:r>
      <w:r>
        <w:rPr>
          <w:rFonts w:ascii="宋体" w:hAnsi="宋体" w:eastAsia="宋体"/>
          <w:b w:val="0"/>
          <w:sz w:val="21"/>
        </w:rPr>
        <w:t>情感分析判定文本片段的极性。SnowNLP 为基于朴素贝叶斯的中文情感计算库，输出 0—1 的情感得分，通常以 0.6 与 0.4 为正面、中性与负面的分界阈值。该方法计算成本低，适合大规模语料的初步标注。</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score(d) ∈ [0, 1]</w:t>
      </w:r>
    </w:p>
    <w:p>
      <w:pPr>
        <w:spacing w:before="40" w:after="40" w:line="269" w:lineRule="auto"/>
        <w:jc w:val="center"/>
      </w:pPr>
      <w:r>
        <w:rPr>
          <w:rFonts w:ascii="Times New Roman" w:hAnsi="Times New Roman" w:eastAsia="宋体"/>
          <w:b w:val="0"/>
          <w:color w:val="1A1A1A"/>
          <w:sz w:val="21"/>
        </w:rPr>
        <w:t>判定：score &gt; 0.6 为正面；score &lt; 0.4 为负面；其余为中性</w:t>
      </w:r>
    </w:p>
    <w:p>
      <w:pPr>
        <w:spacing w:before="0" w:after="80"/>
        <w:ind w:left="420"/>
      </w:pPr>
      <w:r>
        <w:rPr>
          <w:rFonts w:ascii="宋体" w:hAnsi="宋体" w:eastAsia="宋体"/>
          <w:b w:val="0"/>
          <w:color w:val="404040"/>
          <w:sz w:val="18"/>
        </w:rPr>
        <w:t>式中：score(d) 为文本 d 的情感得分，由朴素贝叶斯分类器输出。</w:t>
      </w:r>
    </w:p>
    <w:p>
      <w:r>
        <w:rPr>
          <w:rFonts w:ascii="黑体" w:hAnsi="黑体" w:eastAsia="黑体"/>
          <w:b/>
          <w:sz w:val="21"/>
        </w:rPr>
        <w:t xml:space="preserve">适用范围　</w:t>
      </w:r>
      <w:r>
        <w:rPr>
          <w:rFonts w:ascii="宋体" w:hAnsi="宋体" w:eastAsia="宋体"/>
          <w:b w:val="0"/>
          <w:sz w:val="21"/>
        </w:rPr>
        <w:t>适用于评论语料的整体倾向度量与负面样本筛选。对反讽、双重否定与方言的判别能力有限，准确率约 70%—80%，须抽取样本人工复核并报告一致率；不宜据单条结果下结论。</w:t>
      </w:r>
    </w:p>
    <w:p>
      <w:r>
        <w:rPr>
          <w:rFonts w:ascii="黑体" w:hAnsi="黑体" w:eastAsia="黑体"/>
          <w:b/>
          <w:sz w:val="21"/>
        </w:rPr>
        <w:t xml:space="preserve">应用实例　</w:t>
      </w:r>
      <w:r>
        <w:rPr>
          <w:rFonts w:ascii="宋体" w:hAnsi="宋体" w:eastAsia="宋体"/>
          <w:b w:val="0"/>
          <w:sz w:val="21"/>
        </w:rPr>
        <w:t>对 4570 条评论计算情感得分，均值 0.62，正面占 36.2%、中性 29.1%、负面 34.7%；并随机抽取 50 条人工复核，一致率 82%。据此判定评价呈明显分化而非一致正面。</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Pang, B., Lee, L., Vaithyanathan, S. Thumbs up? Sentiment classification using machine learning techniques[C]//Proceedings of EMNLP 2002. 2002: 79-86.</w:t>
      </w:r>
    </w:p>
    <w:p>
      <w:pPr>
        <w:spacing w:after="80"/>
        <w:ind w:left="595"/>
      </w:pPr>
      <w:hyperlink r:id="rId44">
        <w:r>
          <w:rPr>
            <w:rFonts w:ascii="宋体" w:hAnsi="宋体" w:eastAsia="宋体"/>
            <w:color w:val="1155CC"/>
            <w:u w:val="single"/>
            <w:sz w:val="17"/>
          </w:rPr>
          <w:t xml:space="preserve">https://aclanthology.org/W02-1011/</w:t>
        </w:r>
      </w:hyperlink>
    </w:p>
    <w:p>
      <w:pPr>
        <w:spacing w:after="0"/>
        <w:ind w:left="420" w:hanging="420"/>
      </w:pPr>
      <w:r>
        <w:rPr>
          <w:rFonts w:ascii="宋体" w:hAnsi="宋体" w:eastAsia="宋体"/>
          <w:b w:val="0"/>
          <w:sz w:val="18"/>
        </w:rPr>
        <w:t>[2] isnowfy. SnowNLP: 中文情感分析库[CP/OL]. (2020-01-01)[2026-10-18].</w:t>
      </w:r>
    </w:p>
    <w:p>
      <w:pPr>
        <w:spacing w:after="80"/>
        <w:ind w:left="595"/>
      </w:pPr>
      <w:hyperlink r:id="rId45">
        <w:r>
          <w:rPr>
            <w:rFonts w:ascii="宋体" w:hAnsi="宋体" w:eastAsia="宋体"/>
            <w:color w:val="1155CC"/>
            <w:u w:val="single"/>
            <w:sz w:val="17"/>
          </w:rPr>
          <w:t xml:space="preserve">https://github.com/isnowfy/snownlp</w:t>
        </w:r>
      </w:hyperlink>
    </w:p>
    <w:p>
      <w:pPr>
        <w:pStyle w:val="Heading2"/>
      </w:pPr>
      <w:r>
        <w:t>2.13　TF-IDF（Term Frequency-Inverse Document Frequency）</w:t>
      </w:r>
    </w:p>
    <w:p>
      <w:r>
        <w:rPr>
          <w:rFonts w:ascii="黑体" w:hAnsi="黑体" w:eastAsia="黑体"/>
          <w:b/>
          <w:sz w:val="21"/>
        </w:rPr>
        <w:t xml:space="preserve">模型介绍　</w:t>
      </w:r>
      <w:r>
        <w:rPr>
          <w:rFonts w:ascii="宋体" w:hAnsi="宋体" w:eastAsia="宋体"/>
          <w:b w:val="0"/>
          <w:sz w:val="21"/>
        </w:rPr>
        <w:t>TF-IDF 以词频与逆文档频率之积衡量词语对特定文档的区分能力：TF 反映词在文档内的出现频次，IDF 反映其在语料中的稀有程度。数值越高，越可能为该文档的特征词。该方法用于识别各品牌的差异化标签。</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tf-idf(t, d) = tf(t, d) · log[ N / df(t) ]</w:t>
      </w:r>
    </w:p>
    <w:p>
      <w:pPr>
        <w:spacing w:before="40" w:after="40" w:line="269" w:lineRule="auto"/>
        <w:jc w:val="center"/>
      </w:pPr>
      <w:r>
        <w:rPr>
          <w:rFonts w:ascii="Times New Roman" w:hAnsi="Times New Roman" w:eastAsia="宋体"/>
          <w:b w:val="0"/>
          <w:color w:val="1A1A1A"/>
          <w:sz w:val="21"/>
        </w:rPr>
        <w:t>归一化：w(t, d) = tf-idf(t, d) / √[ Σt tf-idf(t, d)² ]</w:t>
      </w:r>
    </w:p>
    <w:p>
      <w:pPr>
        <w:spacing w:before="0" w:after="80"/>
        <w:ind w:left="420"/>
      </w:pPr>
      <w:r>
        <w:rPr>
          <w:rFonts w:ascii="宋体" w:hAnsi="宋体" w:eastAsia="宋体"/>
          <w:b w:val="0"/>
          <w:color w:val="404040"/>
          <w:sz w:val="18"/>
        </w:rPr>
        <w:t>式中：tf(t, d) 为词 t 在文档 d 中的频次，N 为文档总数，df(t) 为含 t 的文档数。</w:t>
      </w:r>
    </w:p>
    <w:p>
      <w:r>
        <w:rPr>
          <w:rFonts w:ascii="黑体" w:hAnsi="黑体" w:eastAsia="黑体"/>
          <w:b/>
          <w:sz w:val="21"/>
        </w:rPr>
        <w:t xml:space="preserve">适用范围　</w:t>
      </w:r>
      <w:r>
        <w:rPr>
          <w:rFonts w:ascii="宋体" w:hAnsi="宋体" w:eastAsia="宋体"/>
          <w:b w:val="0"/>
          <w:sz w:val="21"/>
        </w:rPr>
        <w:t>适用于多文档或多品牌的文本对比与关键词抽取。中文须先分词并去除停用词；各比较组样本量应大致相当；结果仅表征区分度而非情感极性，须与正负评价标签交叉解读。</w:t>
      </w:r>
    </w:p>
    <w:p>
      <w:r>
        <w:rPr>
          <w:rFonts w:ascii="黑体" w:hAnsi="黑体" w:eastAsia="黑体"/>
          <w:b/>
          <w:sz w:val="21"/>
        </w:rPr>
        <w:t xml:space="preserve">应用实例　</w:t>
      </w:r>
      <w:r>
        <w:rPr>
          <w:rFonts w:ascii="宋体" w:hAnsi="宋体" w:eastAsia="宋体"/>
          <w:b w:val="0"/>
          <w:sz w:val="21"/>
        </w:rPr>
        <w:t>分别汇总四个品牌的评论并计算 TF-IDF：某品牌“肉馅很香”为 0.82，竞品“一夹就破”与“不新鲜”均为 1.00，可判定前者以原料为差异点，后者以饺子皮与新鲜度为主要痛点。</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Salton, G., Buckley, C. Term-weighting approaches in automatic text retrieval[J]. Information Processing &amp; Management, 1988, 24(5): 513-523.</w:t>
      </w:r>
    </w:p>
    <w:p>
      <w:pPr>
        <w:spacing w:after="80"/>
        <w:ind w:left="595"/>
      </w:pPr>
      <w:hyperlink r:id="rId46">
        <w:r>
          <w:rPr>
            <w:rFonts w:ascii="宋体" w:hAnsi="宋体" w:eastAsia="宋体"/>
            <w:color w:val="1155CC"/>
            <w:u w:val="single"/>
            <w:sz w:val="17"/>
          </w:rPr>
          <w:t xml:space="preserve">https://doi.org/10.1016/0306-4573(88)90021-0</w:t>
        </w:r>
      </w:hyperlink>
    </w:p>
    <w:p>
      <w:pPr>
        <w:spacing w:after="0"/>
        <w:ind w:left="420" w:hanging="420"/>
      </w:pPr>
      <w:r>
        <w:rPr>
          <w:rFonts w:ascii="宋体" w:hAnsi="宋体" w:eastAsia="宋体"/>
          <w:b w:val="0"/>
          <w:sz w:val="18"/>
        </w:rPr>
        <w:t>[2] scikit-learn developers. Working with text data: text feature extraction[EB/OL]. (2024-01-01)[2026-10-18].</w:t>
      </w:r>
    </w:p>
    <w:p>
      <w:pPr>
        <w:spacing w:after="80"/>
        <w:ind w:left="595"/>
      </w:pPr>
      <w:hyperlink r:id="rId47">
        <w:r>
          <w:rPr>
            <w:rFonts w:ascii="宋体" w:hAnsi="宋体" w:eastAsia="宋体"/>
            <w:color w:val="1155CC"/>
            <w:u w:val="single"/>
            <w:sz w:val="17"/>
          </w:rPr>
          <w:t xml:space="preserve">https://scikit-learn.org/stable/modules/feature_extraction.html</w:t>
        </w:r>
      </w:hyperlink>
    </w:p>
    <w:p>
      <w:pPr>
        <w:pStyle w:val="Heading2"/>
      </w:pPr>
      <w:r>
        <w:t>2.14　关联规则分析（Association Rule Mining）</w:t>
      </w:r>
    </w:p>
    <w:p>
      <w:r>
        <w:rPr>
          <w:rFonts w:ascii="黑体" w:hAnsi="黑体" w:eastAsia="黑体"/>
          <w:b/>
          <w:sz w:val="21"/>
        </w:rPr>
        <w:t xml:space="preserve">模型介绍　</w:t>
      </w:r>
      <w:r>
        <w:rPr>
          <w:rFonts w:ascii="宋体" w:hAnsi="宋体" w:eastAsia="宋体"/>
          <w:b w:val="0"/>
          <w:sz w:val="21"/>
        </w:rPr>
        <w:t>关联规则以 X→Y 形式描述项集间的共现规律，以支持度、置信度与提升度三项指标评价：支持度度量规则的普遍性，置信度度量其准确性，提升度度量其相对独立基线的增益。提升度大于 1 方表明正向关联。</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supp(X → Y) = N(X ∪ Y) / N</w:t>
      </w:r>
    </w:p>
    <w:p>
      <w:pPr>
        <w:spacing w:before="40" w:after="40" w:line="269" w:lineRule="auto"/>
        <w:jc w:val="center"/>
      </w:pPr>
      <w:r>
        <w:rPr>
          <w:rFonts w:ascii="Times New Roman" w:hAnsi="Times New Roman" w:eastAsia="宋体"/>
          <w:b w:val="0"/>
          <w:color w:val="1A1A1A"/>
          <w:sz w:val="21"/>
        </w:rPr>
        <w:t>conf(X → Y) = N(X ∪ Y) / N(X)</w:t>
      </w:r>
    </w:p>
    <w:p>
      <w:pPr>
        <w:spacing w:before="40" w:after="40" w:line="269" w:lineRule="auto"/>
        <w:jc w:val="center"/>
      </w:pPr>
      <w:r>
        <w:rPr>
          <w:rFonts w:ascii="Times New Roman" w:hAnsi="Times New Roman" w:eastAsia="宋体"/>
          <w:b w:val="0"/>
          <w:color w:val="1A1A1A"/>
          <w:sz w:val="21"/>
        </w:rPr>
        <w:t>lift(X → Y) = conf(X → Y) / supp(Y)</w:t>
      </w:r>
    </w:p>
    <w:p>
      <w:pPr>
        <w:spacing w:before="0" w:after="80"/>
        <w:ind w:left="420"/>
      </w:pPr>
      <w:r>
        <w:rPr>
          <w:rFonts w:ascii="宋体" w:hAnsi="宋体" w:eastAsia="宋体"/>
          <w:b w:val="0"/>
          <w:color w:val="404040"/>
          <w:sz w:val="18"/>
        </w:rPr>
        <w:t>式中：N(·) 为事务计数；规则有效须同时满足最小支持度、最小置信度，且提升度大于 1。</w:t>
      </w:r>
    </w:p>
    <w:p>
      <w:r>
        <w:rPr>
          <w:rFonts w:ascii="黑体" w:hAnsi="黑体" w:eastAsia="黑体"/>
          <w:b/>
          <w:sz w:val="21"/>
        </w:rPr>
        <w:t xml:space="preserve">适用范围　</w:t>
      </w:r>
      <w:r>
        <w:rPr>
          <w:rFonts w:ascii="宋体" w:hAnsi="宋体" w:eastAsia="宋体"/>
          <w:b w:val="0"/>
          <w:sz w:val="21"/>
        </w:rPr>
        <w:t>适用于多选题构成的 0/1 矩阵、购物篮与浏览记录，用于产品组合与搭配推荐。要求样本量充足（建议 200 以上），项集数量宜控制在 20 以内。须同时报告三项指标，仅依据置信度易受高频项误导。</w:t>
      </w:r>
    </w:p>
    <w:p>
      <w:r>
        <w:rPr>
          <w:rFonts w:ascii="黑体" w:hAnsi="黑体" w:eastAsia="黑体"/>
          <w:b/>
          <w:sz w:val="21"/>
        </w:rPr>
        <w:t xml:space="preserve">应用实例　</w:t>
      </w:r>
      <w:r>
        <w:rPr>
          <w:rFonts w:ascii="宋体" w:hAnsi="宋体" w:eastAsia="宋体"/>
          <w:b w:val="0"/>
          <w:sz w:val="21"/>
        </w:rPr>
        <w:t>设最小支持度 10%、最小置信度 60%，得规则“粥类→凉拌”：支持度 14.64%、置信度 90.38%、提升度 2.65；另有“煮制→清炒”支持度 43.45% 但提升度仅 1.17，表明后者虽常见却缺乏增益。</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Agrawal, R., Srikant, R. Fast algorithms for mining association rules[C]//Proceedings of the 20th International Conference on Very Large Data Bases. 1994: 487-499.</w:t>
      </w:r>
    </w:p>
    <w:p>
      <w:pPr>
        <w:spacing w:after="80"/>
        <w:ind w:left="595"/>
      </w:pPr>
      <w:hyperlink r:id="rId48">
        <w:r>
          <w:rPr>
            <w:rFonts w:ascii="宋体" w:hAnsi="宋体" w:eastAsia="宋体"/>
            <w:color w:val="1155CC"/>
            <w:u w:val="single"/>
            <w:sz w:val="17"/>
          </w:rPr>
          <w:t xml:space="preserve">https://www.vldb.org/conf/1994/P487.PDF</w:t>
        </w:r>
      </w:hyperlink>
    </w:p>
    <w:p>
      <w:pPr>
        <w:spacing w:after="0"/>
        <w:ind w:left="420" w:hanging="420"/>
      </w:pPr>
      <w:r>
        <w:rPr>
          <w:rFonts w:ascii="宋体" w:hAnsi="宋体" w:eastAsia="宋体"/>
          <w:b w:val="0"/>
          <w:sz w:val="18"/>
        </w:rPr>
        <w:t>[2] Hahsler, M., Grün, B., Hornik, K. arules—a computational environment for mining association rules and frequent item sets[J]. Journal of Statistical Software, 2005, 14(15): 1-25.</w:t>
      </w:r>
    </w:p>
    <w:p>
      <w:pPr>
        <w:spacing w:after="80"/>
        <w:ind w:left="595"/>
      </w:pPr>
      <w:hyperlink r:id="rId49">
        <w:r>
          <w:rPr>
            <w:rFonts w:ascii="宋体" w:hAnsi="宋体" w:eastAsia="宋体"/>
            <w:color w:val="1155CC"/>
            <w:u w:val="single"/>
            <w:sz w:val="17"/>
          </w:rPr>
          <w:t xml:space="preserve">https://doi.org/10.18637/jss.v014.i15</w:t>
        </w:r>
      </w:hyperlink>
    </w:p>
    <w:p>
      <w:pPr>
        <w:pStyle w:val="Heading2"/>
      </w:pPr>
      <w:r>
        <w:t>2.15　随机森林与特征重要性（Random Forest &amp; Feature Importance）</w:t>
      </w:r>
    </w:p>
    <w:p>
      <w:r>
        <w:rPr>
          <w:rFonts w:ascii="黑体" w:hAnsi="黑体" w:eastAsia="黑体"/>
          <w:b/>
          <w:sz w:val="21"/>
        </w:rPr>
        <w:t xml:space="preserve">模型介绍　</w:t>
      </w:r>
      <w:r>
        <w:rPr>
          <w:rFonts w:ascii="宋体" w:hAnsi="宋体" w:eastAsia="宋体"/>
          <w:b w:val="0"/>
          <w:sz w:val="21"/>
        </w:rPr>
        <w:t>随机森林以自助抽样构建多棵决策树，并在每次分裂时随机抽取特征子集，最终以投票或平均聚合预测结果。其内置的平均不纯度下降（MDI）可度量各特征对预测的贡献，从而输出特征重要性排序。</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分类：F(x) = argmax_c Σm I[ hm(x) = c ]</w:t>
      </w:r>
    </w:p>
    <w:p>
      <w:pPr>
        <w:spacing w:before="40" w:after="40" w:line="269" w:lineRule="auto"/>
        <w:jc w:val="center"/>
      </w:pPr>
      <w:r>
        <w:rPr>
          <w:rFonts w:ascii="Times New Roman" w:hAnsi="Times New Roman" w:eastAsia="宋体"/>
          <w:b w:val="0"/>
          <w:color w:val="1A1A1A"/>
          <w:sz w:val="21"/>
        </w:rPr>
        <w:t>回归：F(x) = (1 / M) · Σm hm(x)</w:t>
      </w:r>
    </w:p>
    <w:p>
      <w:pPr>
        <w:spacing w:before="40" w:after="40" w:line="269" w:lineRule="auto"/>
        <w:jc w:val="center"/>
      </w:pPr>
      <w:r>
        <w:rPr>
          <w:rFonts w:ascii="Times New Roman" w:hAnsi="Times New Roman" w:eastAsia="宋体"/>
          <w:b w:val="0"/>
          <w:color w:val="1A1A1A"/>
          <w:sz w:val="21"/>
        </w:rPr>
        <w:t>MDI(j) = (1 / M) · Σm Σt ΔI(j, t)</w:t>
      </w:r>
    </w:p>
    <w:p>
      <w:pPr>
        <w:spacing w:before="0" w:after="80"/>
        <w:ind w:left="420"/>
      </w:pPr>
      <w:r>
        <w:rPr>
          <w:rFonts w:ascii="宋体" w:hAnsi="宋体" w:eastAsia="宋体"/>
          <w:b w:val="0"/>
          <w:color w:val="404040"/>
          <w:sz w:val="18"/>
        </w:rPr>
        <w:t>式中：hm 为第 m 棵决策树，M 为树的数量，I[·] 为示性函数；ΔI(j, t) 为节点 t 以特征 j 分裂所降低的不纯度。</w:t>
      </w:r>
    </w:p>
    <w:p>
      <w:r>
        <w:rPr>
          <w:rFonts w:ascii="黑体" w:hAnsi="黑体" w:eastAsia="黑体"/>
          <w:b/>
          <w:sz w:val="21"/>
        </w:rPr>
        <w:t xml:space="preserve">适用范围　</w:t>
      </w:r>
      <w:r>
        <w:rPr>
          <w:rFonts w:ascii="宋体" w:hAnsi="宋体" w:eastAsia="宋体"/>
          <w:b w:val="0"/>
          <w:sz w:val="21"/>
        </w:rPr>
        <w:t>适用于高维特征筛选、非线性关系建模与分人群建模，样本量宜在数百以上。MDI 对取值较多的变量存在系统偏好，必要时改用置换重要性验证。特征重要性反映预测贡献而非因果效应；须划分训练集与测试集并报告准确率或 AUC。</w:t>
      </w:r>
    </w:p>
    <w:p>
      <w:r>
        <w:rPr>
          <w:rFonts w:ascii="黑体" w:hAnsi="黑体" w:eastAsia="黑体"/>
          <w:b/>
          <w:sz w:val="21"/>
        </w:rPr>
        <w:t xml:space="preserve">应用实例　</w:t>
      </w:r>
      <w:r>
        <w:rPr>
          <w:rFonts w:ascii="宋体" w:hAnsi="宋体" w:eastAsia="宋体"/>
          <w:b w:val="0"/>
          <w:sz w:val="21"/>
        </w:rPr>
        <w:t>以 15 个产品特征预测购买接受度（0/1），对五类人群分别建模，取 n_estimators=500。第一类人群的重要性前三位为香菇鸡肉馅、杂粮水晶皮与便携包装；测试集准确率 0.76。</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Breiman, L. Random forests[J]. Machine Learning, 2001, 45(1): 5-32.</w:t>
      </w:r>
    </w:p>
    <w:p>
      <w:pPr>
        <w:spacing w:after="80"/>
        <w:ind w:left="595"/>
      </w:pPr>
      <w:hyperlink r:id="rId50">
        <w:r>
          <w:rPr>
            <w:rFonts w:ascii="宋体" w:hAnsi="宋体" w:eastAsia="宋体"/>
            <w:color w:val="1155CC"/>
            <w:u w:val="single"/>
            <w:sz w:val="17"/>
          </w:rPr>
          <w:t xml:space="preserve">https://doi.org/10.1023/A:1010933404324</w:t>
        </w:r>
      </w:hyperlink>
    </w:p>
    <w:p>
      <w:pPr>
        <w:spacing w:after="0"/>
        <w:ind w:left="420" w:hanging="420"/>
      </w:pPr>
      <w:r>
        <w:rPr>
          <w:rFonts w:ascii="宋体" w:hAnsi="宋体" w:eastAsia="宋体"/>
          <w:b w:val="0"/>
          <w:sz w:val="18"/>
        </w:rPr>
        <w:t>[2] Genuer, R., Poggi, J. M., Tuleau-Malot, C. Variable selection using random forests[J]. Pattern Recognition Letters, 2010, 31(14): 2225-2236.</w:t>
      </w:r>
    </w:p>
    <w:p>
      <w:pPr>
        <w:spacing w:after="80"/>
        <w:ind w:left="595"/>
      </w:pPr>
      <w:hyperlink r:id="rId51">
        <w:r>
          <w:rPr>
            <w:rFonts w:ascii="宋体" w:hAnsi="宋体" w:eastAsia="宋体"/>
            <w:color w:val="1155CC"/>
            <w:u w:val="single"/>
            <w:sz w:val="17"/>
          </w:rPr>
          <w:t xml:space="preserve">https://doi.org/10.1016/j.patrec.2010.03.014</w:t>
        </w:r>
      </w:hyperlink>
    </w:p>
    <w:p>
      <w:r>
        <w:br w:type="page"/>
      </w:r>
    </w:p>
    <w:p>
      <w:pPr>
        <w:spacing w:before="40" w:after="120"/>
        <w:jc w:val="center"/>
      </w:pPr>
      <w:r>
        <w:rPr>
          <w:rFonts w:ascii="黑体" w:hAnsi="黑体" w:eastAsia="黑体"/>
          <w:b/>
          <w:sz w:val="20"/>
        </w:rPr>
        <w:t>表 2-1  第二章各模型对比</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14"/>
        <w:gridCol w:w="1814"/>
        <w:gridCol w:w="1814"/>
        <w:gridCol w:w="1814"/>
        <w:gridCol w:w="1814"/>
      </w:tblGrid>
      <w:tr>
        <w:trPr>
          <w:tblHeader w:val="true"/>
        </w:trPr>
        <w:tc>
          <w:tcPr>
            <w:tcW w:type="dxa" w:w="1644"/>
            <w:shd w:val="clear" w:color="auto" w:fill="1F3B63"/>
          </w:tcPr>
          <w:p>
            <w:pPr>
              <w:spacing w:before="40" w:after="40"/>
              <w:jc w:val="center"/>
            </w:pPr>
            <w:r>
              <w:rPr>
                <w:rFonts w:ascii="黑体" w:hAnsi="黑体" w:eastAsia="黑体"/>
                <w:b/>
                <w:color w:val="FFFFFF"/>
                <w:sz w:val="17"/>
              </w:rPr>
              <w:t>模型</w:t>
            </w:r>
          </w:p>
        </w:tc>
        <w:tc>
          <w:tcPr>
            <w:tcW w:type="dxa" w:w="1984"/>
            <w:shd w:val="clear" w:color="auto" w:fill="1F3B63"/>
          </w:tcPr>
          <w:p>
            <w:pPr>
              <w:spacing w:before="40" w:after="40"/>
              <w:jc w:val="center"/>
            </w:pPr>
            <w:r>
              <w:rPr>
                <w:rFonts w:ascii="黑体" w:hAnsi="黑体" w:eastAsia="黑体"/>
                <w:b/>
                <w:color w:val="FFFFFF"/>
                <w:sz w:val="17"/>
              </w:rPr>
              <w:t>核心用途</w:t>
            </w:r>
          </w:p>
        </w:tc>
        <w:tc>
          <w:tcPr>
            <w:tcW w:type="dxa" w:w="2041"/>
            <w:shd w:val="clear" w:color="auto" w:fill="1F3B63"/>
          </w:tcPr>
          <w:p>
            <w:pPr>
              <w:spacing w:before="40" w:after="40"/>
              <w:jc w:val="center"/>
            </w:pPr>
            <w:r>
              <w:rPr>
                <w:rFonts w:ascii="黑体" w:hAnsi="黑体" w:eastAsia="黑体"/>
                <w:b/>
                <w:color w:val="FFFFFF"/>
                <w:sz w:val="17"/>
              </w:rPr>
              <w:t>因变量/输入</w:t>
            </w:r>
          </w:p>
        </w:tc>
        <w:tc>
          <w:tcPr>
            <w:tcW w:type="dxa" w:w="2154"/>
            <w:shd w:val="clear" w:color="auto" w:fill="1F3B63"/>
          </w:tcPr>
          <w:p>
            <w:pPr>
              <w:spacing w:before="40" w:after="40"/>
              <w:jc w:val="center"/>
            </w:pPr>
            <w:r>
              <w:rPr>
                <w:rFonts w:ascii="黑体" w:hAnsi="黑体" w:eastAsia="黑体"/>
                <w:b/>
                <w:color w:val="FFFFFF"/>
                <w:sz w:val="17"/>
              </w:rPr>
              <w:t>主要输出</w:t>
            </w:r>
          </w:p>
        </w:tc>
        <w:tc>
          <w:tcPr>
            <w:tcW w:type="dxa" w:w="1247"/>
            <w:shd w:val="clear" w:color="auto" w:fill="1F3B63"/>
          </w:tcPr>
          <w:p>
            <w:pPr>
              <w:spacing w:before="40" w:after="40"/>
              <w:jc w:val="center"/>
            </w:pPr>
            <w:r>
              <w:rPr>
                <w:rFonts w:ascii="黑体" w:hAnsi="黑体" w:eastAsia="黑体"/>
                <w:b/>
                <w:color w:val="FFFFFF"/>
                <w:sz w:val="17"/>
              </w:rPr>
              <w:t>关键前提</w:t>
            </w:r>
          </w:p>
        </w:tc>
      </w:tr>
      <w:tr>
        <w:tc>
          <w:tcPr>
            <w:tcW w:type="dxa" w:w="1644"/>
          </w:tcPr>
          <w:p>
            <w:pPr>
              <w:spacing w:before="30" w:after="30" w:line="264" w:lineRule="auto"/>
              <w:jc w:val="left"/>
            </w:pPr>
            <w:r>
              <w:rPr>
                <w:rFonts w:ascii="宋体" w:hAnsi="宋体" w:eastAsia="宋体"/>
                <w:b/>
                <w:sz w:val="17"/>
              </w:rPr>
              <w:t>样本量测算</w:t>
            </w:r>
          </w:p>
        </w:tc>
        <w:tc>
          <w:tcPr>
            <w:tcW w:type="dxa" w:w="1984"/>
          </w:tcPr>
          <w:p>
            <w:pPr>
              <w:spacing w:before="30" w:after="30" w:line="264" w:lineRule="auto"/>
            </w:pPr>
            <w:r>
              <w:rPr>
                <w:rFonts w:ascii="宋体" w:hAnsi="宋体" w:eastAsia="宋体"/>
                <w:b w:val="0"/>
                <w:sz w:val="17"/>
              </w:rPr>
              <w:t>论证抽样规模</w:t>
            </w:r>
          </w:p>
        </w:tc>
        <w:tc>
          <w:tcPr>
            <w:tcW w:type="dxa" w:w="2041"/>
          </w:tcPr>
          <w:p>
            <w:pPr>
              <w:spacing w:before="30" w:after="30" w:line="264" w:lineRule="auto"/>
            </w:pPr>
            <w:r>
              <w:rPr>
                <w:rFonts w:ascii="宋体" w:hAnsi="宋体" w:eastAsia="宋体"/>
                <w:b w:val="0"/>
                <w:sz w:val="17"/>
              </w:rPr>
              <w:t>置信水平、误差、设计效应</w:t>
            </w:r>
          </w:p>
        </w:tc>
        <w:tc>
          <w:tcPr>
            <w:tcW w:type="dxa" w:w="2154"/>
          </w:tcPr>
          <w:p>
            <w:pPr>
              <w:spacing w:before="30" w:after="30" w:line="264" w:lineRule="auto"/>
            </w:pPr>
            <w:r>
              <w:rPr>
                <w:rFonts w:ascii="宋体" w:hAnsi="宋体" w:eastAsia="宋体"/>
                <w:b w:val="0"/>
                <w:sz w:val="17"/>
              </w:rPr>
              <w:t>最低样本量</w:t>
            </w:r>
          </w:p>
        </w:tc>
        <w:tc>
          <w:tcPr>
            <w:tcW w:type="dxa" w:w="1247"/>
          </w:tcPr>
          <w:p>
            <w:pPr>
              <w:spacing w:before="30" w:after="30" w:line="264" w:lineRule="auto"/>
            </w:pPr>
            <w:r>
              <w:rPr>
                <w:rFonts w:ascii="宋体" w:hAnsi="宋体" w:eastAsia="宋体"/>
                <w:b w:val="0"/>
                <w:sz w:val="17"/>
              </w:rPr>
              <w:t>参数取值须可溯</w:t>
            </w:r>
          </w:p>
        </w:tc>
      </w:tr>
      <w:tr>
        <w:tc>
          <w:tcPr>
            <w:tcW w:type="dxa" w:w="1644"/>
            <w:shd w:val="clear" w:color="auto" w:fill="F2F5FA"/>
          </w:tcPr>
          <w:p>
            <w:pPr>
              <w:spacing w:before="30" w:after="30" w:line="264" w:lineRule="auto"/>
              <w:jc w:val="left"/>
            </w:pPr>
            <w:r>
              <w:rPr>
                <w:rFonts w:ascii="宋体" w:hAnsi="宋体" w:eastAsia="宋体"/>
                <w:b/>
                <w:sz w:val="17"/>
              </w:rPr>
              <w:t>卡方检验</w:t>
            </w:r>
          </w:p>
        </w:tc>
        <w:tc>
          <w:tcPr>
            <w:tcW w:type="dxa" w:w="1984"/>
            <w:shd w:val="clear" w:color="auto" w:fill="F2F5FA"/>
          </w:tcPr>
          <w:p>
            <w:pPr>
              <w:spacing w:before="30" w:after="30" w:line="264" w:lineRule="auto"/>
            </w:pPr>
            <w:r>
              <w:rPr>
                <w:rFonts w:ascii="宋体" w:hAnsi="宋体" w:eastAsia="宋体"/>
                <w:b w:val="0"/>
                <w:sz w:val="17"/>
              </w:rPr>
              <w:t>分类变量频数比较</w:t>
            </w:r>
          </w:p>
        </w:tc>
        <w:tc>
          <w:tcPr>
            <w:tcW w:type="dxa" w:w="2041"/>
            <w:shd w:val="clear" w:color="auto" w:fill="F2F5FA"/>
          </w:tcPr>
          <w:p>
            <w:pPr>
              <w:spacing w:before="30" w:after="30" w:line="264" w:lineRule="auto"/>
            </w:pPr>
            <w:r>
              <w:rPr>
                <w:rFonts w:ascii="宋体" w:hAnsi="宋体" w:eastAsia="宋体"/>
                <w:b w:val="0"/>
                <w:sz w:val="17"/>
              </w:rPr>
              <w:t>两个分类变量或频数分布</w:t>
            </w:r>
          </w:p>
        </w:tc>
        <w:tc>
          <w:tcPr>
            <w:tcW w:type="dxa" w:w="2154"/>
            <w:shd w:val="clear" w:color="auto" w:fill="F2F5FA"/>
          </w:tcPr>
          <w:p>
            <w:pPr>
              <w:spacing w:before="30" w:after="30" w:line="264" w:lineRule="auto"/>
            </w:pPr>
            <w:r>
              <w:rPr>
                <w:rFonts w:ascii="宋体" w:hAnsi="宋体" w:eastAsia="宋体"/>
                <w:b w:val="0"/>
                <w:sz w:val="17"/>
              </w:rPr>
              <w:t>χ²、df、p</w:t>
            </w:r>
          </w:p>
        </w:tc>
        <w:tc>
          <w:tcPr>
            <w:tcW w:type="dxa" w:w="1247"/>
            <w:shd w:val="clear" w:color="auto" w:fill="F2F5FA"/>
          </w:tcPr>
          <w:p>
            <w:pPr>
              <w:spacing w:before="30" w:after="30" w:line="264" w:lineRule="auto"/>
            </w:pPr>
            <w:r>
              <w:rPr>
                <w:rFonts w:ascii="宋体" w:hAnsi="宋体" w:eastAsia="宋体"/>
                <w:b w:val="0"/>
                <w:sz w:val="17"/>
              </w:rPr>
              <w:t>期望频数≥5</w:t>
            </w:r>
          </w:p>
        </w:tc>
      </w:tr>
      <w:tr>
        <w:tc>
          <w:tcPr>
            <w:tcW w:type="dxa" w:w="1644"/>
          </w:tcPr>
          <w:p>
            <w:pPr>
              <w:spacing w:before="30" w:after="30" w:line="264" w:lineRule="auto"/>
              <w:jc w:val="left"/>
            </w:pPr>
            <w:r>
              <w:rPr>
                <w:rFonts w:ascii="宋体" w:hAnsi="宋体" w:eastAsia="宋体"/>
                <w:b/>
                <w:sz w:val="17"/>
              </w:rPr>
              <w:t>交叉分析</w:t>
            </w:r>
          </w:p>
        </w:tc>
        <w:tc>
          <w:tcPr>
            <w:tcW w:type="dxa" w:w="1984"/>
          </w:tcPr>
          <w:p>
            <w:pPr>
              <w:spacing w:before="30" w:after="30" w:line="264" w:lineRule="auto"/>
            </w:pPr>
            <w:r>
              <w:rPr>
                <w:rFonts w:ascii="宋体" w:hAnsi="宋体" w:eastAsia="宋体"/>
                <w:b w:val="0"/>
                <w:sz w:val="17"/>
              </w:rPr>
              <w:t>群体分布差异描述</w:t>
            </w:r>
          </w:p>
        </w:tc>
        <w:tc>
          <w:tcPr>
            <w:tcW w:type="dxa" w:w="2041"/>
          </w:tcPr>
          <w:p>
            <w:pPr>
              <w:spacing w:before="30" w:after="30" w:line="264" w:lineRule="auto"/>
            </w:pPr>
            <w:r>
              <w:rPr>
                <w:rFonts w:ascii="宋体" w:hAnsi="宋体" w:eastAsia="宋体"/>
                <w:b w:val="0"/>
                <w:sz w:val="17"/>
              </w:rPr>
              <w:t>两个分类变量</w:t>
            </w:r>
          </w:p>
        </w:tc>
        <w:tc>
          <w:tcPr>
            <w:tcW w:type="dxa" w:w="2154"/>
          </w:tcPr>
          <w:p>
            <w:pPr>
              <w:spacing w:before="30" w:after="30" w:line="264" w:lineRule="auto"/>
            </w:pPr>
            <w:r>
              <w:rPr>
                <w:rFonts w:ascii="宋体" w:hAnsi="宋体" w:eastAsia="宋体"/>
                <w:b w:val="0"/>
                <w:sz w:val="17"/>
              </w:rPr>
              <w:t>列联表、行百分比</w:t>
            </w:r>
          </w:p>
        </w:tc>
        <w:tc>
          <w:tcPr>
            <w:tcW w:type="dxa" w:w="1247"/>
          </w:tcPr>
          <w:p>
            <w:pPr>
              <w:spacing w:before="30" w:after="30" w:line="264" w:lineRule="auto"/>
            </w:pPr>
            <w:r>
              <w:rPr>
                <w:rFonts w:ascii="宋体" w:hAnsi="宋体" w:eastAsia="宋体"/>
                <w:b w:val="0"/>
                <w:sz w:val="17"/>
              </w:rPr>
              <w:t>多选题须用多重响应</w:t>
            </w:r>
          </w:p>
        </w:tc>
      </w:tr>
      <w:tr>
        <w:tc>
          <w:tcPr>
            <w:tcW w:type="dxa" w:w="1644"/>
            <w:shd w:val="clear" w:color="auto" w:fill="F2F5FA"/>
          </w:tcPr>
          <w:p>
            <w:pPr>
              <w:spacing w:before="30" w:after="30" w:line="264" w:lineRule="auto"/>
              <w:jc w:val="left"/>
            </w:pPr>
            <w:r>
              <w:rPr>
                <w:rFonts w:ascii="宋体" w:hAnsi="宋体" w:eastAsia="宋体"/>
                <w:b/>
                <w:sz w:val="17"/>
              </w:rPr>
              <w:t>方差分析</w:t>
            </w:r>
          </w:p>
        </w:tc>
        <w:tc>
          <w:tcPr>
            <w:tcW w:type="dxa" w:w="1984"/>
            <w:shd w:val="clear" w:color="auto" w:fill="F2F5FA"/>
          </w:tcPr>
          <w:p>
            <w:pPr>
              <w:spacing w:before="30" w:after="30" w:line="264" w:lineRule="auto"/>
            </w:pPr>
            <w:r>
              <w:rPr>
                <w:rFonts w:ascii="宋体" w:hAnsi="宋体" w:eastAsia="宋体"/>
                <w:b w:val="0"/>
                <w:sz w:val="17"/>
              </w:rPr>
              <w:t>多组均值比较</w:t>
            </w:r>
          </w:p>
        </w:tc>
        <w:tc>
          <w:tcPr>
            <w:tcW w:type="dxa" w:w="2041"/>
            <w:shd w:val="clear" w:color="auto" w:fill="F2F5FA"/>
          </w:tcPr>
          <w:p>
            <w:pPr>
              <w:spacing w:before="30" w:after="30" w:line="264" w:lineRule="auto"/>
            </w:pPr>
            <w:r>
              <w:rPr>
                <w:rFonts w:ascii="宋体" w:hAnsi="宋体" w:eastAsia="宋体"/>
                <w:b w:val="0"/>
                <w:sz w:val="17"/>
              </w:rPr>
              <w:t>分类自变量＋连续因变量</w:t>
            </w:r>
          </w:p>
        </w:tc>
        <w:tc>
          <w:tcPr>
            <w:tcW w:type="dxa" w:w="2154"/>
            <w:shd w:val="clear" w:color="auto" w:fill="F2F5FA"/>
          </w:tcPr>
          <w:p>
            <w:pPr>
              <w:spacing w:before="30" w:after="30" w:line="264" w:lineRule="auto"/>
            </w:pPr>
            <w:r>
              <w:rPr>
                <w:rFonts w:ascii="宋体" w:hAnsi="宋体" w:eastAsia="宋体"/>
                <w:b w:val="0"/>
                <w:sz w:val="17"/>
              </w:rPr>
              <w:t>F、p、事后比较</w:t>
            </w:r>
          </w:p>
        </w:tc>
        <w:tc>
          <w:tcPr>
            <w:tcW w:type="dxa" w:w="1247"/>
            <w:shd w:val="clear" w:color="auto" w:fill="F2F5FA"/>
          </w:tcPr>
          <w:p>
            <w:pPr>
              <w:spacing w:before="30" w:after="30" w:line="264" w:lineRule="auto"/>
            </w:pPr>
            <w:r>
              <w:rPr>
                <w:rFonts w:ascii="宋体" w:hAnsi="宋体" w:eastAsia="宋体"/>
                <w:b w:val="0"/>
                <w:sz w:val="17"/>
              </w:rPr>
              <w:t>正态性、方差齐性</w:t>
            </w:r>
          </w:p>
        </w:tc>
      </w:tr>
      <w:tr>
        <w:tc>
          <w:tcPr>
            <w:tcW w:type="dxa" w:w="1644"/>
          </w:tcPr>
          <w:p>
            <w:pPr>
              <w:spacing w:before="30" w:after="30" w:line="264" w:lineRule="auto"/>
              <w:jc w:val="left"/>
            </w:pPr>
            <w:r>
              <w:rPr>
                <w:rFonts w:ascii="宋体" w:hAnsi="宋体" w:eastAsia="宋体"/>
                <w:b/>
                <w:sz w:val="17"/>
              </w:rPr>
              <w:t>KMO 与巴特利特</w:t>
            </w:r>
          </w:p>
        </w:tc>
        <w:tc>
          <w:tcPr>
            <w:tcW w:type="dxa" w:w="1984"/>
          </w:tcPr>
          <w:p>
            <w:pPr>
              <w:spacing w:before="30" w:after="30" w:line="264" w:lineRule="auto"/>
            </w:pPr>
            <w:r>
              <w:rPr>
                <w:rFonts w:ascii="宋体" w:hAnsi="宋体" w:eastAsia="宋体"/>
                <w:b w:val="0"/>
                <w:sz w:val="17"/>
              </w:rPr>
              <w:t>因子分析适用性检验</w:t>
            </w:r>
          </w:p>
        </w:tc>
        <w:tc>
          <w:tcPr>
            <w:tcW w:type="dxa" w:w="2041"/>
          </w:tcPr>
          <w:p>
            <w:pPr>
              <w:spacing w:before="30" w:after="30" w:line="264" w:lineRule="auto"/>
            </w:pPr>
            <w:r>
              <w:rPr>
                <w:rFonts w:ascii="宋体" w:hAnsi="宋体" w:eastAsia="宋体"/>
                <w:b w:val="0"/>
                <w:sz w:val="17"/>
              </w:rPr>
              <w:t>多题项相关矩阵</w:t>
            </w:r>
          </w:p>
        </w:tc>
        <w:tc>
          <w:tcPr>
            <w:tcW w:type="dxa" w:w="2154"/>
          </w:tcPr>
          <w:p>
            <w:pPr>
              <w:spacing w:before="30" w:after="30" w:line="264" w:lineRule="auto"/>
            </w:pPr>
            <w:r>
              <w:rPr>
                <w:rFonts w:ascii="宋体" w:hAnsi="宋体" w:eastAsia="宋体"/>
                <w:b w:val="0"/>
                <w:sz w:val="17"/>
              </w:rPr>
              <w:t>KMO、χ²、p</w:t>
            </w:r>
          </w:p>
        </w:tc>
        <w:tc>
          <w:tcPr>
            <w:tcW w:type="dxa" w:w="1247"/>
          </w:tcPr>
          <w:p>
            <w:pPr>
              <w:spacing w:before="30" w:after="30" w:line="264" w:lineRule="auto"/>
            </w:pPr>
            <w:r>
              <w:rPr>
                <w:rFonts w:ascii="宋体" w:hAnsi="宋体" w:eastAsia="宋体"/>
                <w:b w:val="0"/>
                <w:sz w:val="17"/>
              </w:rPr>
              <w:t>样本量≥题项数 5 倍</w:t>
            </w:r>
          </w:p>
        </w:tc>
      </w:tr>
      <w:tr>
        <w:tc>
          <w:tcPr>
            <w:tcW w:type="dxa" w:w="1644"/>
            <w:shd w:val="clear" w:color="auto" w:fill="F2F5FA"/>
          </w:tcPr>
          <w:p>
            <w:pPr>
              <w:spacing w:before="30" w:after="30" w:line="264" w:lineRule="auto"/>
              <w:jc w:val="left"/>
            </w:pPr>
            <w:r>
              <w:rPr>
                <w:rFonts w:ascii="宋体" w:hAnsi="宋体" w:eastAsia="宋体"/>
                <w:b/>
                <w:sz w:val="17"/>
              </w:rPr>
              <w:t>聚类分析</w:t>
            </w:r>
          </w:p>
        </w:tc>
        <w:tc>
          <w:tcPr>
            <w:tcW w:type="dxa" w:w="1984"/>
            <w:shd w:val="clear" w:color="auto" w:fill="F2F5FA"/>
          </w:tcPr>
          <w:p>
            <w:pPr>
              <w:spacing w:before="30" w:after="30" w:line="264" w:lineRule="auto"/>
            </w:pPr>
            <w:r>
              <w:rPr>
                <w:rFonts w:ascii="宋体" w:hAnsi="宋体" w:eastAsia="宋体"/>
                <w:b w:val="0"/>
                <w:sz w:val="17"/>
              </w:rPr>
              <w:t>人群分群</w:t>
            </w:r>
          </w:p>
        </w:tc>
        <w:tc>
          <w:tcPr>
            <w:tcW w:type="dxa" w:w="2041"/>
            <w:shd w:val="clear" w:color="auto" w:fill="F2F5FA"/>
          </w:tcPr>
          <w:p>
            <w:pPr>
              <w:spacing w:before="30" w:after="30" w:line="264" w:lineRule="auto"/>
            </w:pPr>
            <w:r>
              <w:rPr>
                <w:rFonts w:ascii="宋体" w:hAnsi="宋体" w:eastAsia="宋体"/>
                <w:b w:val="0"/>
                <w:sz w:val="17"/>
              </w:rPr>
              <w:t>连续或分类特征</w:t>
            </w:r>
          </w:p>
        </w:tc>
        <w:tc>
          <w:tcPr>
            <w:tcW w:type="dxa" w:w="2154"/>
            <w:shd w:val="clear" w:color="auto" w:fill="F2F5FA"/>
          </w:tcPr>
          <w:p>
            <w:pPr>
              <w:spacing w:before="30" w:after="30" w:line="264" w:lineRule="auto"/>
            </w:pPr>
            <w:r>
              <w:rPr>
                <w:rFonts w:ascii="宋体" w:hAnsi="宋体" w:eastAsia="宋体"/>
                <w:b w:val="0"/>
                <w:sz w:val="17"/>
              </w:rPr>
              <w:t>类别归属、类中心</w:t>
            </w:r>
          </w:p>
        </w:tc>
        <w:tc>
          <w:tcPr>
            <w:tcW w:type="dxa" w:w="1247"/>
            <w:shd w:val="clear" w:color="auto" w:fill="F2F5FA"/>
          </w:tcPr>
          <w:p>
            <w:pPr>
              <w:spacing w:before="30" w:after="30" w:line="264" w:lineRule="auto"/>
            </w:pPr>
            <w:r>
              <w:rPr>
                <w:rFonts w:ascii="宋体" w:hAnsi="宋体" w:eastAsia="宋体"/>
                <w:b w:val="0"/>
                <w:sz w:val="17"/>
              </w:rPr>
              <w:t>须说明 K 值依据</w:t>
            </w:r>
          </w:p>
        </w:tc>
      </w:tr>
      <w:tr>
        <w:tc>
          <w:tcPr>
            <w:tcW w:type="dxa" w:w="1644"/>
          </w:tcPr>
          <w:p>
            <w:pPr>
              <w:spacing w:before="30" w:after="30" w:line="264" w:lineRule="auto"/>
              <w:jc w:val="left"/>
            </w:pPr>
            <w:r>
              <w:rPr>
                <w:rFonts w:ascii="宋体" w:hAnsi="宋体" w:eastAsia="宋体"/>
                <w:b/>
                <w:sz w:val="17"/>
              </w:rPr>
              <w:t>多元线性回归</w:t>
            </w:r>
          </w:p>
        </w:tc>
        <w:tc>
          <w:tcPr>
            <w:tcW w:type="dxa" w:w="1984"/>
          </w:tcPr>
          <w:p>
            <w:pPr>
              <w:spacing w:before="30" w:after="30" w:line="264" w:lineRule="auto"/>
            </w:pPr>
            <w:r>
              <w:rPr>
                <w:rFonts w:ascii="宋体" w:hAnsi="宋体" w:eastAsia="宋体"/>
                <w:b w:val="0"/>
                <w:sz w:val="17"/>
              </w:rPr>
              <w:t>连续因变量的因素分析</w:t>
            </w:r>
          </w:p>
        </w:tc>
        <w:tc>
          <w:tcPr>
            <w:tcW w:type="dxa" w:w="2041"/>
          </w:tcPr>
          <w:p>
            <w:pPr>
              <w:spacing w:before="30" w:after="30" w:line="264" w:lineRule="auto"/>
            </w:pPr>
            <w:r>
              <w:rPr>
                <w:rFonts w:ascii="宋体" w:hAnsi="宋体" w:eastAsia="宋体"/>
                <w:b w:val="0"/>
                <w:sz w:val="17"/>
              </w:rPr>
              <w:t>连续因变量＋多自变量</w:t>
            </w:r>
          </w:p>
        </w:tc>
        <w:tc>
          <w:tcPr>
            <w:tcW w:type="dxa" w:w="2154"/>
          </w:tcPr>
          <w:p>
            <w:pPr>
              <w:spacing w:before="30" w:after="30" w:line="264" w:lineRule="auto"/>
            </w:pPr>
            <w:r>
              <w:rPr>
                <w:rFonts w:ascii="宋体" w:hAnsi="宋体" w:eastAsia="宋体"/>
                <w:b w:val="0"/>
                <w:sz w:val="17"/>
              </w:rPr>
              <w:t>β、R²、F、VIF</w:t>
            </w:r>
          </w:p>
        </w:tc>
        <w:tc>
          <w:tcPr>
            <w:tcW w:type="dxa" w:w="1247"/>
          </w:tcPr>
          <w:p>
            <w:pPr>
              <w:spacing w:before="30" w:after="30" w:line="264" w:lineRule="auto"/>
            </w:pPr>
            <w:r>
              <w:rPr>
                <w:rFonts w:ascii="宋体" w:hAnsi="宋体" w:eastAsia="宋体"/>
                <w:b w:val="0"/>
                <w:sz w:val="17"/>
              </w:rPr>
              <w:t>无严重共线性</w:t>
            </w:r>
          </w:p>
        </w:tc>
      </w:tr>
      <w:tr>
        <w:tc>
          <w:tcPr>
            <w:tcW w:type="dxa" w:w="1644"/>
            <w:shd w:val="clear" w:color="auto" w:fill="F2F5FA"/>
          </w:tcPr>
          <w:p>
            <w:pPr>
              <w:spacing w:before="30" w:after="30" w:line="264" w:lineRule="auto"/>
              <w:jc w:val="left"/>
            </w:pPr>
            <w:r>
              <w:rPr>
                <w:rFonts w:ascii="宋体" w:hAnsi="宋体" w:eastAsia="宋体"/>
                <w:b/>
                <w:sz w:val="17"/>
              </w:rPr>
              <w:t>Logistic 回归</w:t>
            </w:r>
          </w:p>
        </w:tc>
        <w:tc>
          <w:tcPr>
            <w:tcW w:type="dxa" w:w="1984"/>
            <w:shd w:val="clear" w:color="auto" w:fill="F2F5FA"/>
          </w:tcPr>
          <w:p>
            <w:pPr>
              <w:spacing w:before="30" w:after="30" w:line="264" w:lineRule="auto"/>
            </w:pPr>
            <w:r>
              <w:rPr>
                <w:rFonts w:ascii="宋体" w:hAnsi="宋体" w:eastAsia="宋体"/>
                <w:b w:val="0"/>
                <w:sz w:val="17"/>
              </w:rPr>
              <w:t>二分类结果的因素分析</w:t>
            </w:r>
          </w:p>
        </w:tc>
        <w:tc>
          <w:tcPr>
            <w:tcW w:type="dxa" w:w="2041"/>
            <w:shd w:val="clear" w:color="auto" w:fill="F2F5FA"/>
          </w:tcPr>
          <w:p>
            <w:pPr>
              <w:spacing w:before="30" w:after="30" w:line="264" w:lineRule="auto"/>
            </w:pPr>
            <w:r>
              <w:rPr>
                <w:rFonts w:ascii="宋体" w:hAnsi="宋体" w:eastAsia="宋体"/>
                <w:b w:val="0"/>
                <w:sz w:val="17"/>
              </w:rPr>
              <w:t>0/1 因变量＋多自变量</w:t>
            </w:r>
          </w:p>
        </w:tc>
        <w:tc>
          <w:tcPr>
            <w:tcW w:type="dxa" w:w="2154"/>
            <w:shd w:val="clear" w:color="auto" w:fill="F2F5FA"/>
          </w:tcPr>
          <w:p>
            <w:pPr>
              <w:spacing w:before="30" w:after="30" w:line="264" w:lineRule="auto"/>
            </w:pPr>
            <w:r>
              <w:rPr>
                <w:rFonts w:ascii="宋体" w:hAnsi="宋体" w:eastAsia="宋体"/>
                <w:b w:val="0"/>
                <w:sz w:val="17"/>
              </w:rPr>
              <w:t>B、Exp(B)、p</w:t>
            </w:r>
          </w:p>
        </w:tc>
        <w:tc>
          <w:tcPr>
            <w:tcW w:type="dxa" w:w="1247"/>
            <w:shd w:val="clear" w:color="auto" w:fill="F2F5FA"/>
          </w:tcPr>
          <w:p>
            <w:pPr>
              <w:spacing w:before="30" w:after="30" w:line="264" w:lineRule="auto"/>
            </w:pPr>
            <w:r>
              <w:rPr>
                <w:rFonts w:ascii="宋体" w:hAnsi="宋体" w:eastAsia="宋体"/>
                <w:b w:val="0"/>
                <w:sz w:val="17"/>
              </w:rPr>
              <w:t>参照组须明示</w:t>
            </w:r>
          </w:p>
        </w:tc>
      </w:tr>
      <w:tr>
        <w:tc>
          <w:tcPr>
            <w:tcW w:type="dxa" w:w="1644"/>
          </w:tcPr>
          <w:p>
            <w:pPr>
              <w:spacing w:before="30" w:after="30" w:line="264" w:lineRule="auto"/>
              <w:jc w:val="left"/>
            </w:pPr>
            <w:r>
              <w:rPr>
                <w:rFonts w:ascii="宋体" w:hAnsi="宋体" w:eastAsia="宋体"/>
                <w:b/>
                <w:sz w:val="17"/>
              </w:rPr>
              <w:t>SERVPERF</w:t>
            </w:r>
          </w:p>
        </w:tc>
        <w:tc>
          <w:tcPr>
            <w:tcW w:type="dxa" w:w="1984"/>
          </w:tcPr>
          <w:p>
            <w:pPr>
              <w:spacing w:before="30" w:after="30" w:line="264" w:lineRule="auto"/>
            </w:pPr>
            <w:r>
              <w:rPr>
                <w:rFonts w:ascii="宋体" w:hAnsi="宋体" w:eastAsia="宋体"/>
                <w:b w:val="0"/>
                <w:sz w:val="17"/>
              </w:rPr>
              <w:t>服务质量测量</w:t>
            </w:r>
          </w:p>
        </w:tc>
        <w:tc>
          <w:tcPr>
            <w:tcW w:type="dxa" w:w="2041"/>
          </w:tcPr>
          <w:p>
            <w:pPr>
              <w:spacing w:before="30" w:after="30" w:line="264" w:lineRule="auto"/>
            </w:pPr>
            <w:r>
              <w:rPr>
                <w:rFonts w:ascii="宋体" w:hAnsi="宋体" w:eastAsia="宋体"/>
                <w:b w:val="0"/>
                <w:sz w:val="17"/>
              </w:rPr>
              <w:t>五维度量表</w:t>
            </w:r>
          </w:p>
        </w:tc>
        <w:tc>
          <w:tcPr>
            <w:tcW w:type="dxa" w:w="2154"/>
          </w:tcPr>
          <w:p>
            <w:pPr>
              <w:spacing w:before="30" w:after="30" w:line="264" w:lineRule="auto"/>
            </w:pPr>
            <w:r>
              <w:rPr>
                <w:rFonts w:ascii="宋体" w:hAnsi="宋体" w:eastAsia="宋体"/>
                <w:b w:val="0"/>
                <w:sz w:val="17"/>
              </w:rPr>
              <w:t>维度得分</w:t>
            </w:r>
          </w:p>
        </w:tc>
        <w:tc>
          <w:tcPr>
            <w:tcW w:type="dxa" w:w="1247"/>
          </w:tcPr>
          <w:p>
            <w:pPr>
              <w:spacing w:before="30" w:after="30" w:line="264" w:lineRule="auto"/>
            </w:pPr>
            <w:r>
              <w:rPr>
                <w:rFonts w:ascii="宋体" w:hAnsi="宋体" w:eastAsia="宋体"/>
                <w:b w:val="0"/>
                <w:sz w:val="17"/>
              </w:rPr>
              <w:t>须改编自成熟量表</w:t>
            </w:r>
          </w:p>
        </w:tc>
      </w:tr>
      <w:tr>
        <w:tc>
          <w:tcPr>
            <w:tcW w:type="dxa" w:w="1644"/>
            <w:shd w:val="clear" w:color="auto" w:fill="F2F5FA"/>
          </w:tcPr>
          <w:p>
            <w:pPr>
              <w:spacing w:before="30" w:after="30" w:line="264" w:lineRule="auto"/>
              <w:jc w:val="left"/>
            </w:pPr>
            <w:r>
              <w:rPr>
                <w:rFonts w:ascii="宋体" w:hAnsi="宋体" w:eastAsia="宋体"/>
                <w:b/>
                <w:sz w:val="17"/>
              </w:rPr>
              <w:t>IPA</w:t>
            </w:r>
          </w:p>
        </w:tc>
        <w:tc>
          <w:tcPr>
            <w:tcW w:type="dxa" w:w="1984"/>
            <w:shd w:val="clear" w:color="auto" w:fill="F2F5FA"/>
          </w:tcPr>
          <w:p>
            <w:pPr>
              <w:spacing w:before="30" w:after="30" w:line="264" w:lineRule="auto"/>
            </w:pPr>
            <w:r>
              <w:rPr>
                <w:rFonts w:ascii="宋体" w:hAnsi="宋体" w:eastAsia="宋体"/>
                <w:b w:val="0"/>
                <w:sz w:val="17"/>
              </w:rPr>
              <w:t>改进优先级排序</w:t>
            </w:r>
          </w:p>
        </w:tc>
        <w:tc>
          <w:tcPr>
            <w:tcW w:type="dxa" w:w="2041"/>
            <w:shd w:val="clear" w:color="auto" w:fill="F2F5FA"/>
          </w:tcPr>
          <w:p>
            <w:pPr>
              <w:spacing w:before="30" w:after="30" w:line="264" w:lineRule="auto"/>
            </w:pPr>
            <w:r>
              <w:rPr>
                <w:rFonts w:ascii="宋体" w:hAnsi="宋体" w:eastAsia="宋体"/>
                <w:b w:val="0"/>
                <w:sz w:val="17"/>
              </w:rPr>
              <w:t>重要度＋满意度</w:t>
            </w:r>
          </w:p>
        </w:tc>
        <w:tc>
          <w:tcPr>
            <w:tcW w:type="dxa" w:w="2154"/>
            <w:shd w:val="clear" w:color="auto" w:fill="F2F5FA"/>
          </w:tcPr>
          <w:p>
            <w:pPr>
              <w:spacing w:before="30" w:after="30" w:line="264" w:lineRule="auto"/>
            </w:pPr>
            <w:r>
              <w:rPr>
                <w:rFonts w:ascii="宋体" w:hAnsi="宋体" w:eastAsia="宋体"/>
                <w:b w:val="0"/>
                <w:sz w:val="17"/>
              </w:rPr>
              <w:t>四象限落位</w:t>
            </w:r>
          </w:p>
        </w:tc>
        <w:tc>
          <w:tcPr>
            <w:tcW w:type="dxa" w:w="1247"/>
            <w:shd w:val="clear" w:color="auto" w:fill="F2F5FA"/>
          </w:tcPr>
          <w:p>
            <w:pPr>
              <w:spacing w:before="30" w:after="30" w:line="264" w:lineRule="auto"/>
            </w:pPr>
            <w:r>
              <w:rPr>
                <w:rFonts w:ascii="宋体" w:hAnsi="宋体" w:eastAsia="宋体"/>
                <w:b w:val="0"/>
                <w:sz w:val="17"/>
              </w:rPr>
              <w:t>两轴来源须说明</w:t>
            </w:r>
          </w:p>
        </w:tc>
      </w:tr>
      <w:tr>
        <w:tc>
          <w:tcPr>
            <w:tcW w:type="dxa" w:w="1644"/>
          </w:tcPr>
          <w:p>
            <w:pPr>
              <w:spacing w:before="30" w:after="30" w:line="264" w:lineRule="auto"/>
              <w:jc w:val="left"/>
            </w:pPr>
            <w:r>
              <w:rPr>
                <w:rFonts w:ascii="宋体" w:hAnsi="宋体" w:eastAsia="宋体"/>
                <w:b/>
                <w:sz w:val="17"/>
              </w:rPr>
              <w:t>网络爬虫</w:t>
            </w:r>
          </w:p>
        </w:tc>
        <w:tc>
          <w:tcPr>
            <w:tcW w:type="dxa" w:w="1984"/>
          </w:tcPr>
          <w:p>
            <w:pPr>
              <w:spacing w:before="30" w:after="30" w:line="264" w:lineRule="auto"/>
            </w:pPr>
            <w:r>
              <w:rPr>
                <w:rFonts w:ascii="宋体" w:hAnsi="宋体" w:eastAsia="宋体"/>
                <w:b w:val="0"/>
                <w:sz w:val="17"/>
              </w:rPr>
              <w:t>文本数据获取</w:t>
            </w:r>
          </w:p>
        </w:tc>
        <w:tc>
          <w:tcPr>
            <w:tcW w:type="dxa" w:w="2041"/>
          </w:tcPr>
          <w:p>
            <w:pPr>
              <w:spacing w:before="30" w:after="30" w:line="264" w:lineRule="auto"/>
            </w:pPr>
            <w:r>
              <w:rPr>
                <w:rFonts w:ascii="宋体" w:hAnsi="宋体" w:eastAsia="宋体"/>
                <w:b w:val="0"/>
                <w:sz w:val="17"/>
              </w:rPr>
              <w:t>目标页面</w:t>
            </w:r>
          </w:p>
        </w:tc>
        <w:tc>
          <w:tcPr>
            <w:tcW w:type="dxa" w:w="2154"/>
          </w:tcPr>
          <w:p>
            <w:pPr>
              <w:spacing w:before="30" w:after="30" w:line="264" w:lineRule="auto"/>
            </w:pPr>
            <w:r>
              <w:rPr>
                <w:rFonts w:ascii="宋体" w:hAnsi="宋体" w:eastAsia="宋体"/>
                <w:b w:val="0"/>
                <w:sz w:val="17"/>
              </w:rPr>
              <w:t>结构化语料</w:t>
            </w:r>
          </w:p>
        </w:tc>
        <w:tc>
          <w:tcPr>
            <w:tcW w:type="dxa" w:w="1247"/>
          </w:tcPr>
          <w:p>
            <w:pPr>
              <w:spacing w:before="30" w:after="30" w:line="264" w:lineRule="auto"/>
            </w:pPr>
            <w:r>
              <w:rPr>
                <w:rFonts w:ascii="宋体" w:hAnsi="宋体" w:eastAsia="宋体"/>
                <w:b w:val="0"/>
                <w:sz w:val="17"/>
              </w:rPr>
              <w:t>合规与频率控制</w:t>
            </w:r>
          </w:p>
        </w:tc>
      </w:tr>
      <w:tr>
        <w:tc>
          <w:tcPr>
            <w:tcW w:type="dxa" w:w="1644"/>
            <w:shd w:val="clear" w:color="auto" w:fill="F2F5FA"/>
          </w:tcPr>
          <w:p>
            <w:pPr>
              <w:spacing w:before="30" w:after="30" w:line="264" w:lineRule="auto"/>
              <w:jc w:val="left"/>
            </w:pPr>
            <w:r>
              <w:rPr>
                <w:rFonts w:ascii="宋体" w:hAnsi="宋体" w:eastAsia="宋体"/>
                <w:b/>
                <w:sz w:val="17"/>
              </w:rPr>
              <w:t>SnowNLP</w:t>
            </w:r>
          </w:p>
        </w:tc>
        <w:tc>
          <w:tcPr>
            <w:tcW w:type="dxa" w:w="1984"/>
            <w:shd w:val="clear" w:color="auto" w:fill="F2F5FA"/>
          </w:tcPr>
          <w:p>
            <w:pPr>
              <w:spacing w:before="30" w:after="30" w:line="264" w:lineRule="auto"/>
            </w:pPr>
            <w:r>
              <w:rPr>
                <w:rFonts w:ascii="宋体" w:hAnsi="宋体" w:eastAsia="宋体"/>
                <w:b w:val="0"/>
                <w:sz w:val="17"/>
              </w:rPr>
              <w:t>文本极性判定</w:t>
            </w:r>
          </w:p>
        </w:tc>
        <w:tc>
          <w:tcPr>
            <w:tcW w:type="dxa" w:w="2041"/>
            <w:shd w:val="clear" w:color="auto" w:fill="F2F5FA"/>
          </w:tcPr>
          <w:p>
            <w:pPr>
              <w:spacing w:before="30" w:after="30" w:line="264" w:lineRule="auto"/>
            </w:pPr>
            <w:r>
              <w:rPr>
                <w:rFonts w:ascii="宋体" w:hAnsi="宋体" w:eastAsia="宋体"/>
                <w:b w:val="0"/>
                <w:sz w:val="17"/>
              </w:rPr>
              <w:t>中文文本</w:t>
            </w:r>
          </w:p>
        </w:tc>
        <w:tc>
          <w:tcPr>
            <w:tcW w:type="dxa" w:w="2154"/>
            <w:shd w:val="clear" w:color="auto" w:fill="F2F5FA"/>
          </w:tcPr>
          <w:p>
            <w:pPr>
              <w:spacing w:before="30" w:after="30" w:line="264" w:lineRule="auto"/>
            </w:pPr>
            <w:r>
              <w:rPr>
                <w:rFonts w:ascii="宋体" w:hAnsi="宋体" w:eastAsia="宋体"/>
                <w:b w:val="0"/>
                <w:sz w:val="17"/>
              </w:rPr>
              <w:t>0—1 情感得分</w:t>
            </w:r>
          </w:p>
        </w:tc>
        <w:tc>
          <w:tcPr>
            <w:tcW w:type="dxa" w:w="1247"/>
            <w:shd w:val="clear" w:color="auto" w:fill="F2F5FA"/>
          </w:tcPr>
          <w:p>
            <w:pPr>
              <w:spacing w:before="30" w:after="30" w:line="264" w:lineRule="auto"/>
            </w:pPr>
            <w:r>
              <w:rPr>
                <w:rFonts w:ascii="宋体" w:hAnsi="宋体" w:eastAsia="宋体"/>
                <w:b w:val="0"/>
                <w:sz w:val="17"/>
              </w:rPr>
              <w:t>须人工抽样复核</w:t>
            </w:r>
          </w:p>
        </w:tc>
      </w:tr>
      <w:tr>
        <w:tc>
          <w:tcPr>
            <w:tcW w:type="dxa" w:w="1644"/>
          </w:tcPr>
          <w:p>
            <w:pPr>
              <w:spacing w:before="30" w:after="30" w:line="264" w:lineRule="auto"/>
              <w:jc w:val="left"/>
            </w:pPr>
            <w:r>
              <w:rPr>
                <w:rFonts w:ascii="宋体" w:hAnsi="宋体" w:eastAsia="宋体"/>
                <w:b/>
                <w:sz w:val="17"/>
              </w:rPr>
              <w:t>TF-IDF</w:t>
            </w:r>
          </w:p>
        </w:tc>
        <w:tc>
          <w:tcPr>
            <w:tcW w:type="dxa" w:w="1984"/>
          </w:tcPr>
          <w:p>
            <w:pPr>
              <w:spacing w:before="30" w:after="30" w:line="264" w:lineRule="auto"/>
            </w:pPr>
            <w:r>
              <w:rPr>
                <w:rFonts w:ascii="宋体" w:hAnsi="宋体" w:eastAsia="宋体"/>
                <w:b w:val="0"/>
                <w:sz w:val="17"/>
              </w:rPr>
              <w:t>关键词区分度度量</w:t>
            </w:r>
          </w:p>
        </w:tc>
        <w:tc>
          <w:tcPr>
            <w:tcW w:type="dxa" w:w="2041"/>
          </w:tcPr>
          <w:p>
            <w:pPr>
              <w:spacing w:before="30" w:after="30" w:line="264" w:lineRule="auto"/>
            </w:pPr>
            <w:r>
              <w:rPr>
                <w:rFonts w:ascii="宋体" w:hAnsi="宋体" w:eastAsia="宋体"/>
                <w:b w:val="0"/>
                <w:sz w:val="17"/>
              </w:rPr>
              <w:t>多文档语料</w:t>
            </w:r>
          </w:p>
        </w:tc>
        <w:tc>
          <w:tcPr>
            <w:tcW w:type="dxa" w:w="2154"/>
          </w:tcPr>
          <w:p>
            <w:pPr>
              <w:spacing w:before="30" w:after="30" w:line="264" w:lineRule="auto"/>
            </w:pPr>
            <w:r>
              <w:rPr>
                <w:rFonts w:ascii="宋体" w:hAnsi="宋体" w:eastAsia="宋体"/>
                <w:b w:val="0"/>
                <w:sz w:val="17"/>
              </w:rPr>
              <w:t>词—权重矩阵</w:t>
            </w:r>
          </w:p>
        </w:tc>
        <w:tc>
          <w:tcPr>
            <w:tcW w:type="dxa" w:w="1247"/>
          </w:tcPr>
          <w:p>
            <w:pPr>
              <w:spacing w:before="30" w:after="30" w:line="264" w:lineRule="auto"/>
            </w:pPr>
            <w:r>
              <w:rPr>
                <w:rFonts w:ascii="宋体" w:hAnsi="宋体" w:eastAsia="宋体"/>
                <w:b w:val="0"/>
                <w:sz w:val="17"/>
              </w:rPr>
              <w:t>须分词去停用词</w:t>
            </w:r>
          </w:p>
        </w:tc>
      </w:tr>
      <w:tr>
        <w:tc>
          <w:tcPr>
            <w:tcW w:type="dxa" w:w="1644"/>
            <w:shd w:val="clear" w:color="auto" w:fill="F2F5FA"/>
          </w:tcPr>
          <w:p>
            <w:pPr>
              <w:spacing w:before="30" w:after="30" w:line="264" w:lineRule="auto"/>
              <w:jc w:val="left"/>
            </w:pPr>
            <w:r>
              <w:rPr>
                <w:rFonts w:ascii="宋体" w:hAnsi="宋体" w:eastAsia="宋体"/>
                <w:b/>
                <w:sz w:val="17"/>
              </w:rPr>
              <w:t>关联规则</w:t>
            </w:r>
          </w:p>
        </w:tc>
        <w:tc>
          <w:tcPr>
            <w:tcW w:type="dxa" w:w="1984"/>
            <w:shd w:val="clear" w:color="auto" w:fill="F2F5FA"/>
          </w:tcPr>
          <w:p>
            <w:pPr>
              <w:spacing w:before="30" w:after="30" w:line="264" w:lineRule="auto"/>
            </w:pPr>
            <w:r>
              <w:rPr>
                <w:rFonts w:ascii="宋体" w:hAnsi="宋体" w:eastAsia="宋体"/>
                <w:b w:val="0"/>
                <w:sz w:val="17"/>
              </w:rPr>
              <w:t>项集共现规律挖掘</w:t>
            </w:r>
          </w:p>
        </w:tc>
        <w:tc>
          <w:tcPr>
            <w:tcW w:type="dxa" w:w="2041"/>
            <w:shd w:val="clear" w:color="auto" w:fill="F2F5FA"/>
          </w:tcPr>
          <w:p>
            <w:pPr>
              <w:spacing w:before="30" w:after="30" w:line="264" w:lineRule="auto"/>
            </w:pPr>
            <w:r>
              <w:rPr>
                <w:rFonts w:ascii="宋体" w:hAnsi="宋体" w:eastAsia="宋体"/>
                <w:b w:val="0"/>
                <w:sz w:val="17"/>
              </w:rPr>
              <w:t>0/1 矩阵</w:t>
            </w:r>
          </w:p>
        </w:tc>
        <w:tc>
          <w:tcPr>
            <w:tcW w:type="dxa" w:w="2154"/>
            <w:shd w:val="clear" w:color="auto" w:fill="F2F5FA"/>
          </w:tcPr>
          <w:p>
            <w:pPr>
              <w:spacing w:before="30" w:after="30" w:line="264" w:lineRule="auto"/>
            </w:pPr>
            <w:r>
              <w:rPr>
                <w:rFonts w:ascii="宋体" w:hAnsi="宋体" w:eastAsia="宋体"/>
                <w:b w:val="0"/>
                <w:sz w:val="17"/>
              </w:rPr>
              <w:t>支持度、置信度、提升度</w:t>
            </w:r>
          </w:p>
        </w:tc>
        <w:tc>
          <w:tcPr>
            <w:tcW w:type="dxa" w:w="1247"/>
            <w:shd w:val="clear" w:color="auto" w:fill="F2F5FA"/>
          </w:tcPr>
          <w:p>
            <w:pPr>
              <w:spacing w:before="30" w:after="30" w:line="264" w:lineRule="auto"/>
            </w:pPr>
            <w:r>
              <w:rPr>
                <w:rFonts w:ascii="宋体" w:hAnsi="宋体" w:eastAsia="宋体"/>
                <w:b w:val="0"/>
                <w:sz w:val="17"/>
              </w:rPr>
              <w:t>提升度须&gt;1</w:t>
            </w:r>
          </w:p>
        </w:tc>
      </w:tr>
      <w:tr>
        <w:tc>
          <w:tcPr>
            <w:tcW w:type="dxa" w:w="1644"/>
          </w:tcPr>
          <w:p>
            <w:pPr>
              <w:spacing w:before="30" w:after="30" w:line="264" w:lineRule="auto"/>
              <w:jc w:val="left"/>
            </w:pPr>
            <w:r>
              <w:rPr>
                <w:rFonts w:ascii="宋体" w:hAnsi="宋体" w:eastAsia="宋体"/>
                <w:b/>
                <w:sz w:val="17"/>
              </w:rPr>
              <w:t>随机森林</w:t>
            </w:r>
          </w:p>
        </w:tc>
        <w:tc>
          <w:tcPr>
            <w:tcW w:type="dxa" w:w="1984"/>
          </w:tcPr>
          <w:p>
            <w:pPr>
              <w:spacing w:before="30" w:after="30" w:line="264" w:lineRule="auto"/>
            </w:pPr>
            <w:r>
              <w:rPr>
                <w:rFonts w:ascii="宋体" w:hAnsi="宋体" w:eastAsia="宋体"/>
                <w:b w:val="0"/>
                <w:sz w:val="17"/>
              </w:rPr>
              <w:t>高维特征筛选与预测</w:t>
            </w:r>
          </w:p>
        </w:tc>
        <w:tc>
          <w:tcPr>
            <w:tcW w:type="dxa" w:w="2041"/>
          </w:tcPr>
          <w:p>
            <w:pPr>
              <w:spacing w:before="30" w:after="30" w:line="264" w:lineRule="auto"/>
            </w:pPr>
            <w:r>
              <w:rPr>
                <w:rFonts w:ascii="宋体" w:hAnsi="宋体" w:eastAsia="宋体"/>
                <w:b w:val="0"/>
                <w:sz w:val="17"/>
              </w:rPr>
              <w:t>特征矩阵＋标签</w:t>
            </w:r>
          </w:p>
        </w:tc>
        <w:tc>
          <w:tcPr>
            <w:tcW w:type="dxa" w:w="2154"/>
          </w:tcPr>
          <w:p>
            <w:pPr>
              <w:spacing w:before="30" w:after="30" w:line="264" w:lineRule="auto"/>
            </w:pPr>
            <w:r>
              <w:rPr>
                <w:rFonts w:ascii="宋体" w:hAnsi="宋体" w:eastAsia="宋体"/>
                <w:b w:val="0"/>
                <w:sz w:val="17"/>
              </w:rPr>
              <w:t>特征重要性、准确率</w:t>
            </w:r>
          </w:p>
        </w:tc>
        <w:tc>
          <w:tcPr>
            <w:tcW w:type="dxa" w:w="1247"/>
          </w:tcPr>
          <w:p>
            <w:pPr>
              <w:spacing w:before="30" w:after="30" w:line="264" w:lineRule="auto"/>
            </w:pPr>
            <w:r>
              <w:rPr>
                <w:rFonts w:ascii="宋体" w:hAnsi="宋体" w:eastAsia="宋体"/>
                <w:b w:val="0"/>
                <w:sz w:val="17"/>
              </w:rPr>
              <w:t>须划分训练/测试集</w:t>
            </w:r>
          </w:p>
        </w:tc>
      </w:tr>
    </w:tbl>
    <w:p>
      <w:pPr>
        <w:spacing w:before="120"/>
      </w:pPr>
      <w:r>
        <w:rPr>
          <w:rFonts w:ascii="宋体" w:hAnsi="宋体" w:eastAsia="宋体"/>
          <w:b w:val="0"/>
          <w:color w:val="666666"/>
          <w:sz w:val="17"/>
        </w:rPr>
        <w:t>注：表中“主要输出”指该模型用于报告时应呈现的核心结果；“关键前提”指违背时结论不可靠的必要条件，正式写作中应予交代。</w:t>
      </w:r>
    </w:p>
    <w:p>
      <w:r>
        <w:br w:type="page"/>
      </w:r>
    </w:p>
    <w:p>
      <w:pPr>
        <w:pStyle w:val="Heading1"/>
      </w:pPr>
      <w:r>
        <w:t>第三章  高阶模型</w:t>
      </w:r>
    </w:p>
    <w:p>
      <w:pPr>
        <w:spacing w:after="160"/>
      </w:pPr>
      <w:r>
        <w:rPr>
          <w:rFonts w:ascii="宋体" w:hAnsi="宋体" w:eastAsia="宋体"/>
          <w:b w:val="0"/>
          <w:color w:val="666666"/>
          <w:sz w:val="18"/>
        </w:rPr>
        <w:t>难度：★★★　　模型数：9</w:t>
      </w:r>
    </w:p>
    <w:p>
      <w:pPr>
        <w:ind w:firstLine="420"/>
      </w:pPr>
      <w:r>
        <w:rPr>
          <w:rFonts w:ascii="宋体" w:hAnsi="宋体" w:eastAsia="宋体"/>
          <w:b w:val="0"/>
          <w:sz w:val="20"/>
        </w:rPr>
        <w:t>本章收录 9 个涉及矩阵运算、迭代估计、潜变量或概率图结构的模型。这些方法在小样本、高维度或多层级条件下能提供更强的解释力与更严谨的抽样与建模框架，但对样本量、参数设定与结果报告规范的要求也相应提高。建议在掌握第二、三章方法后按需选学，并优先保证前提条件的满足与报告口径的完整。</w:t>
      </w:r>
    </w:p>
    <w:p>
      <w:pPr>
        <w:pStyle w:val="Heading2"/>
      </w:pPr>
      <w:r>
        <w:t>3.1　多阶段抽样与 PPS 抽样（Multistage Sampling &amp; PPS）</w:t>
      </w:r>
    </w:p>
    <w:p>
      <w:r>
        <w:rPr>
          <w:rFonts w:ascii="黑体" w:hAnsi="黑体" w:eastAsia="黑体"/>
          <w:b/>
          <w:sz w:val="21"/>
        </w:rPr>
        <w:t xml:space="preserve">模型介绍　</w:t>
      </w:r>
      <w:r>
        <w:rPr>
          <w:rFonts w:ascii="宋体" w:hAnsi="宋体" w:eastAsia="宋体"/>
          <w:b w:val="0"/>
          <w:sz w:val="21"/>
        </w:rPr>
        <w:t>多阶段抽样将总体按行政或地理层级逐级划分，在每一阶段抽取下一级单位，直至抽取最终调查对象。PPS 抽样（按概率比例规模抽样）使第一阶段的入选概率与单位规模成正比。多阶段设计会损失精度，以设计效应 deff 度量，其分解式见“模型公式”。</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deff = deff1 × deff2 × deff3</w:t>
      </w:r>
    </w:p>
    <w:p>
      <w:pPr>
        <w:spacing w:before="40" w:after="40" w:line="269" w:lineRule="auto"/>
        <w:jc w:val="center"/>
      </w:pPr>
      <w:r>
        <w:rPr>
          <w:rFonts w:ascii="Times New Roman" w:hAnsi="Times New Roman" w:eastAsia="宋体"/>
          <w:b w:val="0"/>
          <w:color w:val="1A1A1A"/>
          <w:sz w:val="21"/>
        </w:rPr>
        <w:t>deff2 = 1 + (m − 1)ρ</w:t>
      </w:r>
    </w:p>
    <w:p>
      <w:pPr>
        <w:spacing w:before="40" w:after="40" w:line="269" w:lineRule="auto"/>
        <w:jc w:val="center"/>
      </w:pPr>
      <w:r>
        <w:rPr>
          <w:rFonts w:ascii="Times New Roman" w:hAnsi="Times New Roman" w:eastAsia="宋体"/>
          <w:b w:val="0"/>
          <w:color w:val="1A1A1A"/>
          <w:sz w:val="21"/>
        </w:rPr>
        <w:t>n = n0 · deff / r</w:t>
      </w:r>
    </w:p>
    <w:p>
      <w:pPr>
        <w:spacing w:before="0" w:after="80"/>
        <w:ind w:left="420"/>
      </w:pPr>
      <w:r>
        <w:rPr>
          <w:rFonts w:ascii="宋体" w:hAnsi="宋体" w:eastAsia="宋体"/>
          <w:b w:val="0"/>
          <w:color w:val="404040"/>
          <w:sz w:val="18"/>
        </w:rPr>
        <w:t>式中：deff1 为第一阶段 PPS 抽样的群效应，m 为第二阶段每群抽取的单元数，ρ 为群内相关系数；n0 为简单随机抽样下的基础样本量，r 为有效率。PPS 下第 i 个单位的入选概率 πi = n · Mi / M，Mi 为其规模。</w:t>
      </w:r>
    </w:p>
    <w:p>
      <w:r>
        <w:rPr>
          <w:rFonts w:ascii="黑体" w:hAnsi="黑体" w:eastAsia="黑体"/>
          <w:b/>
          <w:sz w:val="21"/>
        </w:rPr>
        <w:t xml:space="preserve">适用范围　</w:t>
      </w:r>
      <w:r>
        <w:rPr>
          <w:rFonts w:ascii="宋体" w:hAnsi="宋体" w:eastAsia="宋体"/>
          <w:b w:val="0"/>
          <w:sz w:val="21"/>
        </w:rPr>
        <w:t>适用于总体规模大、无完整名单且需实地实施的调查。要求具备各级单位的人口或规模统计资料。阶段数宜控制在 2—3 个，阶段过多将导致设计效应过高、样本量需求激增；末阶段若实为拦截访问，应如实标注为方便抽样。</w:t>
      </w:r>
    </w:p>
    <w:p>
      <w:r>
        <w:rPr>
          <w:rFonts w:ascii="黑体" w:hAnsi="黑体" w:eastAsia="黑体"/>
          <w:b/>
          <w:sz w:val="21"/>
        </w:rPr>
        <w:t xml:space="preserve">应用实例　</w:t>
      </w:r>
      <w:r>
        <w:rPr>
          <w:rFonts w:ascii="宋体" w:hAnsi="宋体" w:eastAsia="宋体"/>
          <w:b w:val="0"/>
          <w:sz w:val="21"/>
        </w:rPr>
        <w:t>某市调查取 t=1.96、P=0.5、d=5%，基础样本量 385；按行政区分段估计 deff1=1.5、deff2≈1.3、deff3=1，合计 deff≈2.0；再除以预计有效率 88%，得最终样本量约 875。</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Penn State Eberly College of Science. STAT 506: Sampling Theory and Methods[EB/OL]. (2024-01-01)[2026-10-18].</w:t>
      </w:r>
    </w:p>
    <w:p>
      <w:pPr>
        <w:spacing w:after="80"/>
        <w:ind w:left="595"/>
      </w:pPr>
      <w:hyperlink r:id="rId52">
        <w:r>
          <w:rPr>
            <w:rFonts w:ascii="宋体" w:hAnsi="宋体" w:eastAsia="宋体"/>
            <w:color w:val="1155CC"/>
            <w:u w:val="single"/>
            <w:sz w:val="17"/>
          </w:rPr>
          <w:t xml:space="preserve">https://online.stat.psu.edu/stat506/</w:t>
        </w:r>
      </w:hyperlink>
    </w:p>
    <w:p>
      <w:pPr>
        <w:spacing w:after="0"/>
        <w:ind w:left="420" w:hanging="420"/>
      </w:pPr>
      <w:r>
        <w:rPr>
          <w:rFonts w:ascii="宋体" w:hAnsi="宋体" w:eastAsia="宋体"/>
          <w:b w:val="0"/>
          <w:sz w:val="18"/>
        </w:rPr>
        <w:t>[2] Verma, V., Le, T. An analysis of sampling errors for the Demographic and Health Surveys[J]. International Statistical Review, 1996, 64(3): 265-294.</w:t>
      </w:r>
    </w:p>
    <w:p>
      <w:pPr>
        <w:spacing w:after="80"/>
        <w:ind w:left="595"/>
      </w:pPr>
      <w:hyperlink r:id="rId53">
        <w:r>
          <w:rPr>
            <w:rFonts w:ascii="宋体" w:hAnsi="宋体" w:eastAsia="宋体"/>
            <w:color w:val="1155CC"/>
            <w:u w:val="single"/>
            <w:sz w:val="17"/>
          </w:rPr>
          <w:t xml:space="preserve">https://doi.org/10.2307/1403786</w:t>
        </w:r>
      </w:hyperlink>
    </w:p>
    <w:p>
      <w:pPr>
        <w:pStyle w:val="Heading2"/>
      </w:pPr>
      <w:r>
        <w:t>3.2　主成分分析与因子分析（PCA &amp; Factor Analysis）</w:t>
      </w:r>
    </w:p>
    <w:p>
      <w:r>
        <w:rPr>
          <w:rFonts w:ascii="黑体" w:hAnsi="黑体" w:eastAsia="黑体"/>
          <w:b/>
          <w:sz w:val="21"/>
        </w:rPr>
        <w:t xml:space="preserve">模型介绍　</w:t>
      </w:r>
      <w:r>
        <w:rPr>
          <w:rFonts w:ascii="宋体" w:hAnsi="宋体" w:eastAsia="宋体"/>
          <w:b w:val="0"/>
          <w:sz w:val="21"/>
        </w:rPr>
        <w:t>主成分分析以正交变换将相关变量压缩为少数互不相关的综合变量，按方差贡献率排序提取；因子分析假定观测变量由少数不可观测的潜在因子线性生成，以载荷矩阵刻画变量与因子的对应关系。二者常配合最大方差法旋转以增强可解释性。</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Yk = ak1X1 + ak2X2 + … + akpXp　（主成分）</w:t>
      </w:r>
    </w:p>
    <w:p>
      <w:pPr>
        <w:spacing w:before="40" w:after="40" w:line="269" w:lineRule="auto"/>
        <w:jc w:val="center"/>
      </w:pPr>
      <w:r>
        <w:rPr>
          <w:rFonts w:ascii="Times New Roman" w:hAnsi="Times New Roman" w:eastAsia="宋体"/>
          <w:b w:val="0"/>
          <w:color w:val="1A1A1A"/>
          <w:sz w:val="21"/>
        </w:rPr>
        <w:t>X = ΛF + ε（因子模型）</w:t>
      </w:r>
    </w:p>
    <w:p>
      <w:pPr>
        <w:spacing w:before="40" w:after="40" w:line="269" w:lineRule="auto"/>
        <w:jc w:val="center"/>
      </w:pPr>
      <w:r>
        <w:rPr>
          <w:rFonts w:ascii="Times New Roman" w:hAnsi="Times New Roman" w:eastAsia="宋体"/>
          <w:b w:val="0"/>
          <w:color w:val="1A1A1A"/>
          <w:sz w:val="21"/>
        </w:rPr>
        <w:t>累计贡献率 = Σ(k ≤ K) λk / Σ λk</w:t>
      </w:r>
    </w:p>
    <w:p>
      <w:pPr>
        <w:spacing w:before="0" w:after="80"/>
        <w:ind w:left="420"/>
      </w:pPr>
      <w:r>
        <w:rPr>
          <w:rFonts w:ascii="宋体" w:hAnsi="宋体" w:eastAsia="宋体"/>
          <w:b w:val="0"/>
          <w:color w:val="404040"/>
          <w:sz w:val="18"/>
        </w:rPr>
        <w:t>式中：ak 为第 k 个主成分的系数向量，Λ 为因子载荷矩阵，F 为公共因子，ε 为特殊因子；λk 为第 k 个特征值。</w:t>
      </w:r>
    </w:p>
    <w:p>
      <w:r>
        <w:rPr>
          <w:rFonts w:ascii="黑体" w:hAnsi="黑体" w:eastAsia="黑体"/>
          <w:b/>
          <w:sz w:val="21"/>
        </w:rPr>
        <w:t xml:space="preserve">适用范围　</w:t>
      </w:r>
      <w:r>
        <w:rPr>
          <w:rFonts w:ascii="宋体" w:hAnsi="宋体" w:eastAsia="宋体"/>
          <w:b w:val="0"/>
          <w:sz w:val="21"/>
        </w:rPr>
        <w:t>适用于题项较多时的降维与量表结构验证，样本量宜为题项数的 5—10 倍。须先通过 KMO 与巴特利特检验；须报告累计方差解释率（一般 &gt;60%）与旋转后载荷（&gt;0.5 视为归属）。该方法不用于因果识别；探索性结果与理论维度不一致时应如实说明。</w:t>
      </w:r>
    </w:p>
    <w:p>
      <w:r>
        <w:rPr>
          <w:rFonts w:ascii="黑体" w:hAnsi="黑体" w:eastAsia="黑体"/>
          <w:b/>
          <w:sz w:val="21"/>
        </w:rPr>
        <w:t xml:space="preserve">应用实例　</w:t>
      </w:r>
      <w:r>
        <w:rPr>
          <w:rFonts w:ascii="宋体" w:hAnsi="宋体" w:eastAsia="宋体"/>
          <w:b w:val="0"/>
          <w:sz w:val="21"/>
        </w:rPr>
        <w:t>20 题服务质量量表经 KMO=0.923、巴特利特 p&lt;0.001 后提取 5 个因子，累计解释率 83.90%，旋转后载荷介于 0.565—0.778；据此将五因子命名为有形性、可靠性、响应性、保证性与移情性。</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Kaiser, H. F. The varimax criterion for analytic rotation in factor analysis[J]. Psychometrika, 1958, 23(3): 187-200.</w:t>
      </w:r>
    </w:p>
    <w:p>
      <w:pPr>
        <w:spacing w:after="80"/>
        <w:ind w:left="595"/>
      </w:pPr>
      <w:hyperlink r:id="rId54">
        <w:r>
          <w:rPr>
            <w:rFonts w:ascii="宋体" w:hAnsi="宋体" w:eastAsia="宋体"/>
            <w:color w:val="1155CC"/>
            <w:u w:val="single"/>
            <w:sz w:val="17"/>
          </w:rPr>
          <w:t xml:space="preserve">https://doi.org/10.1007/BF02289233</w:t>
        </w:r>
      </w:hyperlink>
    </w:p>
    <w:p>
      <w:pPr>
        <w:spacing w:after="0"/>
        <w:ind w:left="420" w:hanging="420"/>
      </w:pPr>
      <w:r>
        <w:rPr>
          <w:rFonts w:ascii="宋体" w:hAnsi="宋体" w:eastAsia="宋体"/>
          <w:b w:val="0"/>
          <w:sz w:val="18"/>
        </w:rPr>
        <w:t>[2] Hair, J. F., Black, W. C., Babin, B. J., et al. Multivariate Data Analysis(8th ed.)[M]. Andover: Cengage Learning, 2019.</w:t>
      </w:r>
    </w:p>
    <w:p>
      <w:pPr>
        <w:spacing w:after="80"/>
        <w:ind w:left="595"/>
      </w:pPr>
      <w:hyperlink r:id="rId55">
        <w:r>
          <w:rPr>
            <w:rFonts w:ascii="宋体" w:hAnsi="宋体" w:eastAsia="宋体"/>
            <w:color w:val="1155CC"/>
            <w:u w:val="single"/>
            <w:sz w:val="17"/>
          </w:rPr>
          <w:t xml:space="preserve">https://www.cengage.com</w:t>
        </w:r>
      </w:hyperlink>
    </w:p>
    <w:p>
      <w:pPr>
        <w:pStyle w:val="Heading2"/>
      </w:pPr>
      <w:r>
        <w:t>3.3　层次分析法 AHP（Analytic Hierarchy Process）</w:t>
      </w:r>
    </w:p>
    <w:p>
      <w:r>
        <w:rPr>
          <w:rFonts w:ascii="黑体" w:hAnsi="黑体" w:eastAsia="黑体"/>
          <w:b/>
          <w:sz w:val="21"/>
        </w:rPr>
        <w:t xml:space="preserve">模型介绍　</w:t>
      </w:r>
      <w:r>
        <w:rPr>
          <w:rFonts w:ascii="宋体" w:hAnsi="宋体" w:eastAsia="宋体"/>
          <w:b w:val="0"/>
          <w:sz w:val="21"/>
        </w:rPr>
        <w:t>AHP 将决策问题分解为目标层、准则层与指标层的递阶结构，由专家依 1—9 标度对同层要素两两比较构造判断矩阵，以特征向量法求权重，并以一致性比率 CR = CI/RI 检验判断的相容性。</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A · w = λmax · w</w:t>
      </w:r>
    </w:p>
    <w:p>
      <w:pPr>
        <w:spacing w:before="40" w:after="40" w:line="269" w:lineRule="auto"/>
        <w:jc w:val="center"/>
      </w:pPr>
      <w:r>
        <w:rPr>
          <w:rFonts w:ascii="Times New Roman" w:hAnsi="Times New Roman" w:eastAsia="宋体"/>
          <w:b w:val="0"/>
          <w:color w:val="1A1A1A"/>
          <w:sz w:val="21"/>
        </w:rPr>
        <w:t>CI = (λmax − n) / (n − 1)</w:t>
      </w:r>
    </w:p>
    <w:p>
      <w:pPr>
        <w:spacing w:before="40" w:after="40" w:line="269" w:lineRule="auto"/>
        <w:jc w:val="center"/>
      </w:pPr>
      <w:r>
        <w:rPr>
          <w:rFonts w:ascii="Times New Roman" w:hAnsi="Times New Roman" w:eastAsia="宋体"/>
          <w:b w:val="0"/>
          <w:color w:val="1A1A1A"/>
          <w:sz w:val="21"/>
        </w:rPr>
        <w:t>CR = CI / RI</w:t>
      </w:r>
    </w:p>
    <w:p>
      <w:pPr>
        <w:spacing w:before="0" w:after="80"/>
        <w:ind w:left="420"/>
      </w:pPr>
      <w:r>
        <w:rPr>
          <w:rFonts w:ascii="宋体" w:hAnsi="宋体" w:eastAsia="宋体"/>
          <w:b w:val="0"/>
          <w:color w:val="404040"/>
          <w:sz w:val="18"/>
        </w:rPr>
        <w:t>式中：A 为判断矩阵，w 为权重向量，λmax 为其最大特征值，n 为同层指标数；RI 为平均随机一致性指标，CR &lt; 0.1 视为通过。</w:t>
      </w:r>
    </w:p>
    <w:p>
      <w:r>
        <w:rPr>
          <w:rFonts w:ascii="黑体" w:hAnsi="黑体" w:eastAsia="黑体"/>
          <w:b/>
          <w:sz w:val="21"/>
        </w:rPr>
        <w:t xml:space="preserve">适用范围　</w:t>
      </w:r>
      <w:r>
        <w:rPr>
          <w:rFonts w:ascii="宋体" w:hAnsi="宋体" w:eastAsia="宋体"/>
          <w:b w:val="0"/>
          <w:sz w:val="21"/>
        </w:rPr>
        <w:t>适用于缺乏客观数据时的指标赋权，或需引入专家判断与数据驱动权重相互印证的情形。同层指标宜控制在 7—9 个以内；须报告判断矩阵、权重向量、CR 值（&lt;0.1 为通过）及专家构成。主观性较强，不宜单独作为权重唯一来源。</w:t>
      </w:r>
    </w:p>
    <w:p>
      <w:r>
        <w:rPr>
          <w:rFonts w:ascii="黑体" w:hAnsi="黑体" w:eastAsia="黑体"/>
          <w:b/>
          <w:sz w:val="21"/>
        </w:rPr>
        <w:t xml:space="preserve">应用实例　</w:t>
      </w:r>
      <w:r>
        <w:rPr>
          <w:rFonts w:ascii="宋体" w:hAnsi="宋体" w:eastAsia="宋体"/>
          <w:b w:val="0"/>
          <w:sz w:val="21"/>
        </w:rPr>
        <w:t>五个维度两两比较得 λmax=5.132、CI=0.019、RI=1.12、CR=0.017&lt;0.1，通过一致性检验；维度权重为响应性 0.399、可靠性 0.355、保证性 0.134、移情性 0.077、有形性 0.035。</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Saaty, T. L. How to make a decision: the analytic hierarchy process[J]. European Journal of Operational Research, 1990, 48(1): 9-26.</w:t>
      </w:r>
    </w:p>
    <w:p>
      <w:pPr>
        <w:spacing w:after="80"/>
        <w:ind w:left="595"/>
      </w:pPr>
      <w:hyperlink r:id="rId56">
        <w:r>
          <w:rPr>
            <w:rFonts w:ascii="宋体" w:hAnsi="宋体" w:eastAsia="宋体"/>
            <w:color w:val="1155CC"/>
            <w:u w:val="single"/>
            <w:sz w:val="17"/>
          </w:rPr>
          <w:t xml:space="preserve">https://doi.org/10.1016/0377-2217(90)90057-I</w:t>
        </w:r>
      </w:hyperlink>
    </w:p>
    <w:p>
      <w:pPr>
        <w:pStyle w:val="Heading2"/>
      </w:pPr>
      <w:r>
        <w:t>3.4　模糊综合评价（Fuzzy Comprehensive Evaluation）</w:t>
      </w:r>
    </w:p>
    <w:p>
      <w:r>
        <w:rPr>
          <w:rFonts w:ascii="黑体" w:hAnsi="黑体" w:eastAsia="黑体"/>
          <w:b/>
          <w:sz w:val="21"/>
        </w:rPr>
        <w:t xml:space="preserve">模型介绍　</w:t>
      </w:r>
      <w:r>
        <w:rPr>
          <w:rFonts w:ascii="宋体" w:hAnsi="宋体" w:eastAsia="宋体"/>
          <w:b w:val="0"/>
          <w:sz w:val="21"/>
        </w:rPr>
        <w:t>模糊综合评价以隶属度向量刻画评价对象在各等级上的分布，经权重矩阵合成后，再与等级赋值向量相乘得到综合得分。该方法保留了评价的模糊性与分布信息，避免了直接赋分的主观性。</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B = W × R（模糊合成）</w:t>
      </w:r>
    </w:p>
    <w:p>
      <w:pPr>
        <w:spacing w:before="40" w:after="40" w:line="269" w:lineRule="auto"/>
        <w:jc w:val="center"/>
      </w:pPr>
      <w:r>
        <w:rPr>
          <w:rFonts w:ascii="Times New Roman" w:hAnsi="Times New Roman" w:eastAsia="宋体"/>
          <w:b w:val="0"/>
          <w:color w:val="1A1A1A"/>
          <w:sz w:val="21"/>
        </w:rPr>
        <w:t>S = B · V（综合得分）</w:t>
      </w:r>
    </w:p>
    <w:p>
      <w:pPr>
        <w:spacing w:before="0" w:after="80"/>
        <w:ind w:left="420"/>
      </w:pPr>
      <w:r>
        <w:rPr>
          <w:rFonts w:ascii="宋体" w:hAnsi="宋体" w:eastAsia="宋体"/>
          <w:b w:val="0"/>
          <w:color w:val="404040"/>
          <w:sz w:val="18"/>
        </w:rPr>
        <w:t>式中：W 为权重向量，R 为隶属度矩阵，× 为模糊合成算子（常用加权平均型）；V 为等级赋值向量（如 1, 3, 5, 7, 9）。</w:t>
      </w:r>
    </w:p>
    <w:p>
      <w:r>
        <w:rPr>
          <w:rFonts w:ascii="黑体" w:hAnsi="黑体" w:eastAsia="黑体"/>
          <w:b/>
          <w:sz w:val="21"/>
        </w:rPr>
        <w:t xml:space="preserve">适用范围　</w:t>
      </w:r>
      <w:r>
        <w:rPr>
          <w:rFonts w:ascii="宋体" w:hAnsi="宋体" w:eastAsia="宋体"/>
          <w:b w:val="0"/>
          <w:sz w:val="21"/>
        </w:rPr>
        <w:t>适用于等级型评价且指标具层级结构的场景。须明示权重来源（AHP 或因子贡献率）、等级赋值规则（如 1/3/5/7/9）与等级判定区间，并附计算过程以保证可复现。该方法输出等级与得分，不解释成因。</w:t>
      </w:r>
    </w:p>
    <w:p>
      <w:r>
        <w:rPr>
          <w:rFonts w:ascii="黑体" w:hAnsi="黑体" w:eastAsia="黑体"/>
          <w:b/>
          <w:sz w:val="21"/>
        </w:rPr>
        <w:t xml:space="preserve">应用实例　</w:t>
      </w:r>
      <w:r>
        <w:rPr>
          <w:rFonts w:ascii="宋体" w:hAnsi="宋体" w:eastAsia="宋体"/>
          <w:b w:val="0"/>
          <w:sz w:val="21"/>
        </w:rPr>
        <w:t>五维度权重 (0.036, 0.356, 0.398, 0.133, 0.077)，评价集赋值 1/3/5/7/9，合成模糊向量 (0.021, 0.027, 0.191, 0.445, 0.317)，综合得分 7.105，判定为“比较满意”。</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Zadeh, L. A. Fuzzy sets[J]. Information and Control, 1965, 8(3): 338-353.</w:t>
      </w:r>
    </w:p>
    <w:p>
      <w:pPr>
        <w:spacing w:after="80"/>
        <w:ind w:left="595"/>
      </w:pPr>
      <w:hyperlink r:id="rId57">
        <w:r>
          <w:rPr>
            <w:rFonts w:ascii="宋体" w:hAnsi="宋体" w:eastAsia="宋体"/>
            <w:color w:val="1155CC"/>
            <w:u w:val="single"/>
            <w:sz w:val="17"/>
          </w:rPr>
          <w:t xml:space="preserve">https://doi.org/10.1016/S0019-9958(65)90241-X</w:t>
        </w:r>
      </w:hyperlink>
    </w:p>
    <w:p>
      <w:pPr>
        <w:spacing w:after="0"/>
        <w:ind w:left="420" w:hanging="420"/>
      </w:pPr>
      <w:r>
        <w:rPr>
          <w:rFonts w:ascii="宋体" w:hAnsi="宋体" w:eastAsia="宋体"/>
          <w:b w:val="0"/>
          <w:sz w:val="18"/>
        </w:rPr>
        <w:t>[2] Chen, S. J., Hwang, C. L. Fuzzy Multiple Attribute Decision Making: Methods and Applications[M]. Berlin: Springer-Verlag, 1992.</w:t>
      </w:r>
    </w:p>
    <w:p>
      <w:pPr>
        <w:spacing w:after="80"/>
        <w:ind w:left="595"/>
      </w:pPr>
      <w:hyperlink r:id="rId58">
        <w:r>
          <w:rPr>
            <w:rFonts w:ascii="宋体" w:hAnsi="宋体" w:eastAsia="宋体"/>
            <w:color w:val="1155CC"/>
            <w:u w:val="single"/>
            <w:sz w:val="17"/>
          </w:rPr>
          <w:t xml:space="preserve">https://doi.org/10.1007/978-3-642-46768-4</w:t>
        </w:r>
      </w:hyperlink>
    </w:p>
    <w:p>
      <w:pPr>
        <w:pStyle w:val="Heading2"/>
      </w:pPr>
      <w:r>
        <w:t>3.5　结构方程模型 SEM（Structural Equation Modeling）</w:t>
      </w:r>
    </w:p>
    <w:p>
      <w:r>
        <w:rPr>
          <w:rFonts w:ascii="黑体" w:hAnsi="黑体" w:eastAsia="黑体"/>
          <w:b/>
          <w:sz w:val="21"/>
        </w:rPr>
        <w:t xml:space="preserve">模型介绍　</w:t>
      </w:r>
      <w:r>
        <w:rPr>
          <w:rFonts w:ascii="宋体" w:hAnsi="宋体" w:eastAsia="宋体"/>
          <w:b w:val="0"/>
          <w:sz w:val="21"/>
        </w:rPr>
        <w:t>结构方程模型由测量模型与结构模型两部分构成：前者刻画潜变量与观测指标的关系，后者刻画潜变量之间的路径。模型以极大似然法整体估计，可同时处理测量误差、多重中介与多重因变量。</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x = Λxξ + δ（测量模型）</w:t>
      </w:r>
    </w:p>
    <w:p>
      <w:pPr>
        <w:spacing w:before="40" w:after="40" w:line="269" w:lineRule="auto"/>
        <w:jc w:val="center"/>
      </w:pPr>
      <w:r>
        <w:rPr>
          <w:rFonts w:ascii="Times New Roman" w:hAnsi="Times New Roman" w:eastAsia="宋体"/>
          <w:b w:val="0"/>
          <w:color w:val="1A1A1A"/>
          <w:sz w:val="21"/>
        </w:rPr>
        <w:t>η = Bη + Γξ + ζ（结构模型）</w:t>
      </w:r>
    </w:p>
    <w:p>
      <w:pPr>
        <w:spacing w:before="40" w:after="40" w:line="269" w:lineRule="auto"/>
        <w:jc w:val="center"/>
      </w:pPr>
      <w:r>
        <w:rPr>
          <w:rFonts w:ascii="Times New Roman" w:hAnsi="Times New Roman" w:eastAsia="宋体"/>
          <w:b w:val="0"/>
          <w:color w:val="1A1A1A"/>
          <w:sz w:val="21"/>
        </w:rPr>
        <w:t>RMSEA = √{ max[ (χ² − df) / (df · (N − 1)), 0 ] }</w:t>
      </w:r>
    </w:p>
    <w:p>
      <w:pPr>
        <w:spacing w:before="0" w:after="80"/>
        <w:ind w:left="420"/>
      </w:pPr>
      <w:r>
        <w:rPr>
          <w:rFonts w:ascii="宋体" w:hAnsi="宋体" w:eastAsia="宋体"/>
          <w:b w:val="0"/>
          <w:color w:val="404040"/>
          <w:sz w:val="18"/>
        </w:rPr>
        <w:t>式中：ξ、η 分别为外生与内生潜变量，Λx 为载荷矩阵，δ、ζ 为测量误差与结构残差，B、Γ 为路径系数矩阵；N 为样本量。</w:t>
      </w:r>
    </w:p>
    <w:p>
      <w:r>
        <w:rPr>
          <w:rFonts w:ascii="黑体" w:hAnsi="黑体" w:eastAsia="黑体"/>
          <w:b/>
          <w:sz w:val="21"/>
        </w:rPr>
        <w:t xml:space="preserve">适用范围　</w:t>
      </w:r>
      <w:r>
        <w:rPr>
          <w:rFonts w:ascii="宋体" w:hAnsi="宋体" w:eastAsia="宋体"/>
          <w:b w:val="0"/>
          <w:sz w:val="21"/>
        </w:rPr>
        <w:t>适用于理论链条明确、含多个潜变量的验证性研究，样本量宜在 200 以上、每个待估参数对应 10 个以上样本。须报告完整拟合指标（χ²/df、CFI、TLI、RMSEA、SRMR）、标准化路径系数与中介效应的 Bootstrap 区间。模型设定须有理论依据，修正须说明理由。</w:t>
      </w:r>
    </w:p>
    <w:p>
      <w:r>
        <w:rPr>
          <w:rFonts w:ascii="黑体" w:hAnsi="黑体" w:eastAsia="黑体"/>
          <w:b/>
          <w:sz w:val="21"/>
        </w:rPr>
        <w:t xml:space="preserve">应用实例　</w:t>
      </w:r>
      <w:r>
        <w:rPr>
          <w:rFonts w:ascii="宋体" w:hAnsi="宋体" w:eastAsia="宋体"/>
          <w:b w:val="0"/>
          <w:sz w:val="21"/>
        </w:rPr>
        <w:t>以服务质量为外生潜变量、消费体验与购买意愿为中介，得 χ²/df=2.31、CFI=0.95、RMSEA=0.06；路径 服务质量→消费体验 0.77（p&lt;0.001）、服务质量→购买意愿 0.03（p=0.594，不显著）、消费体验→购买意愿 0.73（p&lt;0.001），构成完全中介。</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Fornell, C., Larcker, D. F. Evaluating structural equation models with unobservable variables and measurement error[J]. Journal of Marketing Research, 1981, 18(1): 39-50.</w:t>
      </w:r>
    </w:p>
    <w:p>
      <w:pPr>
        <w:spacing w:after="80"/>
        <w:ind w:left="595"/>
      </w:pPr>
      <w:hyperlink r:id="rId59">
        <w:r>
          <w:rPr>
            <w:rFonts w:ascii="宋体" w:hAnsi="宋体" w:eastAsia="宋体"/>
            <w:color w:val="1155CC"/>
            <w:u w:val="single"/>
            <w:sz w:val="17"/>
          </w:rPr>
          <w:t xml:space="preserve">https://doi.org/10.1177/002224378101800104</w:t>
        </w:r>
      </w:hyperlink>
    </w:p>
    <w:p>
      <w:pPr>
        <w:spacing w:after="0"/>
        <w:ind w:left="420" w:hanging="420"/>
      </w:pPr>
      <w:r>
        <w:rPr>
          <w:rFonts w:ascii="宋体" w:hAnsi="宋体" w:eastAsia="宋体"/>
          <w:b w:val="0"/>
          <w:sz w:val="18"/>
        </w:rPr>
        <w:t>[2] Rosseel, Y. lavaan: an R package for latent variable analysis[CP/OL]. (2024-01-01)[2026-10-18].</w:t>
      </w:r>
    </w:p>
    <w:p>
      <w:pPr>
        <w:spacing w:after="80"/>
        <w:ind w:left="595"/>
      </w:pPr>
      <w:hyperlink r:id="rId60">
        <w:r>
          <w:rPr>
            <w:rFonts w:ascii="宋体" w:hAnsi="宋体" w:eastAsia="宋体"/>
            <w:color w:val="1155CC"/>
            <w:u w:val="single"/>
            <w:sz w:val="17"/>
          </w:rPr>
          <w:t xml:space="preserve">https://lavaan.ugent.be/</w:t>
        </w:r>
      </w:hyperlink>
    </w:p>
    <w:p>
      <w:pPr>
        <w:pStyle w:val="Heading2"/>
      </w:pPr>
      <w:r>
        <w:t>3.6　LDA 主题模型（Latent Dirichlet Allocation）</w:t>
      </w:r>
    </w:p>
    <w:p>
      <w:r>
        <w:rPr>
          <w:rFonts w:ascii="黑体" w:hAnsi="黑体" w:eastAsia="黑体"/>
          <w:b/>
          <w:sz w:val="21"/>
        </w:rPr>
        <w:t xml:space="preserve">模型介绍　</w:t>
      </w:r>
      <w:r>
        <w:rPr>
          <w:rFonts w:ascii="宋体" w:hAnsi="宋体" w:eastAsia="宋体"/>
          <w:b w:val="0"/>
          <w:sz w:val="21"/>
        </w:rPr>
        <w:t>LDA 为三层贝叶斯生成模型，假定每篇文档由若干主题按比例混合、每个主题为词上的概率分布。模型以变分推断或 Gibbs 采样估计参数，输出“文档—主题”与“主题—词”两组分布。主题数可由困惑度曲线或主题一致性确定。</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p(w | d) = Σz p(w | z) · p(z | d)</w:t>
      </w:r>
    </w:p>
    <w:p>
      <w:pPr>
        <w:spacing w:before="40" w:after="40" w:line="269" w:lineRule="auto"/>
        <w:jc w:val="center"/>
      </w:pPr>
      <w:r>
        <w:rPr>
          <w:rFonts w:ascii="Times New Roman" w:hAnsi="Times New Roman" w:eastAsia="宋体"/>
          <w:b w:val="0"/>
          <w:color w:val="1A1A1A"/>
          <w:sz w:val="21"/>
        </w:rPr>
        <w:t>PP(W) = exp{ −[ Σi ln p(wi) ] / N }</w:t>
      </w:r>
    </w:p>
    <w:p>
      <w:pPr>
        <w:spacing w:before="0" w:after="80"/>
        <w:ind w:left="420"/>
      </w:pPr>
      <w:r>
        <w:rPr>
          <w:rFonts w:ascii="宋体" w:hAnsi="宋体" w:eastAsia="宋体"/>
          <w:b w:val="0"/>
          <w:color w:val="404040"/>
          <w:sz w:val="18"/>
        </w:rPr>
        <w:t>式中：w 为词，z 为主题，d 为文档；p(z | d) 为文档的主题分布，p(w | z) 为主题的词分布；PP 为困惑度，N 为文档词数。</w:t>
      </w:r>
    </w:p>
    <w:p>
      <w:r>
        <w:rPr>
          <w:rFonts w:ascii="黑体" w:hAnsi="黑体" w:eastAsia="黑体"/>
          <w:b/>
          <w:sz w:val="21"/>
        </w:rPr>
        <w:t xml:space="preserve">适用范围　</w:t>
      </w:r>
      <w:r>
        <w:rPr>
          <w:rFonts w:ascii="宋体" w:hAnsi="宋体" w:eastAsia="宋体"/>
          <w:b w:val="0"/>
          <w:sz w:val="21"/>
        </w:rPr>
        <w:t>适用于数百至数千条以上文本的主题发现，短文本效果较差。须固定随机种子以保证可复现，并对主题人工命名；负面与正面语料宜分别建模。主题数无唯一解，须说明确定依据。</w:t>
      </w:r>
    </w:p>
    <w:p>
      <w:r>
        <w:rPr>
          <w:rFonts w:ascii="黑体" w:hAnsi="黑体" w:eastAsia="黑体"/>
          <w:b/>
          <w:sz w:val="21"/>
        </w:rPr>
        <w:t xml:space="preserve">应用实例　</w:t>
      </w:r>
      <w:r>
        <w:rPr>
          <w:rFonts w:ascii="宋体" w:hAnsi="宋体" w:eastAsia="宋体"/>
          <w:b w:val="0"/>
          <w:sz w:val="21"/>
        </w:rPr>
        <w:t>对负面评论建模，取主题数 2—10 逐一试算，困惑度在 K=4 附近趋平且主题间无明显交叉，故定为 4 个主题，命名为主观规范、身份认同、企业形象与消费仪式感。</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Blei, D. M., Ng, A. Y., Jordan, M. I. Latent Dirichlet allocation[J]. Journal of Machine Learning Research, 2003, 3: 993-1022.</w:t>
      </w:r>
    </w:p>
    <w:p>
      <w:pPr>
        <w:spacing w:after="80"/>
        <w:ind w:left="595"/>
      </w:pPr>
      <w:hyperlink r:id="rId61">
        <w:r>
          <w:rPr>
            <w:rFonts w:ascii="宋体" w:hAnsi="宋体" w:eastAsia="宋体"/>
            <w:color w:val="1155CC"/>
            <w:u w:val="single"/>
            <w:sz w:val="17"/>
          </w:rPr>
          <w:t xml:space="preserve">https://www.jmlr.org/papers/v3/blei03a.html</w:t>
        </w:r>
      </w:hyperlink>
    </w:p>
    <w:p>
      <w:pPr>
        <w:pStyle w:val="Heading2"/>
      </w:pPr>
      <w:r>
        <w:t>3.7　弹性网络回归（Elastic Net Regression）</w:t>
      </w:r>
    </w:p>
    <w:p>
      <w:r>
        <w:rPr>
          <w:rFonts w:ascii="黑体" w:hAnsi="黑体" w:eastAsia="黑体"/>
          <w:b/>
          <w:sz w:val="21"/>
        </w:rPr>
        <w:t xml:space="preserve">模型介绍　</w:t>
      </w:r>
      <w:r>
        <w:rPr>
          <w:rFonts w:ascii="宋体" w:hAnsi="宋体" w:eastAsia="宋体"/>
          <w:b w:val="0"/>
          <w:sz w:val="21"/>
        </w:rPr>
        <w:t>弹性网络在最小二乘目标上同时施加 L1 与 L2 正则项（表达式见“模型公式”）。L1 项可将系数压缩至零以实现变量选择，L2 项可稳定高度相关变量的估计。λ 与 α 由交叉验证确定。</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β̂ = argmin{ ||y − Xβ||² + λ[ α · Σ|βj| + (1 − α)/2 · Σβj² ] }</w:t>
      </w:r>
    </w:p>
    <w:p>
      <w:pPr>
        <w:spacing w:before="0" w:after="80"/>
        <w:ind w:left="420"/>
      </w:pPr>
      <w:r>
        <w:rPr>
          <w:rFonts w:ascii="宋体" w:hAnsi="宋体" w:eastAsia="宋体"/>
          <w:b w:val="0"/>
          <w:color w:val="404040"/>
          <w:sz w:val="18"/>
        </w:rPr>
        <w:t>式中：λ ≥ 0 为正则化强度，α ∈ [0, 1] 为 L1 比例（α = 1 即 Lasso，α = 0 即岭回归）；变量须先标准化，λ 与 α 由交叉验证确定。</w:t>
      </w:r>
    </w:p>
    <w:p>
      <w:r>
        <w:rPr>
          <w:rFonts w:ascii="黑体" w:hAnsi="黑体" w:eastAsia="黑体"/>
          <w:b/>
          <w:sz w:val="21"/>
        </w:rPr>
        <w:t xml:space="preserve">适用范围　</w:t>
      </w:r>
      <w:r>
        <w:rPr>
          <w:rFonts w:ascii="宋体" w:hAnsi="宋体" w:eastAsia="宋体"/>
          <w:b w:val="0"/>
          <w:sz w:val="21"/>
        </w:rPr>
        <w:t>适用于自变量众多且存在多重共线性的回归场景。变量须先标准化，否则惩罚强度不公。因变量为二分类时应改用带弹性网惩罚的 Logistic 回归。须报告最优 α（L1 比例）、λ 与交叉验证得分；系数为 0 仅表示在该样本中无增量贡献，不等于因素无关。</w:t>
      </w:r>
    </w:p>
    <w:p>
      <w:r>
        <w:rPr>
          <w:rFonts w:ascii="黑体" w:hAnsi="黑体" w:eastAsia="黑体"/>
          <w:b/>
          <w:sz w:val="21"/>
        </w:rPr>
        <w:t xml:space="preserve">应用实例　</w:t>
      </w:r>
      <w:r>
        <w:rPr>
          <w:rFonts w:ascii="宋体" w:hAnsi="宋体" w:eastAsia="宋体"/>
          <w:b w:val="0"/>
          <w:sz w:val="21"/>
        </w:rPr>
        <w:t>以 30 个题项预测购买意愿，经 5 折交叉验证得 λ=0.8、L1 比例=0.65、R²=0.82；直播带货 0.62、博主推荐 0.48 为强正向项，联名活动与学历系数被压缩为 0，据此筛除冗余变量。</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Friedman, J., Hastie, T., Tibshirani, R. Regularization paths for generalized linear models via coordinate descent[J]. Journal of Statistical Software, 2010, 33(1): 1-22.</w:t>
      </w:r>
    </w:p>
    <w:p>
      <w:pPr>
        <w:spacing w:after="80"/>
        <w:ind w:left="595"/>
      </w:pPr>
      <w:hyperlink r:id="rId62">
        <w:r>
          <w:rPr>
            <w:rFonts w:ascii="宋体" w:hAnsi="宋体" w:eastAsia="宋体"/>
            <w:color w:val="1155CC"/>
            <w:u w:val="single"/>
            <w:sz w:val="17"/>
          </w:rPr>
          <w:t xml:space="preserve">https://doi.org/10.18637/jss.v033.i01</w:t>
        </w:r>
      </w:hyperlink>
    </w:p>
    <w:p>
      <w:pPr>
        <w:spacing w:after="0"/>
        <w:ind w:left="420" w:hanging="420"/>
      </w:pPr>
      <w:r>
        <w:rPr>
          <w:rFonts w:ascii="宋体" w:hAnsi="宋体" w:eastAsia="宋体"/>
          <w:b w:val="0"/>
          <w:sz w:val="18"/>
        </w:rPr>
        <w:t>[2] scikit-learn developers. Elastic Net[EB/OL]. (2024-01-01)[2026-10-18].</w:t>
      </w:r>
    </w:p>
    <w:p>
      <w:pPr>
        <w:spacing w:after="80"/>
        <w:ind w:left="595"/>
      </w:pPr>
      <w:hyperlink r:id="rId63">
        <w:r>
          <w:rPr>
            <w:rFonts w:ascii="宋体" w:hAnsi="宋体" w:eastAsia="宋体"/>
            <w:color w:val="1155CC"/>
            <w:u w:val="single"/>
            <w:sz w:val="17"/>
          </w:rPr>
          <w:t xml:space="preserve">https://scikit-learn.org/stable/modules/linear_model.html#elastic-net</w:t>
        </w:r>
      </w:hyperlink>
    </w:p>
    <w:p>
      <w:pPr>
        <w:pStyle w:val="Heading2"/>
      </w:pPr>
      <w:r>
        <w:t>3.8　LightGBM 梯度提升（LightGBM Gradient Boosting）</w:t>
      </w:r>
    </w:p>
    <w:p>
      <w:r>
        <w:rPr>
          <w:rFonts w:ascii="黑体" w:hAnsi="黑体" w:eastAsia="黑体"/>
          <w:b/>
          <w:sz w:val="21"/>
        </w:rPr>
        <w:t xml:space="preserve">模型介绍　</w:t>
      </w:r>
      <w:r>
        <w:rPr>
          <w:rFonts w:ascii="宋体" w:hAnsi="宋体" w:eastAsia="宋体"/>
          <w:b w:val="0"/>
          <w:sz w:val="21"/>
        </w:rPr>
        <w:t>梯度提升以加法模型逐轮拟合前一轮残差，每轮新增一棵回归树。LightGBM 引入直方图分裂与叶优先（leaf-wise）生长策略，在保持精度的同时显著降低计算开销。其增益型特征重要性可度量变量的预测贡献。</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Fm(x) = Fm−1(x) + ν · hm(x)</w:t>
      </w:r>
    </w:p>
    <w:p>
      <w:pPr>
        <w:spacing w:before="40" w:after="40" w:line="269" w:lineRule="auto"/>
        <w:jc w:val="center"/>
      </w:pPr>
      <w:r>
        <w:rPr>
          <w:rFonts w:ascii="Times New Roman" w:hAnsi="Times New Roman" w:eastAsia="宋体"/>
          <w:b w:val="0"/>
          <w:color w:val="1A1A1A"/>
          <w:sz w:val="21"/>
        </w:rPr>
        <w:t>Gain(j) = Σt ΔI(j, t)</w:t>
      </w:r>
    </w:p>
    <w:p>
      <w:pPr>
        <w:spacing w:before="0" w:after="80"/>
        <w:ind w:left="420"/>
      </w:pPr>
      <w:r>
        <w:rPr>
          <w:rFonts w:ascii="宋体" w:hAnsi="宋体" w:eastAsia="宋体"/>
          <w:b w:val="0"/>
          <w:color w:val="404040"/>
          <w:sz w:val="18"/>
        </w:rPr>
        <w:t>式中：Fm 为第 m 轮累加模型，ν ∈ (0, 1] 为学习率，hm 为第 m 棵回归树；ΔI(j, t) 为节点 t 以特征 j 分裂带来的不纯度下降。</w:t>
      </w:r>
    </w:p>
    <w:p>
      <w:r>
        <w:rPr>
          <w:rFonts w:ascii="黑体" w:hAnsi="黑体" w:eastAsia="黑体"/>
          <w:b/>
          <w:sz w:val="21"/>
        </w:rPr>
        <w:t xml:space="preserve">适用范围　</w:t>
      </w:r>
      <w:r>
        <w:rPr>
          <w:rFonts w:ascii="宋体" w:hAnsi="宋体" w:eastAsia="宋体"/>
          <w:b w:val="0"/>
          <w:sz w:val="21"/>
        </w:rPr>
        <w:t>适用于中大规模数据的分类与回归、变量筛选与降维，可作为贝叶斯网络或回归的前置降维步骤。样本量过小易过拟合，须调小 num_leaves 并提高 min_child_samples；须划分训练集与测试集，报告准确率或 AUC 并固定随机种子。</w:t>
      </w:r>
    </w:p>
    <w:p>
      <w:r>
        <w:rPr>
          <w:rFonts w:ascii="黑体" w:hAnsi="黑体" w:eastAsia="黑体"/>
          <w:b/>
          <w:sz w:val="21"/>
        </w:rPr>
        <w:t xml:space="preserve">应用实例　</w:t>
      </w:r>
      <w:r>
        <w:rPr>
          <w:rFonts w:ascii="宋体" w:hAnsi="宋体" w:eastAsia="宋体"/>
          <w:b w:val="0"/>
          <w:sz w:val="21"/>
        </w:rPr>
        <w:t>以 30 个候选变量预测满意度，按增益重要性排序后逐次纳入，变量数达第 10 个后累计增益曲线趋平，故保留 10 个变量，测试集准确率 0.82，并据此构建后续贝叶斯网络。</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Ke, G., Meng, Q., Finley, T., et al. LightGBM: a highly efficient gradient boosting decision tree[C]//Advances in Neural Information Processing Systems 30. 2017: 3146-3154.</w:t>
      </w:r>
    </w:p>
    <w:p>
      <w:pPr>
        <w:spacing w:after="80"/>
        <w:ind w:left="595"/>
      </w:pPr>
      <w:hyperlink r:id="rId64">
        <w:r>
          <w:rPr>
            <w:rFonts w:ascii="宋体" w:hAnsi="宋体" w:eastAsia="宋体"/>
            <w:color w:val="1155CC"/>
            <w:u w:val="single"/>
            <w:sz w:val="17"/>
          </w:rPr>
          <w:t xml:space="preserve">https://papers.nips.cc/paper/6907-lightgbm-a-highly-efficient-gradient-boosting-decision-tree</w:t>
        </w:r>
      </w:hyperlink>
    </w:p>
    <w:p>
      <w:pPr>
        <w:spacing w:after="0"/>
        <w:ind w:left="420" w:hanging="420"/>
      </w:pPr>
      <w:r>
        <w:rPr>
          <w:rFonts w:ascii="宋体" w:hAnsi="宋体" w:eastAsia="宋体"/>
          <w:b w:val="0"/>
          <w:sz w:val="18"/>
        </w:rPr>
        <w:t>[2] xgboost developers. XGBoost Documentation[EB/OL]. (2024-01-01)[2026-10-18].</w:t>
      </w:r>
    </w:p>
    <w:p>
      <w:pPr>
        <w:spacing w:after="80"/>
        <w:ind w:left="595"/>
      </w:pPr>
      <w:hyperlink r:id="rId65">
        <w:r>
          <w:rPr>
            <w:rFonts w:ascii="宋体" w:hAnsi="宋体" w:eastAsia="宋体"/>
            <w:color w:val="1155CC"/>
            <w:u w:val="single"/>
            <w:sz w:val="17"/>
          </w:rPr>
          <w:t xml:space="preserve">https://xgboost.readthedocs.io/en/stable/</w:t>
        </w:r>
      </w:hyperlink>
    </w:p>
    <w:p>
      <w:pPr>
        <w:pStyle w:val="Heading2"/>
      </w:pPr>
      <w:r>
        <w:t>3.9　贝叶斯网络（Bayesian Network）</w:t>
      </w:r>
    </w:p>
    <w:p>
      <w:r>
        <w:rPr>
          <w:rFonts w:ascii="黑体" w:hAnsi="黑体" w:eastAsia="黑体"/>
          <w:b/>
          <w:sz w:val="21"/>
        </w:rPr>
        <w:t xml:space="preserve">模型介绍　</w:t>
      </w:r>
      <w:r>
        <w:rPr>
          <w:rFonts w:ascii="宋体" w:hAnsi="宋体" w:eastAsia="宋体"/>
          <w:b w:val="0"/>
          <w:sz w:val="21"/>
        </w:rPr>
        <w:t>贝叶斯网络以有向无环图刻画变量间的条件依赖关系，每个节点附条件概率表。建模含结构学习（确定连边模式）与参数学习（估计概率表）两步，参数可用极大似然估计。网络支持在给定证据下推断目标节点的后验概率。</w:t>
      </w:r>
    </w:p>
    <w:p>
      <w:pPr>
        <w:spacing w:after="40"/>
      </w:pPr>
      <w:r>
        <w:rPr>
          <w:rFonts w:ascii="黑体" w:hAnsi="黑体" w:eastAsia="黑体"/>
          <w:b/>
          <w:sz w:val="21"/>
        </w:rPr>
        <w:t xml:space="preserve">模型公式　</w:t>
      </w:r>
    </w:p>
    <w:p>
      <w:pPr>
        <w:spacing w:before="40" w:after="40" w:line="269" w:lineRule="auto"/>
        <w:jc w:val="center"/>
      </w:pPr>
      <w:r>
        <w:rPr>
          <w:rFonts w:ascii="Times New Roman" w:hAnsi="Times New Roman" w:eastAsia="宋体"/>
          <w:b w:val="0"/>
          <w:color w:val="1A1A1A"/>
          <w:sz w:val="21"/>
        </w:rPr>
        <w:t>P(X1, …, Xn) = Π P( Xi | Pa(Xi) )</w:t>
      </w:r>
    </w:p>
    <w:p>
      <w:pPr>
        <w:spacing w:before="40" w:after="40" w:line="269" w:lineRule="auto"/>
        <w:jc w:val="center"/>
      </w:pPr>
      <w:r>
        <w:rPr>
          <w:rFonts w:ascii="Times New Roman" w:hAnsi="Times New Roman" w:eastAsia="宋体"/>
          <w:b w:val="0"/>
          <w:color w:val="1A1A1A"/>
          <w:sz w:val="21"/>
        </w:rPr>
        <w:t>P(Q | E) = P(Q, E) / P(E)</w:t>
      </w:r>
    </w:p>
    <w:p>
      <w:pPr>
        <w:spacing w:before="0" w:after="80"/>
        <w:ind w:left="420"/>
      </w:pPr>
      <w:r>
        <w:rPr>
          <w:rFonts w:ascii="宋体" w:hAnsi="宋体" w:eastAsia="宋体"/>
          <w:b w:val="0"/>
          <w:color w:val="404040"/>
          <w:sz w:val="18"/>
        </w:rPr>
        <w:t>式中：Pa(Xi) 为节点 Xi 的父节点集合；Q 为待推断的查询变量，E 为已知证据变量。</w:t>
      </w:r>
    </w:p>
    <w:p>
      <w:r>
        <w:rPr>
          <w:rFonts w:ascii="黑体" w:hAnsi="黑体" w:eastAsia="黑体"/>
          <w:b/>
          <w:sz w:val="21"/>
        </w:rPr>
        <w:t xml:space="preserve">适用范围　</w:t>
      </w:r>
      <w:r>
        <w:rPr>
          <w:rFonts w:ascii="宋体" w:hAnsi="宋体" w:eastAsia="宋体"/>
          <w:b w:val="0"/>
          <w:sz w:val="21"/>
        </w:rPr>
        <w:t>适用于变量数适中（5—10 个）、需表达依赖路径或评估组合策略成功概率的场景。变量须离散化，每个状态组合应具备足够样本。连边表征统计依赖而非确定性因果，结论表述应避免因果化。</w:t>
      </w:r>
    </w:p>
    <w:p>
      <w:r>
        <w:rPr>
          <w:rFonts w:ascii="黑体" w:hAnsi="黑体" w:eastAsia="黑体"/>
          <w:b/>
          <w:sz w:val="21"/>
        </w:rPr>
        <w:t xml:space="preserve">应用实例　</w:t>
      </w:r>
      <w:r>
        <w:rPr>
          <w:rFonts w:ascii="宋体" w:hAnsi="宋体" w:eastAsia="宋体"/>
          <w:b w:val="0"/>
          <w:sz w:val="21"/>
        </w:rPr>
        <w:t>将满意度按 50 分阈值二值化，以 LightGBM 筛出的 10 个变量建网，参数用极大似然估计。推理显示“博主推荐＋联名活动”组合下满意度达标概率最高，“网购 APP＋明星代言”次之且对女性更显著。</w:t>
      </w:r>
    </w:p>
    <w:p>
      <w:pPr>
        <w:spacing w:after="40"/>
      </w:pPr>
      <w:r>
        <w:rPr>
          <w:rFonts w:ascii="黑体" w:hAnsi="黑体" w:eastAsia="黑体"/>
          <w:b/>
          <w:sz w:val="21"/>
        </w:rPr>
        <w:t>拓展文献</w:t>
      </w:r>
    </w:p>
    <w:p>
      <w:pPr>
        <w:spacing w:after="0"/>
        <w:ind w:left="420" w:hanging="420"/>
      </w:pPr>
      <w:r>
        <w:rPr>
          <w:rFonts w:ascii="宋体" w:hAnsi="宋体" w:eastAsia="宋体"/>
          <w:b w:val="0"/>
          <w:sz w:val="18"/>
        </w:rPr>
        <w:t>[1] Pearl, J. Probabilistic Reasoning in Intelligent Systems: Networks of Plausible Inference[M]. San Francisco: Morgan Kaufmann, 1988.</w:t>
      </w:r>
    </w:p>
    <w:p>
      <w:pPr>
        <w:spacing w:after="80"/>
        <w:ind w:left="595"/>
      </w:pPr>
      <w:hyperlink r:id="rId66">
        <w:r>
          <w:rPr>
            <w:rFonts w:ascii="宋体" w:hAnsi="宋体" w:eastAsia="宋体"/>
            <w:color w:val="1155CC"/>
            <w:u w:val="single"/>
            <w:sz w:val="17"/>
          </w:rPr>
          <w:t xml:space="preserve">https://doi.org/10.1016/C2009-0-27609-4</w:t>
        </w:r>
      </w:hyperlink>
    </w:p>
    <w:p>
      <w:pPr>
        <w:spacing w:after="0"/>
        <w:ind w:left="420" w:hanging="420"/>
      </w:pPr>
      <w:r>
        <w:rPr>
          <w:rFonts w:ascii="宋体" w:hAnsi="宋体" w:eastAsia="宋体"/>
          <w:b w:val="0"/>
          <w:sz w:val="18"/>
        </w:rPr>
        <w:t>[2] Scutari, M., Denis, J. B. Bayesian Networks with Examples in R(2nd ed.)[M]. Boca Raton: CRC Press, 2021.</w:t>
      </w:r>
    </w:p>
    <w:p>
      <w:pPr>
        <w:spacing w:after="80"/>
        <w:ind w:left="595"/>
      </w:pPr>
      <w:hyperlink r:id="rId67">
        <w:r>
          <w:rPr>
            <w:rFonts w:ascii="宋体" w:hAnsi="宋体" w:eastAsia="宋体"/>
            <w:color w:val="1155CC"/>
            <w:u w:val="single"/>
            <w:sz w:val="17"/>
          </w:rPr>
          <w:t xml:space="preserve">https://doi.org/10.1201/9780429347436</w:t>
        </w:r>
      </w:hyperlink>
    </w:p>
    <w:p>
      <w:r>
        <w:br w:type="page"/>
      </w:r>
    </w:p>
    <w:p>
      <w:pPr>
        <w:spacing w:before="40" w:after="120"/>
        <w:jc w:val="center"/>
      </w:pPr>
      <w:r>
        <w:rPr>
          <w:rFonts w:ascii="黑体" w:hAnsi="黑体" w:eastAsia="黑体"/>
          <w:b/>
          <w:sz w:val="20"/>
        </w:rPr>
        <w:t>表 3-1  第三章各模型对比</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14"/>
        <w:gridCol w:w="1814"/>
        <w:gridCol w:w="1814"/>
        <w:gridCol w:w="1814"/>
        <w:gridCol w:w="1814"/>
      </w:tblGrid>
      <w:tr>
        <w:trPr>
          <w:tblHeader w:val="true"/>
        </w:trPr>
        <w:tc>
          <w:tcPr>
            <w:tcW w:type="dxa" w:w="1644"/>
            <w:shd w:val="clear" w:color="auto" w:fill="1F3B63"/>
          </w:tcPr>
          <w:p>
            <w:pPr>
              <w:spacing w:before="40" w:after="40"/>
              <w:jc w:val="center"/>
            </w:pPr>
            <w:r>
              <w:rPr>
                <w:rFonts w:ascii="黑体" w:hAnsi="黑体" w:eastAsia="黑体"/>
                <w:b/>
                <w:color w:val="FFFFFF"/>
                <w:sz w:val="17"/>
              </w:rPr>
              <w:t>模型</w:t>
            </w:r>
          </w:p>
        </w:tc>
        <w:tc>
          <w:tcPr>
            <w:tcW w:type="dxa" w:w="1984"/>
            <w:shd w:val="clear" w:color="auto" w:fill="1F3B63"/>
          </w:tcPr>
          <w:p>
            <w:pPr>
              <w:spacing w:before="40" w:after="40"/>
              <w:jc w:val="center"/>
            </w:pPr>
            <w:r>
              <w:rPr>
                <w:rFonts w:ascii="黑体" w:hAnsi="黑体" w:eastAsia="黑体"/>
                <w:b/>
                <w:color w:val="FFFFFF"/>
                <w:sz w:val="17"/>
              </w:rPr>
              <w:t>核心用途</w:t>
            </w:r>
          </w:p>
        </w:tc>
        <w:tc>
          <w:tcPr>
            <w:tcW w:type="dxa" w:w="2041"/>
            <w:shd w:val="clear" w:color="auto" w:fill="1F3B63"/>
          </w:tcPr>
          <w:p>
            <w:pPr>
              <w:spacing w:before="40" w:after="40"/>
              <w:jc w:val="center"/>
            </w:pPr>
            <w:r>
              <w:rPr>
                <w:rFonts w:ascii="黑体" w:hAnsi="黑体" w:eastAsia="黑体"/>
                <w:b/>
                <w:color w:val="FFFFFF"/>
                <w:sz w:val="17"/>
              </w:rPr>
              <w:t>输入数据要求</w:t>
            </w:r>
          </w:p>
        </w:tc>
        <w:tc>
          <w:tcPr>
            <w:tcW w:type="dxa" w:w="2154"/>
            <w:shd w:val="clear" w:color="auto" w:fill="1F3B63"/>
          </w:tcPr>
          <w:p>
            <w:pPr>
              <w:spacing w:before="40" w:after="40"/>
              <w:jc w:val="center"/>
            </w:pPr>
            <w:r>
              <w:rPr>
                <w:rFonts w:ascii="黑体" w:hAnsi="黑体" w:eastAsia="黑体"/>
                <w:b/>
                <w:color w:val="FFFFFF"/>
                <w:sz w:val="17"/>
              </w:rPr>
              <w:t>主要输出</w:t>
            </w:r>
          </w:p>
        </w:tc>
        <w:tc>
          <w:tcPr>
            <w:tcW w:type="dxa" w:w="1247"/>
            <w:shd w:val="clear" w:color="auto" w:fill="1F3B63"/>
          </w:tcPr>
          <w:p>
            <w:pPr>
              <w:spacing w:before="40" w:after="40"/>
              <w:jc w:val="center"/>
            </w:pPr>
            <w:r>
              <w:rPr>
                <w:rFonts w:ascii="黑体" w:hAnsi="黑体" w:eastAsia="黑体"/>
                <w:b/>
                <w:color w:val="FFFFFF"/>
                <w:sz w:val="17"/>
              </w:rPr>
              <w:t>关键前提</w:t>
            </w:r>
          </w:p>
        </w:tc>
      </w:tr>
      <w:tr>
        <w:tc>
          <w:tcPr>
            <w:tcW w:type="dxa" w:w="1644"/>
          </w:tcPr>
          <w:p>
            <w:pPr>
              <w:spacing w:before="30" w:after="30" w:line="264" w:lineRule="auto"/>
              <w:jc w:val="left"/>
            </w:pPr>
            <w:r>
              <w:rPr>
                <w:rFonts w:ascii="宋体" w:hAnsi="宋体" w:eastAsia="宋体"/>
                <w:b/>
                <w:sz w:val="17"/>
              </w:rPr>
              <w:t>多阶段与 PPS 抽样</w:t>
            </w:r>
          </w:p>
        </w:tc>
        <w:tc>
          <w:tcPr>
            <w:tcW w:type="dxa" w:w="1984"/>
          </w:tcPr>
          <w:p>
            <w:pPr>
              <w:spacing w:before="30" w:after="30" w:line="264" w:lineRule="auto"/>
            </w:pPr>
            <w:r>
              <w:rPr>
                <w:rFonts w:ascii="宋体" w:hAnsi="宋体" w:eastAsia="宋体"/>
                <w:b w:val="0"/>
                <w:sz w:val="17"/>
              </w:rPr>
              <w:t>大总体的分层抽样设计</w:t>
            </w:r>
          </w:p>
        </w:tc>
        <w:tc>
          <w:tcPr>
            <w:tcW w:type="dxa" w:w="2041"/>
          </w:tcPr>
          <w:p>
            <w:pPr>
              <w:spacing w:before="30" w:after="30" w:line="264" w:lineRule="auto"/>
            </w:pPr>
            <w:r>
              <w:rPr>
                <w:rFonts w:ascii="宋体" w:hAnsi="宋体" w:eastAsia="宋体"/>
                <w:b w:val="0"/>
                <w:sz w:val="17"/>
              </w:rPr>
              <w:t>各级单位规模数据</w:t>
            </w:r>
          </w:p>
        </w:tc>
        <w:tc>
          <w:tcPr>
            <w:tcW w:type="dxa" w:w="2154"/>
          </w:tcPr>
          <w:p>
            <w:pPr>
              <w:spacing w:before="30" w:after="30" w:line="264" w:lineRule="auto"/>
            </w:pPr>
            <w:r>
              <w:rPr>
                <w:rFonts w:ascii="宋体" w:hAnsi="宋体" w:eastAsia="宋体"/>
                <w:b w:val="0"/>
                <w:sz w:val="17"/>
              </w:rPr>
              <w:t>入选概率、设计效应、样本量</w:t>
            </w:r>
          </w:p>
        </w:tc>
        <w:tc>
          <w:tcPr>
            <w:tcW w:type="dxa" w:w="1247"/>
          </w:tcPr>
          <w:p>
            <w:pPr>
              <w:spacing w:before="30" w:after="30" w:line="264" w:lineRule="auto"/>
            </w:pPr>
            <w:r>
              <w:rPr>
                <w:rFonts w:ascii="宋体" w:hAnsi="宋体" w:eastAsia="宋体"/>
                <w:b w:val="0"/>
                <w:sz w:val="17"/>
              </w:rPr>
              <w:t>需人口统计资料</w:t>
            </w:r>
          </w:p>
        </w:tc>
      </w:tr>
      <w:tr>
        <w:tc>
          <w:tcPr>
            <w:tcW w:type="dxa" w:w="1644"/>
            <w:shd w:val="clear" w:color="auto" w:fill="F2F5FA"/>
          </w:tcPr>
          <w:p>
            <w:pPr>
              <w:spacing w:before="30" w:after="30" w:line="264" w:lineRule="auto"/>
              <w:jc w:val="left"/>
            </w:pPr>
            <w:r>
              <w:rPr>
                <w:rFonts w:ascii="宋体" w:hAnsi="宋体" w:eastAsia="宋体"/>
                <w:b/>
                <w:sz w:val="17"/>
              </w:rPr>
              <w:t>主成分与因子分析</w:t>
            </w:r>
          </w:p>
        </w:tc>
        <w:tc>
          <w:tcPr>
            <w:tcW w:type="dxa" w:w="1984"/>
            <w:shd w:val="clear" w:color="auto" w:fill="F2F5FA"/>
          </w:tcPr>
          <w:p>
            <w:pPr>
              <w:spacing w:before="30" w:after="30" w:line="264" w:lineRule="auto"/>
            </w:pPr>
            <w:r>
              <w:rPr>
                <w:rFonts w:ascii="宋体" w:hAnsi="宋体" w:eastAsia="宋体"/>
                <w:b w:val="0"/>
                <w:sz w:val="17"/>
              </w:rPr>
              <w:t>降维与结构验证</w:t>
            </w:r>
          </w:p>
        </w:tc>
        <w:tc>
          <w:tcPr>
            <w:tcW w:type="dxa" w:w="2041"/>
            <w:shd w:val="clear" w:color="auto" w:fill="F2F5FA"/>
          </w:tcPr>
          <w:p>
            <w:pPr>
              <w:spacing w:before="30" w:after="30" w:line="264" w:lineRule="auto"/>
            </w:pPr>
            <w:r>
              <w:rPr>
                <w:rFonts w:ascii="宋体" w:hAnsi="宋体" w:eastAsia="宋体"/>
                <w:b w:val="0"/>
                <w:sz w:val="17"/>
              </w:rPr>
              <w:t>多题项相关矩阵</w:t>
            </w:r>
          </w:p>
        </w:tc>
        <w:tc>
          <w:tcPr>
            <w:tcW w:type="dxa" w:w="2154"/>
            <w:shd w:val="clear" w:color="auto" w:fill="F2F5FA"/>
          </w:tcPr>
          <w:p>
            <w:pPr>
              <w:spacing w:before="30" w:after="30" w:line="264" w:lineRule="auto"/>
            </w:pPr>
            <w:r>
              <w:rPr>
                <w:rFonts w:ascii="宋体" w:hAnsi="宋体" w:eastAsia="宋体"/>
                <w:b w:val="0"/>
                <w:sz w:val="17"/>
              </w:rPr>
              <w:t>因子数、解释率、载荷矩阵</w:t>
            </w:r>
          </w:p>
        </w:tc>
        <w:tc>
          <w:tcPr>
            <w:tcW w:type="dxa" w:w="1247"/>
            <w:shd w:val="clear" w:color="auto" w:fill="F2F5FA"/>
          </w:tcPr>
          <w:p>
            <w:pPr>
              <w:spacing w:before="30" w:after="30" w:line="264" w:lineRule="auto"/>
            </w:pPr>
            <w:r>
              <w:rPr>
                <w:rFonts w:ascii="宋体" w:hAnsi="宋体" w:eastAsia="宋体"/>
                <w:b w:val="0"/>
                <w:sz w:val="17"/>
              </w:rPr>
              <w:t>KMO&gt;0.7、样本量充足</w:t>
            </w:r>
          </w:p>
        </w:tc>
      </w:tr>
      <w:tr>
        <w:tc>
          <w:tcPr>
            <w:tcW w:type="dxa" w:w="1644"/>
          </w:tcPr>
          <w:p>
            <w:pPr>
              <w:spacing w:before="30" w:after="30" w:line="264" w:lineRule="auto"/>
              <w:jc w:val="left"/>
            </w:pPr>
            <w:r>
              <w:rPr>
                <w:rFonts w:ascii="宋体" w:hAnsi="宋体" w:eastAsia="宋体"/>
                <w:b/>
                <w:sz w:val="17"/>
              </w:rPr>
              <w:t>层次分析法</w:t>
            </w:r>
          </w:p>
        </w:tc>
        <w:tc>
          <w:tcPr>
            <w:tcW w:type="dxa" w:w="1984"/>
          </w:tcPr>
          <w:p>
            <w:pPr>
              <w:spacing w:before="30" w:after="30" w:line="264" w:lineRule="auto"/>
            </w:pPr>
            <w:r>
              <w:rPr>
                <w:rFonts w:ascii="宋体" w:hAnsi="宋体" w:eastAsia="宋体"/>
                <w:b w:val="0"/>
                <w:sz w:val="17"/>
              </w:rPr>
              <w:t>指标赋权</w:t>
            </w:r>
          </w:p>
        </w:tc>
        <w:tc>
          <w:tcPr>
            <w:tcW w:type="dxa" w:w="2041"/>
          </w:tcPr>
          <w:p>
            <w:pPr>
              <w:spacing w:before="30" w:after="30" w:line="264" w:lineRule="auto"/>
            </w:pPr>
            <w:r>
              <w:rPr>
                <w:rFonts w:ascii="宋体" w:hAnsi="宋体" w:eastAsia="宋体"/>
                <w:b w:val="0"/>
                <w:sz w:val="17"/>
              </w:rPr>
              <w:t>专家两两比较矩阵</w:t>
            </w:r>
          </w:p>
        </w:tc>
        <w:tc>
          <w:tcPr>
            <w:tcW w:type="dxa" w:w="2154"/>
          </w:tcPr>
          <w:p>
            <w:pPr>
              <w:spacing w:before="30" w:after="30" w:line="264" w:lineRule="auto"/>
            </w:pPr>
            <w:r>
              <w:rPr>
                <w:rFonts w:ascii="宋体" w:hAnsi="宋体" w:eastAsia="宋体"/>
                <w:b w:val="0"/>
                <w:sz w:val="17"/>
              </w:rPr>
              <w:t>权重向量、CR</w:t>
            </w:r>
          </w:p>
        </w:tc>
        <w:tc>
          <w:tcPr>
            <w:tcW w:type="dxa" w:w="1247"/>
          </w:tcPr>
          <w:p>
            <w:pPr>
              <w:spacing w:before="30" w:after="30" w:line="264" w:lineRule="auto"/>
            </w:pPr>
            <w:r>
              <w:rPr>
                <w:rFonts w:ascii="宋体" w:hAnsi="宋体" w:eastAsia="宋体"/>
                <w:b w:val="0"/>
                <w:sz w:val="17"/>
              </w:rPr>
              <w:t>CR&lt;0.1</w:t>
            </w:r>
          </w:p>
        </w:tc>
      </w:tr>
      <w:tr>
        <w:tc>
          <w:tcPr>
            <w:tcW w:type="dxa" w:w="1644"/>
            <w:shd w:val="clear" w:color="auto" w:fill="F2F5FA"/>
          </w:tcPr>
          <w:p>
            <w:pPr>
              <w:spacing w:before="30" w:after="30" w:line="264" w:lineRule="auto"/>
              <w:jc w:val="left"/>
            </w:pPr>
            <w:r>
              <w:rPr>
                <w:rFonts w:ascii="宋体" w:hAnsi="宋体" w:eastAsia="宋体"/>
                <w:b/>
                <w:sz w:val="17"/>
              </w:rPr>
              <w:t>模糊综合评价</w:t>
            </w:r>
          </w:p>
        </w:tc>
        <w:tc>
          <w:tcPr>
            <w:tcW w:type="dxa" w:w="1984"/>
            <w:shd w:val="clear" w:color="auto" w:fill="F2F5FA"/>
          </w:tcPr>
          <w:p>
            <w:pPr>
              <w:spacing w:before="30" w:after="30" w:line="264" w:lineRule="auto"/>
            </w:pPr>
            <w:r>
              <w:rPr>
                <w:rFonts w:ascii="宋体" w:hAnsi="宋体" w:eastAsia="宋体"/>
                <w:b w:val="0"/>
                <w:sz w:val="17"/>
              </w:rPr>
              <w:t>等级型综合评价</w:t>
            </w:r>
          </w:p>
        </w:tc>
        <w:tc>
          <w:tcPr>
            <w:tcW w:type="dxa" w:w="2041"/>
            <w:shd w:val="clear" w:color="auto" w:fill="F2F5FA"/>
          </w:tcPr>
          <w:p>
            <w:pPr>
              <w:spacing w:before="30" w:after="30" w:line="264" w:lineRule="auto"/>
            </w:pPr>
            <w:r>
              <w:rPr>
                <w:rFonts w:ascii="宋体" w:hAnsi="宋体" w:eastAsia="宋体"/>
                <w:b w:val="0"/>
                <w:sz w:val="17"/>
              </w:rPr>
              <w:t>权重＋隶属度矩阵</w:t>
            </w:r>
          </w:p>
        </w:tc>
        <w:tc>
          <w:tcPr>
            <w:tcW w:type="dxa" w:w="2154"/>
            <w:shd w:val="clear" w:color="auto" w:fill="F2F5FA"/>
          </w:tcPr>
          <w:p>
            <w:pPr>
              <w:spacing w:before="30" w:after="30" w:line="264" w:lineRule="auto"/>
            </w:pPr>
            <w:r>
              <w:rPr>
                <w:rFonts w:ascii="宋体" w:hAnsi="宋体" w:eastAsia="宋体"/>
                <w:b w:val="0"/>
                <w:sz w:val="17"/>
              </w:rPr>
              <w:t>综合得分与等级</w:t>
            </w:r>
          </w:p>
        </w:tc>
        <w:tc>
          <w:tcPr>
            <w:tcW w:type="dxa" w:w="1247"/>
            <w:shd w:val="clear" w:color="auto" w:fill="F2F5FA"/>
          </w:tcPr>
          <w:p>
            <w:pPr>
              <w:spacing w:before="30" w:after="30" w:line="264" w:lineRule="auto"/>
            </w:pPr>
            <w:r>
              <w:rPr>
                <w:rFonts w:ascii="宋体" w:hAnsi="宋体" w:eastAsia="宋体"/>
                <w:b w:val="0"/>
                <w:sz w:val="17"/>
              </w:rPr>
              <w:t>权重与赋值规则须明示</w:t>
            </w:r>
          </w:p>
        </w:tc>
      </w:tr>
      <w:tr>
        <w:tc>
          <w:tcPr>
            <w:tcW w:type="dxa" w:w="1644"/>
          </w:tcPr>
          <w:p>
            <w:pPr>
              <w:spacing w:before="30" w:after="30" w:line="264" w:lineRule="auto"/>
              <w:jc w:val="left"/>
            </w:pPr>
            <w:r>
              <w:rPr>
                <w:rFonts w:ascii="宋体" w:hAnsi="宋体" w:eastAsia="宋体"/>
                <w:b/>
                <w:sz w:val="17"/>
              </w:rPr>
              <w:t>结构方程模型</w:t>
            </w:r>
          </w:p>
        </w:tc>
        <w:tc>
          <w:tcPr>
            <w:tcW w:type="dxa" w:w="1984"/>
          </w:tcPr>
          <w:p>
            <w:pPr>
              <w:spacing w:before="30" w:after="30" w:line="264" w:lineRule="auto"/>
            </w:pPr>
            <w:r>
              <w:rPr>
                <w:rFonts w:ascii="宋体" w:hAnsi="宋体" w:eastAsia="宋体"/>
                <w:b w:val="0"/>
                <w:sz w:val="17"/>
              </w:rPr>
              <w:t>潜变量路径与中介检验</w:t>
            </w:r>
          </w:p>
        </w:tc>
        <w:tc>
          <w:tcPr>
            <w:tcW w:type="dxa" w:w="2041"/>
          </w:tcPr>
          <w:p>
            <w:pPr>
              <w:spacing w:before="30" w:after="30" w:line="264" w:lineRule="auto"/>
            </w:pPr>
            <w:r>
              <w:rPr>
                <w:rFonts w:ascii="宋体" w:hAnsi="宋体" w:eastAsia="宋体"/>
                <w:b w:val="0"/>
                <w:sz w:val="17"/>
              </w:rPr>
              <w:t>多指标观测数据</w:t>
            </w:r>
          </w:p>
        </w:tc>
        <w:tc>
          <w:tcPr>
            <w:tcW w:type="dxa" w:w="2154"/>
          </w:tcPr>
          <w:p>
            <w:pPr>
              <w:spacing w:before="30" w:after="30" w:line="264" w:lineRule="auto"/>
            </w:pPr>
            <w:r>
              <w:rPr>
                <w:rFonts w:ascii="宋体" w:hAnsi="宋体" w:eastAsia="宋体"/>
                <w:b w:val="0"/>
                <w:sz w:val="17"/>
              </w:rPr>
              <w:t>拟合指标、路径系数</w:t>
            </w:r>
          </w:p>
        </w:tc>
        <w:tc>
          <w:tcPr>
            <w:tcW w:type="dxa" w:w="1247"/>
          </w:tcPr>
          <w:p>
            <w:pPr>
              <w:spacing w:before="30" w:after="30" w:line="264" w:lineRule="auto"/>
            </w:pPr>
            <w:r>
              <w:rPr>
                <w:rFonts w:ascii="宋体" w:hAnsi="宋体" w:eastAsia="宋体"/>
                <w:b w:val="0"/>
                <w:sz w:val="17"/>
              </w:rPr>
              <w:t>样本量≥200、模型有理论依据</w:t>
            </w:r>
          </w:p>
        </w:tc>
      </w:tr>
      <w:tr>
        <w:tc>
          <w:tcPr>
            <w:tcW w:type="dxa" w:w="1644"/>
            <w:shd w:val="clear" w:color="auto" w:fill="F2F5FA"/>
          </w:tcPr>
          <w:p>
            <w:pPr>
              <w:spacing w:before="30" w:after="30" w:line="264" w:lineRule="auto"/>
              <w:jc w:val="left"/>
            </w:pPr>
            <w:r>
              <w:rPr>
                <w:rFonts w:ascii="宋体" w:hAnsi="宋体" w:eastAsia="宋体"/>
                <w:b/>
                <w:sz w:val="17"/>
              </w:rPr>
              <w:t>LDA 主题模型</w:t>
            </w:r>
          </w:p>
        </w:tc>
        <w:tc>
          <w:tcPr>
            <w:tcW w:type="dxa" w:w="1984"/>
            <w:shd w:val="clear" w:color="auto" w:fill="F2F5FA"/>
          </w:tcPr>
          <w:p>
            <w:pPr>
              <w:spacing w:before="30" w:after="30" w:line="264" w:lineRule="auto"/>
            </w:pPr>
            <w:r>
              <w:rPr>
                <w:rFonts w:ascii="宋体" w:hAnsi="宋体" w:eastAsia="宋体"/>
                <w:b w:val="0"/>
                <w:sz w:val="17"/>
              </w:rPr>
              <w:t>文本主题发现</w:t>
            </w:r>
          </w:p>
        </w:tc>
        <w:tc>
          <w:tcPr>
            <w:tcW w:type="dxa" w:w="2041"/>
            <w:shd w:val="clear" w:color="auto" w:fill="F2F5FA"/>
          </w:tcPr>
          <w:p>
            <w:pPr>
              <w:spacing w:before="30" w:after="30" w:line="264" w:lineRule="auto"/>
            </w:pPr>
            <w:r>
              <w:rPr>
                <w:rFonts w:ascii="宋体" w:hAnsi="宋体" w:eastAsia="宋体"/>
                <w:b w:val="0"/>
                <w:sz w:val="17"/>
              </w:rPr>
              <w:t>分词后语料</w:t>
            </w:r>
          </w:p>
        </w:tc>
        <w:tc>
          <w:tcPr>
            <w:tcW w:type="dxa" w:w="2154"/>
            <w:shd w:val="clear" w:color="auto" w:fill="F2F5FA"/>
          </w:tcPr>
          <w:p>
            <w:pPr>
              <w:spacing w:before="30" w:after="30" w:line="264" w:lineRule="auto"/>
            </w:pPr>
            <w:r>
              <w:rPr>
                <w:rFonts w:ascii="宋体" w:hAnsi="宋体" w:eastAsia="宋体"/>
                <w:b w:val="0"/>
                <w:sz w:val="17"/>
              </w:rPr>
              <w:t>主题—词分布、文档—主题分布</w:t>
            </w:r>
          </w:p>
        </w:tc>
        <w:tc>
          <w:tcPr>
            <w:tcW w:type="dxa" w:w="1247"/>
            <w:shd w:val="clear" w:color="auto" w:fill="F2F5FA"/>
          </w:tcPr>
          <w:p>
            <w:pPr>
              <w:spacing w:before="30" w:after="30" w:line="264" w:lineRule="auto"/>
            </w:pPr>
            <w:r>
              <w:rPr>
                <w:rFonts w:ascii="宋体" w:hAnsi="宋体" w:eastAsia="宋体"/>
                <w:b w:val="0"/>
                <w:sz w:val="17"/>
              </w:rPr>
              <w:t>语料规模≥数百条</w:t>
            </w:r>
          </w:p>
        </w:tc>
      </w:tr>
      <w:tr>
        <w:tc>
          <w:tcPr>
            <w:tcW w:type="dxa" w:w="1644"/>
          </w:tcPr>
          <w:p>
            <w:pPr>
              <w:spacing w:before="30" w:after="30" w:line="264" w:lineRule="auto"/>
              <w:jc w:val="left"/>
            </w:pPr>
            <w:r>
              <w:rPr>
                <w:rFonts w:ascii="宋体" w:hAnsi="宋体" w:eastAsia="宋体"/>
                <w:b/>
                <w:sz w:val="17"/>
              </w:rPr>
              <w:t>弹性网络回归</w:t>
            </w:r>
          </w:p>
        </w:tc>
        <w:tc>
          <w:tcPr>
            <w:tcW w:type="dxa" w:w="1984"/>
          </w:tcPr>
          <w:p>
            <w:pPr>
              <w:spacing w:before="30" w:after="30" w:line="264" w:lineRule="auto"/>
            </w:pPr>
            <w:r>
              <w:rPr>
                <w:rFonts w:ascii="宋体" w:hAnsi="宋体" w:eastAsia="宋体"/>
                <w:b w:val="0"/>
                <w:sz w:val="17"/>
              </w:rPr>
              <w:t>高维共线性下的变量选择</w:t>
            </w:r>
          </w:p>
        </w:tc>
        <w:tc>
          <w:tcPr>
            <w:tcW w:type="dxa" w:w="2041"/>
          </w:tcPr>
          <w:p>
            <w:pPr>
              <w:spacing w:before="30" w:after="30" w:line="264" w:lineRule="auto"/>
            </w:pPr>
            <w:r>
              <w:rPr>
                <w:rFonts w:ascii="宋体" w:hAnsi="宋体" w:eastAsia="宋体"/>
                <w:b w:val="0"/>
                <w:sz w:val="17"/>
              </w:rPr>
              <w:t>标准化特征矩阵</w:t>
            </w:r>
          </w:p>
        </w:tc>
        <w:tc>
          <w:tcPr>
            <w:tcW w:type="dxa" w:w="2154"/>
          </w:tcPr>
          <w:p>
            <w:pPr>
              <w:spacing w:before="30" w:after="30" w:line="264" w:lineRule="auto"/>
            </w:pPr>
            <w:r>
              <w:rPr>
                <w:rFonts w:ascii="宋体" w:hAnsi="宋体" w:eastAsia="宋体"/>
                <w:b w:val="0"/>
                <w:sz w:val="17"/>
              </w:rPr>
              <w:t>稀疏系数、λ、L1 比例</w:t>
            </w:r>
          </w:p>
        </w:tc>
        <w:tc>
          <w:tcPr>
            <w:tcW w:type="dxa" w:w="1247"/>
          </w:tcPr>
          <w:p>
            <w:pPr>
              <w:spacing w:before="30" w:after="30" w:line="264" w:lineRule="auto"/>
            </w:pPr>
            <w:r>
              <w:rPr>
                <w:rFonts w:ascii="宋体" w:hAnsi="宋体" w:eastAsia="宋体"/>
                <w:b w:val="0"/>
                <w:sz w:val="17"/>
              </w:rPr>
              <w:t>须交叉验证调参</w:t>
            </w:r>
          </w:p>
        </w:tc>
      </w:tr>
      <w:tr>
        <w:tc>
          <w:tcPr>
            <w:tcW w:type="dxa" w:w="1644"/>
            <w:shd w:val="clear" w:color="auto" w:fill="F2F5FA"/>
          </w:tcPr>
          <w:p>
            <w:pPr>
              <w:spacing w:before="30" w:after="30" w:line="264" w:lineRule="auto"/>
              <w:jc w:val="left"/>
            </w:pPr>
            <w:r>
              <w:rPr>
                <w:rFonts w:ascii="宋体" w:hAnsi="宋体" w:eastAsia="宋体"/>
                <w:b/>
                <w:sz w:val="17"/>
              </w:rPr>
              <w:t>LightGBM</w:t>
            </w:r>
          </w:p>
        </w:tc>
        <w:tc>
          <w:tcPr>
            <w:tcW w:type="dxa" w:w="1984"/>
            <w:shd w:val="clear" w:color="auto" w:fill="F2F5FA"/>
          </w:tcPr>
          <w:p>
            <w:pPr>
              <w:spacing w:before="30" w:after="30" w:line="264" w:lineRule="auto"/>
            </w:pPr>
            <w:r>
              <w:rPr>
                <w:rFonts w:ascii="宋体" w:hAnsi="宋体" w:eastAsia="宋体"/>
                <w:b w:val="0"/>
                <w:sz w:val="17"/>
              </w:rPr>
              <w:t>高精度预测与变量筛选</w:t>
            </w:r>
          </w:p>
        </w:tc>
        <w:tc>
          <w:tcPr>
            <w:tcW w:type="dxa" w:w="2041"/>
            <w:shd w:val="clear" w:color="auto" w:fill="F2F5FA"/>
          </w:tcPr>
          <w:p>
            <w:pPr>
              <w:spacing w:before="30" w:after="30" w:line="264" w:lineRule="auto"/>
            </w:pPr>
            <w:r>
              <w:rPr>
                <w:rFonts w:ascii="宋体" w:hAnsi="宋体" w:eastAsia="宋体"/>
                <w:b w:val="0"/>
                <w:sz w:val="17"/>
              </w:rPr>
              <w:t>特征矩阵＋标签</w:t>
            </w:r>
          </w:p>
        </w:tc>
        <w:tc>
          <w:tcPr>
            <w:tcW w:type="dxa" w:w="2154"/>
            <w:shd w:val="clear" w:color="auto" w:fill="F2F5FA"/>
          </w:tcPr>
          <w:p>
            <w:pPr>
              <w:spacing w:before="30" w:after="30" w:line="264" w:lineRule="auto"/>
            </w:pPr>
            <w:r>
              <w:rPr>
                <w:rFonts w:ascii="宋体" w:hAnsi="宋体" w:eastAsia="宋体"/>
                <w:b w:val="0"/>
                <w:sz w:val="17"/>
              </w:rPr>
              <w:t>预测值、增益重要性</w:t>
            </w:r>
          </w:p>
        </w:tc>
        <w:tc>
          <w:tcPr>
            <w:tcW w:type="dxa" w:w="1247"/>
            <w:shd w:val="clear" w:color="auto" w:fill="F2F5FA"/>
          </w:tcPr>
          <w:p>
            <w:pPr>
              <w:spacing w:before="30" w:after="30" w:line="264" w:lineRule="auto"/>
            </w:pPr>
            <w:r>
              <w:rPr>
                <w:rFonts w:ascii="宋体" w:hAnsi="宋体" w:eastAsia="宋体"/>
                <w:b w:val="0"/>
                <w:sz w:val="17"/>
              </w:rPr>
              <w:t>须划分训练/测试集</w:t>
            </w:r>
          </w:p>
        </w:tc>
      </w:tr>
      <w:tr>
        <w:tc>
          <w:tcPr>
            <w:tcW w:type="dxa" w:w="1644"/>
          </w:tcPr>
          <w:p>
            <w:pPr>
              <w:spacing w:before="30" w:after="30" w:line="264" w:lineRule="auto"/>
              <w:jc w:val="left"/>
            </w:pPr>
            <w:r>
              <w:rPr>
                <w:rFonts w:ascii="宋体" w:hAnsi="宋体" w:eastAsia="宋体"/>
                <w:b/>
                <w:sz w:val="17"/>
              </w:rPr>
              <w:t>贝叶斯网络</w:t>
            </w:r>
          </w:p>
        </w:tc>
        <w:tc>
          <w:tcPr>
            <w:tcW w:type="dxa" w:w="1984"/>
          </w:tcPr>
          <w:p>
            <w:pPr>
              <w:spacing w:before="30" w:after="30" w:line="264" w:lineRule="auto"/>
            </w:pPr>
            <w:r>
              <w:rPr>
                <w:rFonts w:ascii="宋体" w:hAnsi="宋体" w:eastAsia="宋体"/>
                <w:b w:val="0"/>
                <w:sz w:val="17"/>
              </w:rPr>
              <w:t>依赖路径与组合概率推断</w:t>
            </w:r>
          </w:p>
        </w:tc>
        <w:tc>
          <w:tcPr>
            <w:tcW w:type="dxa" w:w="2041"/>
          </w:tcPr>
          <w:p>
            <w:pPr>
              <w:spacing w:before="30" w:after="30" w:line="264" w:lineRule="auto"/>
            </w:pPr>
            <w:r>
              <w:rPr>
                <w:rFonts w:ascii="宋体" w:hAnsi="宋体" w:eastAsia="宋体"/>
                <w:b w:val="0"/>
                <w:sz w:val="17"/>
              </w:rPr>
              <w:t>离散化变量</w:t>
            </w:r>
          </w:p>
        </w:tc>
        <w:tc>
          <w:tcPr>
            <w:tcW w:type="dxa" w:w="2154"/>
          </w:tcPr>
          <w:p>
            <w:pPr>
              <w:spacing w:before="30" w:after="30" w:line="264" w:lineRule="auto"/>
            </w:pPr>
            <w:r>
              <w:rPr>
                <w:rFonts w:ascii="宋体" w:hAnsi="宋体" w:eastAsia="宋体"/>
                <w:b w:val="0"/>
                <w:sz w:val="17"/>
              </w:rPr>
              <w:t>网络结构、条件概率、后验概率</w:t>
            </w:r>
          </w:p>
        </w:tc>
        <w:tc>
          <w:tcPr>
            <w:tcW w:type="dxa" w:w="1247"/>
          </w:tcPr>
          <w:p>
            <w:pPr>
              <w:spacing w:before="30" w:after="30" w:line="264" w:lineRule="auto"/>
            </w:pPr>
            <w:r>
              <w:rPr>
                <w:rFonts w:ascii="宋体" w:hAnsi="宋体" w:eastAsia="宋体"/>
                <w:b w:val="0"/>
                <w:sz w:val="17"/>
              </w:rPr>
              <w:t>变量数≤10、状态样本充足</w:t>
            </w:r>
          </w:p>
        </w:tc>
      </w:tr>
    </w:tbl>
    <w:p>
      <w:pPr>
        <w:spacing w:before="120"/>
      </w:pPr>
      <w:r>
        <w:rPr>
          <w:rFonts w:ascii="宋体" w:hAnsi="宋体" w:eastAsia="宋体"/>
          <w:b w:val="0"/>
          <w:color w:val="666666"/>
          <w:sz w:val="17"/>
        </w:rPr>
        <w:t>注：表中“主要输出”指该模型用于报告时应呈现的核心结果；“关键前提”指违背时结论不可靠的必要条件，正式写作中应予交代。</w:t>
      </w:r>
    </w:p>
    <w:sectPr w:rsidR="00FC693F" w:rsidRPr="0006063C" w:rsidSect="00034616">
      <w:footerReference w:type="default" r:id="rId9"/>
      <w:pgSz w:w="11906" w:h="16838"/>
      <w:pgMar w:top="1440"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7" w:before="0" w:after="80"/>
    </w:pPr>
    <w:rPr>
      <w:rFonts w:ascii="宋体" w:hAnsi="宋体" w:eastAsia="宋体"/>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黑体" w:hAnsi="黑体" w:eastAsia="黑体"/>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黑体" w:hAnsi="黑体" w:eastAsia="黑体"/>
      <w:b/>
      <w:bCs/>
      <w:color w:val="1F3B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tl.nist.gov/div898/handbook/eda/section3/eda35.htm" TargetMode="External"/><Relationship Id="rId11" Type="http://schemas.openxmlformats.org/officeDocument/2006/relationships/hyperlink" Target="https://openstax.org/details/books/introductory-statistics" TargetMode="External"/><Relationship Id="rId12" Type="http://schemas.openxmlformats.org/officeDocument/2006/relationships/hyperlink" Target="https://psycnet.apa.org/record/1933-01885-001" TargetMode="External"/><Relationship Id="rId13" Type="http://schemas.openxmlformats.org/officeDocument/2006/relationships/hyperlink" Target="https://doi.org/10.1007/BF02310555" TargetMode="External"/><Relationship Id="rId14" Type="http://schemas.openxmlformats.org/officeDocument/2006/relationships/hyperlink" Target="https://doi.org/10.5116/ijme.4dfb.8dfd" TargetMode="External"/><Relationship Id="rId15" Type="http://schemas.openxmlformats.org/officeDocument/2006/relationships/hyperlink" Target="https://index.baidu.com" TargetMode="External"/><Relationship Id="rId16" Type="http://schemas.openxmlformats.org/officeDocument/2006/relationships/hyperlink" Target="https://nlp.stanford.edu/IR-book/" TargetMode="External"/><Relationship Id="rId17" Type="http://schemas.openxmlformats.org/officeDocument/2006/relationships/hyperlink" Target="https://github.com/fxsjy/jieba" TargetMode="External"/><Relationship Id="rId18" Type="http://schemas.openxmlformats.org/officeDocument/2006/relationships/hyperlink" Target="https://www.pearson.com" TargetMode="External"/><Relationship Id="rId19" Type="http://schemas.openxmlformats.org/officeDocument/2006/relationships/hyperlink" Target="https://openstax.org/details/books/principles-marketing" TargetMode="External"/><Relationship Id="rId20" Type="http://schemas.openxmlformats.org/officeDocument/2006/relationships/hyperlink" Target="https://doi.org/10.1016/0148-2963(91)90050-8" TargetMode="External"/><Relationship Id="rId21" Type="http://schemas.openxmlformats.org/officeDocument/2006/relationships/hyperlink" Target="https://doi.org/10.1177/1470593107083165" TargetMode="External"/><Relationship Id="rId22" Type="http://schemas.openxmlformats.org/officeDocument/2006/relationships/hyperlink" Target="https://doi.org/10.5539/ijbm.v7n24p52" TargetMode="External"/><Relationship Id="rId23" Type="http://schemas.openxmlformats.org/officeDocument/2006/relationships/hyperlink" Target="https://doi.org/10.1016/0024-6301(82)90120-0" TargetMode="External"/><Relationship Id="rId24" Type="http://schemas.openxmlformats.org/officeDocument/2006/relationships/hyperlink" Target="https://doi.org/10.1007/978-1-4615-4651-1" TargetMode="External"/><Relationship Id="rId25" Type="http://schemas.openxmlformats.org/officeDocument/2006/relationships/hyperlink" Target="https://www.wiley.com/en-us/Sampling+Techniques%2C+3rd+Edition-p-9780471162407" TargetMode="External"/><Relationship Id="rId26" Type="http://schemas.openxmlformats.org/officeDocument/2006/relationships/hyperlink" Target="https://www.itl.nist.gov/div898/handbook/eda/section3/eda35f.htm" TargetMode="External"/><Relationship Id="rId27" Type="http://schemas.openxmlformats.org/officeDocument/2006/relationships/hyperlink" Target="https://openstax.org/books/introductory-statistics/pages/11-introduction" TargetMode="External"/><Relationship Id="rId28" Type="http://schemas.openxmlformats.org/officeDocument/2006/relationships/hyperlink" Target="https://online.stat.psu.edu/stat504/" TargetMode="External"/><Relationship Id="rId29" Type="http://schemas.openxmlformats.org/officeDocument/2006/relationships/hyperlink" Target="https://openstax.org/books/introductory-statistics/pages/13-introduction" TargetMode="External"/><Relationship Id="rId30" Type="http://schemas.openxmlformats.org/officeDocument/2006/relationships/hyperlink" Target="https://www.itl.nist.gov/div898/handbook/ppc/section4/ppc44.htm" TargetMode="External"/><Relationship Id="rId31" Type="http://schemas.openxmlformats.org/officeDocument/2006/relationships/hyperlink" Target="https://doi.org/10.1007/BF02291575" TargetMode="External"/><Relationship Id="rId32" Type="http://schemas.openxmlformats.org/officeDocument/2006/relationships/hyperlink" Target="https://doi.org/10.1007/BF02291478" TargetMode="External"/><Relationship Id="rId33" Type="http://schemas.openxmlformats.org/officeDocument/2006/relationships/hyperlink" Target="https://projecteuclid.org/euclid.bsmsp/1200512992" TargetMode="External"/><Relationship Id="rId34" Type="http://schemas.openxmlformats.org/officeDocument/2006/relationships/hyperlink" Target="https://doi.org/10.1023/A:1009769707641" TargetMode="External"/><Relationship Id="rId35" Type="http://schemas.openxmlformats.org/officeDocument/2006/relationships/hyperlink" Target="https://openstax.org/books/introductory-statistics/pages/12-introduction" TargetMode="External"/><Relationship Id="rId36" Type="http://schemas.openxmlformats.org/officeDocument/2006/relationships/hyperlink" Target="https://www.itl.nist.gov/div898/handbook/pmd/section4/pmd44.htm" TargetMode="External"/><Relationship Id="rId37" Type="http://schemas.openxmlformats.org/officeDocument/2006/relationships/hyperlink" Target="https://scikit-learn.org/stable/modules/generated/sklearn.linear_model.LogisticRegression.html" TargetMode="External"/><Relationship Id="rId38" Type="http://schemas.openxmlformats.org/officeDocument/2006/relationships/hyperlink" Target="https://doi.org/10.1177/002224299205600304" TargetMode="External"/><Relationship Id="rId39" Type="http://schemas.openxmlformats.org/officeDocument/2006/relationships/hyperlink" Target="https://doi.org/10.1177/002224299405800104" TargetMode="External"/><Relationship Id="rId40" Type="http://schemas.openxmlformats.org/officeDocument/2006/relationships/hyperlink" Target="https://doi.org/10.1177/002224297704100112" TargetMode="External"/><Relationship Id="rId41" Type="http://schemas.openxmlformats.org/officeDocument/2006/relationships/hyperlink" Target="https://doi.org/10.1016/j.tourman.2014.10.022" TargetMode="External"/><Relationship Id="rId42" Type="http://schemas.openxmlformats.org/officeDocument/2006/relationships/hyperlink" Target="https://docs.python.org/3/library/urllib.request.html" TargetMode="External"/><Relationship Id="rId43" Type="http://schemas.openxmlformats.org/officeDocument/2006/relationships/hyperlink" Target="https://www.selenium.dev/documentation/" TargetMode="External"/><Relationship Id="rId44" Type="http://schemas.openxmlformats.org/officeDocument/2006/relationships/hyperlink" Target="https://aclanthology.org/W02-1011/" TargetMode="External"/><Relationship Id="rId45" Type="http://schemas.openxmlformats.org/officeDocument/2006/relationships/hyperlink" Target="https://github.com/isnowfy/snownlp" TargetMode="External"/><Relationship Id="rId46" Type="http://schemas.openxmlformats.org/officeDocument/2006/relationships/hyperlink" Target="https://doi.org/10.1016/0306-4573(88)90021-0" TargetMode="External"/><Relationship Id="rId47" Type="http://schemas.openxmlformats.org/officeDocument/2006/relationships/hyperlink" Target="https://scikit-learn.org/stable/modules/feature_extraction.html" TargetMode="External"/><Relationship Id="rId48" Type="http://schemas.openxmlformats.org/officeDocument/2006/relationships/hyperlink" Target="https://www.vldb.org/conf/1994/P487.PDF" TargetMode="External"/><Relationship Id="rId49" Type="http://schemas.openxmlformats.org/officeDocument/2006/relationships/hyperlink" Target="https://doi.org/10.18637/jss.v014.i15" TargetMode="External"/><Relationship Id="rId50" Type="http://schemas.openxmlformats.org/officeDocument/2006/relationships/hyperlink" Target="https://doi.org/10.1023/A:1010933404324" TargetMode="External"/><Relationship Id="rId51" Type="http://schemas.openxmlformats.org/officeDocument/2006/relationships/hyperlink" Target="https://doi.org/10.1016/j.patrec.2010.03.014" TargetMode="External"/><Relationship Id="rId52" Type="http://schemas.openxmlformats.org/officeDocument/2006/relationships/hyperlink" Target="https://online.stat.psu.edu/stat506/" TargetMode="External"/><Relationship Id="rId53" Type="http://schemas.openxmlformats.org/officeDocument/2006/relationships/hyperlink" Target="https://doi.org/10.2307/1403786" TargetMode="External"/><Relationship Id="rId54" Type="http://schemas.openxmlformats.org/officeDocument/2006/relationships/hyperlink" Target="https://doi.org/10.1007/BF02289233" TargetMode="External"/><Relationship Id="rId55" Type="http://schemas.openxmlformats.org/officeDocument/2006/relationships/hyperlink" Target="https://www.cengage.com" TargetMode="External"/><Relationship Id="rId56" Type="http://schemas.openxmlformats.org/officeDocument/2006/relationships/hyperlink" Target="https://doi.org/10.1016/0377-2217(90)90057-I" TargetMode="External"/><Relationship Id="rId57" Type="http://schemas.openxmlformats.org/officeDocument/2006/relationships/hyperlink" Target="https://doi.org/10.1016/S0019-9958(65)90241-X" TargetMode="External"/><Relationship Id="rId58" Type="http://schemas.openxmlformats.org/officeDocument/2006/relationships/hyperlink" Target="https://doi.org/10.1007/978-3-642-46768-4" TargetMode="External"/><Relationship Id="rId59" Type="http://schemas.openxmlformats.org/officeDocument/2006/relationships/hyperlink" Target="https://doi.org/10.1177/002224378101800104" TargetMode="External"/><Relationship Id="rId60" Type="http://schemas.openxmlformats.org/officeDocument/2006/relationships/hyperlink" Target="https://lavaan.ugent.be/" TargetMode="External"/><Relationship Id="rId61" Type="http://schemas.openxmlformats.org/officeDocument/2006/relationships/hyperlink" Target="https://www.jmlr.org/papers/v3/blei03a.html" TargetMode="External"/><Relationship Id="rId62" Type="http://schemas.openxmlformats.org/officeDocument/2006/relationships/hyperlink" Target="https://doi.org/10.18637/jss.v033.i01" TargetMode="External"/><Relationship Id="rId63" Type="http://schemas.openxmlformats.org/officeDocument/2006/relationships/hyperlink" Target="https://scikit-learn.org/stable/modules/linear_model.html#elastic-net" TargetMode="External"/><Relationship Id="rId64" Type="http://schemas.openxmlformats.org/officeDocument/2006/relationships/hyperlink" Target="https://papers.nips.cc/paper/6907-lightgbm-a-highly-efficient-gradient-boosting-decision-tree" TargetMode="External"/><Relationship Id="rId65" Type="http://schemas.openxmlformats.org/officeDocument/2006/relationships/hyperlink" Target="https://xgboost.readthedocs.io/en/stable/" TargetMode="External"/><Relationship Id="rId66" Type="http://schemas.openxmlformats.org/officeDocument/2006/relationships/hyperlink" Target="https://doi.org/10.1016/C2009-0-27609-4" TargetMode="External"/><Relationship Id="rId67" Type="http://schemas.openxmlformats.org/officeDocument/2006/relationships/hyperlink" Target="https://doi.org/10.1201/9780429347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