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CST-BR-TO"/>
        <w:keepNext/>
        <w:widowControl/>
        <w:spacing w:before="0" w:after="280" w:line="240" w:lineRule="auto"/>
        <w:jc w:val="left"/>
      </w:pPr>
      <w:r>
        <w:rPr>
          <w:b w:val="1"/>
          <w:sz w:val="28"/>
          <w:szCs w:val="28"/>
        </w:rPr>
        <w:t>Thesis Overview:</w:t>
      </w:r>
    </w:p>
    <w:p>
      <w:pPr>
        <w:pStyle w:val="JCST-Title"/>
        <w:keepNext/>
        <w:widowControl/>
        <w:spacing w:before="0" w:after="160" w:line="240" w:lineRule="auto"/>
        <w:jc w:val="center"/>
      </w:pPr>
      <w:r>
        <w:rPr>
          <w:b w:val="1"/>
          <w:sz w:val="28"/>
          <w:szCs w:val="28"/>
        </w:rPr>
        <w:t>OpthaEdge for Diabetic Retinopathy Research Screening and Model Governance</w:t>
      </w:r>
    </w:p>
    <w:p>
      <w:pPr>
        <w:pStyle w:val="JCST-Authors"/>
        <w:keepNext/>
        <w:widowControl/>
        <w:spacing w:before="0" w:after="0" w:line="240" w:lineRule="auto"/>
        <w:jc w:val="center"/>
      </w:pPr>
      <w:r>
        <w:rPr>
          <w:b w:val="0"/>
          <w:sz w:val="24"/>
          <w:szCs w:val="24"/>
        </w:rPr>
        <w:t>Shamail Pawar, Faizan Mustafa Shaikh and Ayaan Shaikh</w:t>
      </w:r>
    </w:p>
    <w:p>
      <w:pPr>
        <w:pStyle w:val="JCST-Authors"/>
        <w:keepNext/>
        <w:widowControl/>
        <w:spacing w:before="0" w:after="0" w:line="240" w:lineRule="auto"/>
        <w:jc w:val="center"/>
      </w:pPr>
      <w:r>
        <w:rPr>
          <w:b w:val="0"/>
          <w:sz w:val="24"/>
          <w:szCs w:val="24"/>
        </w:rPr>
        <w:t>Vidyalankar Institute of Technology, Mumbai, India</w:t>
      </w:r>
    </w:p>
    <w:p>
      <w:pPr>
        <w:pStyle w:val="JCST-Authors"/>
        <w:keepNext/>
        <w:widowControl/>
        <w:spacing w:before="0" w:after="0" w:line="240" w:lineRule="auto"/>
        <w:jc w:val="center"/>
      </w:pPr>
      <w:r>
        <w:rPr>
          <w:b w:val="0"/>
          <w:sz w:val="24"/>
          <w:szCs w:val="24"/>
        </w:rPr>
        <w:t>Department of Electronics &amp; Computer Science Engineering</w:t>
      </w:r>
    </w:p>
    <w:p>
      <w:pPr>
        <w:pStyle w:val="JCST-Authors"/>
        <w:keepNext/>
        <w:widowControl/>
        <w:spacing w:before="0" w:after="0" w:line="240" w:lineRule="auto"/>
        <w:jc w:val="center"/>
      </w:pPr>
      <w:r>
        <w:rPr>
          <w:b w:val="0"/>
          <w:sz w:val="24"/>
          <w:szCs w:val="24"/>
        </w:rPr>
        <w:t>Project guide: Nayana Mahajan</w:t>
      </w:r>
    </w:p>
    <w:p>
      <w:pPr>
        <w:pStyle w:val="JCST-Authors"/>
        <w:keepNext/>
        <w:widowControl/>
        <w:spacing w:before="0" w:after="0" w:line="240" w:lineRule="auto"/>
        <w:jc w:val="center"/>
      </w:pPr>
      <w:r>
        <w:rPr>
          <w:b w:val="0"/>
          <w:sz w:val="24"/>
          <w:szCs w:val="24"/>
        </w:rPr>
        <w:t>shamail.pawar@vit.edu.in; faizanmustaffa.shaikh@vit.edu.in</w:t>
      </w:r>
    </w:p>
    <w:p>
      <w:pPr>
        <w:pStyle w:val="JCST-Authors"/>
        <w:keepNext/>
        <w:widowControl/>
        <w:spacing w:before="0" w:after="0" w:line="240" w:lineRule="auto"/>
        <w:jc w:val="center"/>
      </w:pPr>
      <w:r>
        <w:rPr>
          <w:b w:val="0"/>
          <w:sz w:val="24"/>
          <w:szCs w:val="24"/>
        </w:rPr>
        <w:t>ayaan.shaikh24@vit.edu.in</w:t>
      </w:r>
    </w:p>
    <w:p>
      <w:pPr>
        <w:pStyle w:val="JCST-Abstract"/>
        <w:widowControl/>
        <w:spacing w:before="0" w:after="80" w:line="240" w:lineRule="auto"/>
        <w:jc w:val="both"/>
      </w:pPr>
      <w:r>
        <w:rPr>
          <w:b w:val="0"/>
          <w:sz w:val="20"/>
          <w:szCs w:val="20"/>
        </w:rPr>
        <w:t/>
      </w:r>
    </w:p>
    <w:p>
      <w:pPr>
        <w:pStyle w:val="JCST-Abstract"/>
        <w:widowControl/>
        <w:spacing w:before="0" w:after="120" w:line="240" w:lineRule="auto"/>
        <w:jc w:val="both"/>
      </w:pPr>
      <w:r>
        <w:rPr>
          <w:b w:val="0"/>
          <w:sz w:val="20"/>
          <w:szCs w:val="20"/>
        </w:rPr>
        <w:t>OpthaEdge is a research-stage web platform that integrates two diabetic retinopathy (DR) inference paths with model metadata and a separate patient-record foundation (Fig. 1). It accepts fundus-image uploads and exposes the assumptions and limitations of exported models. The contribution is a reproducible software integration, not a newly trained classifier or a clinical diagnostic-accuracy study.</w:t>
      </w:r>
    </w:p>
    <w:p>
      <w:pPr>
        <w:pStyle w:val="JCST-Abstract"/>
        <w:widowControl/>
        <w:spacing w:before="0" w:after="120" w:line="240" w:lineRule="auto"/>
        <w:jc w:val="both"/>
      </w:pPr>
      <w:r>
        <w:rPr>
          <w:b w:val="0"/>
          <w:sz w:val="20"/>
          <w:szCs w:val="20"/>
        </w:rPr>
        <w:t>DR can threaten vision, and early disease may be asymptomatic [1]. Published systems have been evaluated against expert reference standards and independent image collections [2], [3], including prospective assessment in primary care [4]. Those results cannot be transferred to OpthaEdge: the supplied project has no training provenance, verified class order, clinical test set or calibration evidence.</w:t>
      </w:r>
    </w:p>
    <w:p>
      <w:pPr>
        <w:pStyle w:val="JCST-Abstract"/>
        <w:keepNext/>
        <w:widowControl/>
        <w:spacing w:before="0" w:after="0" w:line="240" w:lineRule="auto"/>
        <w:jc w:val="center"/>
      </w:pPr>
      <w:r>
        <w:rPr>
          <w:b w:val="0"/>
          <w:sz w:val="20"/>
          <w:szCs w:val="20"/>
        </w:rPr>
        <w:t/>
        <w:drawing>
          <wp:inline xmlns:a="http://schemas.openxmlformats.org/drawingml/2006/main" xmlns:pic="http://schemas.openxmlformats.org/drawingml/2006/picture">
            <wp:extent cx="3657600" cy="3657600"/>
            <wp:docPr id="11" name="Fig" descr="Fig. 1. Implemented application architecture and explicitly planned services. Research inference does not pass through patient authorization or persist to patient records."/>
            <wp:cNvGraphicFramePr>
              <a:graphicFrameLocks noChangeAspect="1"/>
            </wp:cNvGraphicFramePr>
            <a:graphic>
              <a:graphicData uri="http://schemas.openxmlformats.org/drawingml/2006/picture">
                <pic:pic>
                  <pic:nvPicPr>
                    <pic:cNvPr id="0" name="architecture.png"/>
                    <pic:cNvPicPr/>
                  </pic:nvPicPr>
                  <pic:blipFill>
                    <a:blip r:embed="rId111"/>
                    <a:stretch>
                      <a:fillRect/>
                    </a:stretch>
                  </pic:blipFill>
                  <pic:spPr>
                    <a:xfrm>
                      <a:off x="0" y="0"/>
                      <a:ext cx="3657600" cy="3657600"/>
                    </a:xfrm>
                    <a:prstGeom prst="rect"/>
                  </pic:spPr>
                </pic:pic>
              </a:graphicData>
            </a:graphic>
          </wp:inline>
        </w:drawing>
      </w:r>
    </w:p>
    <w:p>
      <w:pPr>
        <w:pStyle w:val="FigureCaption"/>
        <w:widowControl/>
        <w:spacing w:before="0" w:after="120" w:line="240" w:lineRule="auto"/>
        <w:jc w:val="both"/>
      </w:pPr>
      <w:r>
        <w:rPr>
          <w:b w:val="0"/>
          <w:sz w:val="16"/>
          <w:szCs w:val="16"/>
        </w:rPr>
        <w:t>Fig. 1. Implemented architecture and planned services. Research inference and patient records follow separate paths; the prediction route neither enforces patient authorization nor persists screening results.</w:t>
      </w:r>
    </w:p>
    <w:p>
      <w:pPr>
        <w:pStyle w:val="JCST-Abstract"/>
        <w:keepNext/>
        <w:widowControl/>
        <w:pageBreakBefore/>
        <w:spacing w:before="120" w:after="80" w:line="240" w:lineRule="auto"/>
        <w:jc w:val="both"/>
      </w:pPr>
      <w:r>
        <w:rPr>
          <w:b w:val="1"/>
          <w:sz w:val="20"/>
          <w:szCs w:val="20"/>
        </w:rPr>
        <w:t>Implementation and model contracts</w:t>
      </w:r>
    </w:p>
    <w:p>
      <w:pPr>
        <w:pStyle w:val="JCST-Abstract"/>
        <w:widowControl/>
        <w:spacing w:before="0" w:after="120" w:line="240" w:lineRule="auto"/>
        <w:jc w:val="both"/>
      </w:pPr>
      <w:r>
        <w:rPr>
          <w:b w:val="0"/>
          <w:sz w:val="20"/>
          <w:szCs w:val="20"/>
        </w:rPr>
        <w:t>A Next.js 16.2.1 application with React 19.2.4 and TypeScript receives JPEG or PNG uploads through POST /api/predict. File-signature, MIME, size and dimension checks precede Sharp preprocessing and local ONNX Runtime CPU execution [9]. Requests require an explicit binary or severity mode; the file limit is 10 MiB and the decoded-image limit is 50 million pixels. These checks do not establish retinal content or clinical gradability. Upload-size validation occurs after multipart parsing.</w:t>
      </w:r>
    </w:p>
    <w:p>
      <w:pPr>
        <w:pStyle w:val="JCST-Abstract"/>
        <w:widowControl/>
        <w:spacing w:before="0" w:after="120" w:line="240" w:lineRule="auto"/>
        <w:jc w:val="both"/>
      </w:pPr>
      <w:r>
        <w:rPr>
          <w:b w:val="0"/>
          <w:sz w:val="20"/>
          <w:szCs w:val="20"/>
        </w:rPr>
        <w:t>The binary artifact, retinal_binary_model.onnx, receives a float32 tensor of shape [1, 3, 224, 224] and returns two logits. Its preprocessing uses cover resizing followed by channel normalization with means (0.485, 0.456, 0.406) and standard deviations (0.229, 0.224, 0.225). The severity artifact, inceptionv3.onnx, receives [1, 3, 299, 299], scales pixels as v / 127.5 - 1 and returns five logits. The Inception architecture reference [5] does not establish how this exported artifact was trained. Both paths assume three color channels; explicit conversion of every accepted color space to RGB is absent.</w:t>
      </w:r>
    </w:p>
    <w:p>
      <w:pPr>
        <w:pStyle w:val="JCST-Abstract"/>
        <w:widowControl/>
        <w:spacing w:before="0" w:after="120" w:line="240" w:lineRule="auto"/>
        <w:jc w:val="both"/>
      </w:pPr>
      <w:r>
        <w:rPr>
          <w:b w:val="0"/>
          <w:sz w:val="20"/>
          <w:szCs w:val="20"/>
        </w:rPr>
        <w:t>CPU sessions initialize lazily and are cached. Decoders require float32 output with exactly two or five finite values and apply stable softmax. Binary decoding selects DR when its score is at least 0.5. Severity decoding returns the maximum-score label and a weighted index across the assumed five-class order. Neither the threshold nor class order is verified from training records, and normalized scores are not calibrated clinical probabilities [6]. Cover resizing may crop image edges; no lesion-aware crop, segmentation or training-time augmentation is implemented.</w:t>
      </w:r>
    </w:p>
    <w:p>
      <w:pPr>
        <w:pStyle w:val="JCST-Abstract"/>
        <w:widowControl/>
        <w:spacing w:before="0" w:after="120" w:line="240" w:lineRule="auto"/>
        <w:jc w:val="both"/>
      </w:pPr>
      <w:r>
        <w:rPr>
          <w:b w:val="0"/>
          <w:sz w:val="20"/>
          <w:szCs w:val="20"/>
        </w:rPr>
        <w:t>A versioned registry records artifact hashes, input contracts, preprocessing versions and unresolved validation requirements. Both models are marked as blocked pending validation, but this status does not prevent calls to the unauthenticated prediction route. Registry hashes matched the reviewed files; the runtime does not enforce those hashes on every load. Patient services instead use development sessions, role checks and organization-scoped queries. Prisma declares examination, eye-image and prediction entities, but current screening outputs remain in browser state.</w:t>
      </w:r>
    </w:p>
    <w:p>
      <w:pPr>
        <w:pStyle w:val="JCST-Abstract"/>
        <w:keepNext/>
        <w:widowControl/>
        <w:spacing w:before="120" w:after="80" w:line="240" w:lineRule="auto"/>
        <w:jc w:val="both"/>
      </w:pPr>
      <w:r>
        <w:rPr>
          <w:b w:val="1"/>
          <w:sz w:val="20"/>
          <w:szCs w:val="20"/>
        </w:rPr>
        <w:t>Technical verification</w:t>
      </w:r>
    </w:p>
    <w:p>
      <w:pPr>
        <w:pStyle w:val="JCST-Abstract"/>
        <w:widowControl/>
        <w:spacing w:before="0" w:after="120" w:line="240" w:lineRule="auto"/>
        <w:jc w:val="both"/>
      </w:pPr>
      <w:r>
        <w:rPr>
          <w:b w:val="0"/>
          <w:sz w:val="20"/>
          <w:szCs w:val="20"/>
        </w:rPr>
        <w:t>Verification on 29 September 2026 used source commit 0099145dc145. All 12 existing unit tests and nine local HTTP checks passed; type checking and linting also passed. The successful HTTP checks used one generated 512 x 512 constant-color RGB image, which contained no retinal structures or patient data. Table 1 summarizes software behavior, not diagnostic performance.</w:t>
      </w:r>
    </w:p>
    <w:p>
      <w:pPr>
        <w:pStyle w:val="TableTitle"/>
        <w:keepNext/>
        <w:widowControl/>
        <w:spacing w:before="0" w:after="80" w:line="240" w:lineRule="auto"/>
        <w:jc w:val="center"/>
      </w:pPr>
      <w:r>
        <w:rPr>
          <w:b w:val="0"/>
          <w:sz w:val="16"/>
          <w:szCs w:val="16"/>
        </w:rPr>
        <w:t>Table 1. Observed software verification</w:t>
      </w:r>
    </w:p>
    <w:tbl>
      <w:tblPr>
        <w:tblW w:w="9071"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80" w:type="dxa"/>
          <w:right w:w="80" w:type="dxa"/>
        </w:tblCellMar>
      </w:tblPr>
      <w:tblGrid>
        <w:gridCol w:w="4300"/>
        <w:gridCol w:w="950"/>
        <w:gridCol w:w="3821"/>
      </w:tblGrid>
      <w:tr>
        <w:trPr>
          <w:cantSplit/>
          <w:tblHeader/>
        </w:trPr>
        <w:tc>
          <w:tcPr>
            <w:tcW w:w="4300" w:type="dxa"/>
            <w:vAlign w:val="center"/>
          </w:tcPr>
          <w:p>
            <w:pPr>
              <w:pStyle w:val="JCST-Abstract"/>
              <w:widowControl/>
              <w:spacing w:before="0" w:after="0" w:line="240" w:lineRule="auto"/>
              <w:jc w:val="left"/>
            </w:pPr>
            <w:r>
              <w:rPr>
                <w:b w:val="1"/>
                <w:sz w:val="18"/>
                <w:szCs w:val="18"/>
              </w:rPr>
              <w:t>Check group</w:t>
            </w:r>
          </w:p>
        </w:tc>
        <w:tc>
          <w:tcPr>
            <w:tcW w:w="950" w:type="dxa"/>
            <w:vAlign w:val="center"/>
          </w:tcPr>
          <w:p>
            <w:pPr>
              <w:pStyle w:val="JCST-Abstract"/>
              <w:widowControl/>
              <w:spacing w:before="0" w:after="0" w:line="240" w:lineRule="auto"/>
              <w:jc w:val="left"/>
            </w:pPr>
            <w:r>
              <w:rPr>
                <w:b w:val="1"/>
                <w:sz w:val="18"/>
                <w:szCs w:val="18"/>
              </w:rPr>
              <w:t>Cases</w:t>
            </w:r>
          </w:p>
        </w:tc>
        <w:tc>
          <w:tcPr>
            <w:tcW w:w="3821" w:type="dxa"/>
            <w:vAlign w:val="center"/>
          </w:tcPr>
          <w:p>
            <w:pPr>
              <w:pStyle w:val="JCST-Abstract"/>
              <w:widowControl/>
              <w:spacing w:before="0" w:after="0" w:line="240" w:lineRule="auto"/>
              <w:jc w:val="left"/>
            </w:pPr>
            <w:r>
              <w:rPr>
                <w:b w:val="1"/>
                <w:sz w:val="18"/>
                <w:szCs w:val="18"/>
              </w:rPr>
              <w:t>Observed result</w:t>
            </w:r>
          </w:p>
        </w:tc>
      </w:tr>
      <w:tr>
        <w:trPr>
          <w:cantSplit/>
        </w:trPr>
        <w:tc>
          <w:tcPr>
            <w:tcW w:w="4300" w:type="dxa"/>
            <w:vAlign w:val="center"/>
          </w:tcPr>
          <w:p>
            <w:pPr>
              <w:pStyle w:val="JCST-Abstract"/>
              <w:widowControl/>
              <w:spacing w:before="0" w:after="0" w:line="240" w:lineRule="auto"/>
              <w:jc w:val="left"/>
            </w:pPr>
            <w:r>
              <w:rPr>
                <w:b w:val="0"/>
                <w:sz w:val="18"/>
                <w:szCs w:val="18"/>
              </w:rPr>
              <w:t>Authorization, file, decoder and patient-input unit tests</w:t>
            </w:r>
          </w:p>
        </w:tc>
        <w:tc>
          <w:tcPr>
            <w:tcW w:w="950" w:type="dxa"/>
            <w:vAlign w:val="center"/>
          </w:tcPr>
          <w:p>
            <w:pPr>
              <w:pStyle w:val="JCST-Abstract"/>
              <w:widowControl/>
              <w:spacing w:before="0" w:after="0" w:line="240" w:lineRule="auto"/>
              <w:jc w:val="left"/>
            </w:pPr>
            <w:r>
              <w:rPr>
                <w:b w:val="0"/>
                <w:sz w:val="18"/>
                <w:szCs w:val="18"/>
              </w:rPr>
              <w:t>12</w:t>
            </w:r>
          </w:p>
        </w:tc>
        <w:tc>
          <w:tcPr>
            <w:tcW w:w="3821" w:type="dxa"/>
            <w:vAlign w:val="center"/>
          </w:tcPr>
          <w:p>
            <w:pPr>
              <w:pStyle w:val="JCST-Abstract"/>
              <w:widowControl/>
              <w:spacing w:before="0" w:after="0" w:line="240" w:lineRule="auto"/>
              <w:jc w:val="left"/>
            </w:pPr>
            <w:r>
              <w:rPr>
                <w:b w:val="0"/>
                <w:sz w:val="18"/>
                <w:szCs w:val="18"/>
              </w:rPr>
              <w:t>All passed</w:t>
            </w:r>
          </w:p>
        </w:tc>
      </w:tr>
      <w:tr>
        <w:trPr>
          <w:cantSplit/>
        </w:trPr>
        <w:tc>
          <w:tcPr>
            <w:tcW w:w="4300" w:type="dxa"/>
            <w:vAlign w:val="center"/>
          </w:tcPr>
          <w:p>
            <w:pPr>
              <w:pStyle w:val="JCST-Abstract"/>
              <w:widowControl/>
              <w:spacing w:before="0" w:after="0" w:line="240" w:lineRule="auto"/>
              <w:jc w:val="left"/>
            </w:pPr>
            <w:r>
              <w:rPr>
                <w:b w:val="0"/>
                <w:sz w:val="18"/>
                <w:szCs w:val="18"/>
              </w:rPr>
              <w:t>HTTP rejection cases</w:t>
            </w:r>
          </w:p>
        </w:tc>
        <w:tc>
          <w:tcPr>
            <w:tcW w:w="950" w:type="dxa"/>
            <w:vAlign w:val="center"/>
          </w:tcPr>
          <w:p>
            <w:pPr>
              <w:pStyle w:val="JCST-Abstract"/>
              <w:widowControl/>
              <w:spacing w:before="0" w:after="0" w:line="240" w:lineRule="auto"/>
              <w:jc w:val="left"/>
            </w:pPr>
            <w:r>
              <w:rPr>
                <w:b w:val="0"/>
                <w:sz w:val="18"/>
                <w:szCs w:val="18"/>
              </w:rPr>
              <w:t>7</w:t>
            </w:r>
          </w:p>
        </w:tc>
        <w:tc>
          <w:tcPr>
            <w:tcW w:w="3821" w:type="dxa"/>
            <w:vAlign w:val="center"/>
          </w:tcPr>
          <w:p>
            <w:pPr>
              <w:pStyle w:val="JCST-Abstract"/>
              <w:widowControl/>
              <w:spacing w:before="0" w:after="0" w:line="240" w:lineRule="auto"/>
              <w:jc w:val="left"/>
            </w:pPr>
            <w:r>
              <w:rPr>
                <w:b w:val="0"/>
                <w:sz w:val="18"/>
                <w:szCs w:val="18"/>
              </w:rPr>
              <w:t>Expected status and error code</w:t>
            </w:r>
          </w:p>
        </w:tc>
      </w:tr>
      <w:tr>
        <w:trPr>
          <w:cantSplit/>
        </w:trPr>
        <w:tc>
          <w:tcPr>
            <w:tcW w:w="4300" w:type="dxa"/>
            <w:vAlign w:val="center"/>
          </w:tcPr>
          <w:p>
            <w:pPr>
              <w:pStyle w:val="JCST-Abstract"/>
              <w:widowControl/>
              <w:spacing w:before="0" w:after="0" w:line="240" w:lineRule="auto"/>
              <w:jc w:val="left"/>
            </w:pPr>
            <w:r>
              <w:rPr>
                <w:b w:val="0"/>
                <w:sz w:val="18"/>
                <w:szCs w:val="18"/>
              </w:rPr>
              <w:t>Synthetic RGB inference, one request per model</w:t>
            </w:r>
          </w:p>
        </w:tc>
        <w:tc>
          <w:tcPr>
            <w:tcW w:w="950" w:type="dxa"/>
            <w:vAlign w:val="center"/>
          </w:tcPr>
          <w:p>
            <w:pPr>
              <w:pStyle w:val="JCST-Abstract"/>
              <w:widowControl/>
              <w:spacing w:before="0" w:after="0" w:line="240" w:lineRule="auto"/>
              <w:jc w:val="left"/>
            </w:pPr>
            <w:r>
              <w:rPr>
                <w:b w:val="0"/>
                <w:sz w:val="18"/>
                <w:szCs w:val="18"/>
              </w:rPr>
              <w:t>2</w:t>
            </w:r>
          </w:p>
        </w:tc>
        <w:tc>
          <w:tcPr>
            <w:tcW w:w="3821" w:type="dxa"/>
            <w:vAlign w:val="center"/>
          </w:tcPr>
          <w:p>
            <w:pPr>
              <w:pStyle w:val="JCST-Abstract"/>
              <w:widowControl/>
              <w:spacing w:before="0" w:after="0" w:line="240" w:lineRule="auto"/>
              <w:jc w:val="left"/>
            </w:pPr>
            <w:r>
              <w:rPr>
                <w:b w:val="0"/>
                <w:sz w:val="18"/>
                <w:szCs w:val="18"/>
              </w:rPr>
              <w:t>Both returned HTTP 200</w:t>
            </w:r>
          </w:p>
        </w:tc>
      </w:tr>
      <w:tr>
        <w:trPr>
          <w:cantSplit/>
        </w:trPr>
        <w:tc>
          <w:tcPr>
            <w:tcW w:w="4300" w:type="dxa"/>
            <w:vAlign w:val="center"/>
          </w:tcPr>
          <w:p>
            <w:pPr>
              <w:pStyle w:val="JCST-Abstract"/>
              <w:widowControl/>
              <w:spacing w:before="0" w:after="0" w:line="240" w:lineRule="auto"/>
              <w:jc w:val="left"/>
            </w:pPr>
            <w:r>
              <w:rPr>
                <w:b w:val="0"/>
                <w:sz w:val="18"/>
                <w:szCs w:val="18"/>
              </w:rPr>
              <w:t>Type checking and lint</w:t>
            </w:r>
          </w:p>
        </w:tc>
        <w:tc>
          <w:tcPr>
            <w:tcW w:w="950" w:type="dxa"/>
            <w:vAlign w:val="center"/>
          </w:tcPr>
          <w:p>
            <w:pPr>
              <w:pStyle w:val="JCST-Abstract"/>
              <w:widowControl/>
              <w:spacing w:before="0" w:after="0" w:line="240" w:lineRule="auto"/>
              <w:jc w:val="left"/>
            </w:pPr>
            <w:r>
              <w:rPr>
                <w:b w:val="0"/>
                <w:sz w:val="18"/>
                <w:szCs w:val="18"/>
              </w:rPr>
              <w:t>2</w:t>
            </w:r>
          </w:p>
        </w:tc>
        <w:tc>
          <w:tcPr>
            <w:tcW w:w="3821" w:type="dxa"/>
            <w:vAlign w:val="center"/>
          </w:tcPr>
          <w:p>
            <w:pPr>
              <w:pStyle w:val="JCST-Abstract"/>
              <w:widowControl/>
              <w:spacing w:before="0" w:after="0" w:line="240" w:lineRule="auto"/>
              <w:jc w:val="left"/>
            </w:pPr>
            <w:r>
              <w:rPr>
                <w:b w:val="0"/>
                <w:sz w:val="18"/>
                <w:szCs w:val="18"/>
              </w:rPr>
              <w:t>Both commands passed</w:t>
            </w:r>
          </w:p>
        </w:tc>
      </w:tr>
    </w:tbl>
    <w:p>
      <w:pPr>
        <w:pStyle w:val="JCST-Abstract"/>
        <w:widowControl/>
        <w:spacing w:before="120" w:after="120" w:line="240" w:lineRule="auto"/>
        <w:jc w:val="both"/>
      </w:pPr>
      <w:r>
        <w:rPr>
          <w:b w:val="0"/>
          <w:sz w:val="20"/>
          <w:szCs w:val="20"/>
        </w:rPr>
        <w:t>The seven rejection cases covered missing image, unsupported mode, empty file, MIME mismatch, corrupt PNG, non-image content and a file above the size limit. The tests do not establish complete authentication, tenant isolation, audit retention, concurrency behavior, throughput or robustness to unusual color spaces and hostile workloads. Successful inference on a non-retinal image highlights the missing retinal-content and gradability gate.</w:t>
      </w:r>
    </w:p>
    <w:p>
      <w:pPr>
        <w:pStyle w:val="JCST-Abstract"/>
        <w:keepNext/>
        <w:widowControl/>
        <w:pageBreakBefore/>
        <w:spacing w:before="120" w:after="80" w:line="240" w:lineRule="auto"/>
        <w:jc w:val="both"/>
      </w:pPr>
      <w:r>
        <w:rPr>
          <w:b w:val="1"/>
          <w:sz w:val="20"/>
          <w:szCs w:val="20"/>
        </w:rPr>
        <w:t>Project interface and research boundaries</w:t>
      </w:r>
    </w:p>
    <w:p>
      <w:pPr>
        <w:pStyle w:val="JCST-Abstract"/>
        <w:keepNext/>
        <w:widowControl/>
        <w:spacing w:before="0" w:after="0" w:line="240" w:lineRule="auto"/>
        <w:jc w:val="center"/>
      </w:pPr>
      <w:r>
        <w:rPr>
          <w:b w:val="0"/>
          <w:sz w:val="20"/>
          <w:szCs w:val="20"/>
        </w:rPr>
        <w:t/>
        <w:drawing>
          <wp:inline xmlns:a="http://schemas.openxmlformats.org/drawingml/2006/main" xmlns:pic="http://schemas.openxmlformats.org/drawingml/2006/picture">
            <wp:extent cx="5669280" cy="2545772"/>
            <wp:docPr id="24" name="Fig" descr="Fig. 4. Actual OpthaEdge screening selector. Binary and five-level severity modes are available for research; the additional ocular-disease module remains unavailable. Captured from the local application without patient data."/>
            <wp:cNvGraphicFramePr>
              <a:graphicFrameLocks noChangeAspect="1"/>
            </wp:cNvGraphicFramePr>
            <a:graphic>
              <a:graphicData uri="http://schemas.openxmlformats.org/drawingml/2006/picture">
                <pic:pic>
                  <pic:nvPicPr>
                    <pic:cNvPr id="0" name="screening.png"/>
                    <pic:cNvPicPr/>
                  </pic:nvPicPr>
                  <pic:blipFill>
                    <a:blip r:embed="rId124"/>
                    <a:stretch>
                      <a:fillRect/>
                    </a:stretch>
                  </pic:blipFill>
                  <pic:spPr>
                    <a:xfrm>
                      <a:off x="0" y="0"/>
                      <a:ext cx="5669280" cy="2545772"/>
                    </a:xfrm>
                    <a:prstGeom prst="rect"/>
                  </pic:spPr>
                </pic:pic>
              </a:graphicData>
            </a:graphic>
          </wp:inline>
        </w:drawing>
      </w:r>
    </w:p>
    <w:p>
      <w:pPr>
        <w:pStyle w:val="FigureCaption"/>
        <w:widowControl/>
        <w:spacing w:before="0" w:after="120" w:line="240" w:lineRule="auto"/>
        <w:jc w:val="both"/>
      </w:pPr>
      <w:r>
        <w:rPr>
          <w:b w:val="0"/>
          <w:sz w:val="16"/>
          <w:szCs w:val="16"/>
        </w:rPr>
        <w:t>Fig. 2. Actual OpthaEdge screening selector captured locally without patient data. Binary and five-level severity tasks are available for research; the additional ocular-disease module is unavailable.</w:t>
      </w:r>
    </w:p>
    <w:p>
      <w:pPr>
        <w:pStyle w:val="JCST-Abstract"/>
        <w:widowControl/>
        <w:spacing w:before="0" w:after="120" w:line="240" w:lineRule="auto"/>
        <w:jc w:val="both"/>
      </w:pPr>
      <w:r>
        <w:rPr>
          <w:b w:val="0"/>
          <w:sz w:val="20"/>
          <w:szCs w:val="20"/>
        </w:rPr>
        <w:t>The interface supports task selection (Fig. 2), upload, result inspection and structured errors. Changing tasks clears the selected file and result. A model-information page exposes validation blockers. Clinical deployment still requires production identity, rate control, server-enforced model approval, quality assessment, private image storage and persistent screening audit trails. There is no validated lesion localization, macular-edema detector or broader ocular-disease model. The product name does not establish performance on an edge device.</w:t>
      </w:r>
    </w:p>
    <w:p>
      <w:pPr>
        <w:pStyle w:val="JCST-Abstract"/>
        <w:widowControl/>
        <w:spacing w:before="0" w:after="120" w:line="240" w:lineRule="auto"/>
        <w:jc w:val="both"/>
      </w:pPr>
      <w:r>
        <w:rPr>
          <w:b w:val="0"/>
          <w:sz w:val="20"/>
          <w:szCs w:val="20"/>
        </w:rPr>
        <w:t>A future study must first verify artifact provenance, preprocessing and class order, then define the intended population, reference grading, ungradable-image handling and patient-level data partitions. Prespecified evaluation should include sensitivity, specificity, predictive values and AUROC for the binary task; class-wise recall, macro-F1 and quadratic weighted kappa for severity; calibration, confidence intervals, external-site performance and subgroup analysis. CLAIM and TRIPOD+AI provide relevant reporting guidance [7], [8]. No diagnostic-performance estimate can be derived from the present technical checks.</w:t>
      </w:r>
    </w:p>
    <w:p>
      <w:pPr>
        <w:pStyle w:val="JCST-Abstract"/>
        <w:widowControl/>
        <w:spacing w:before="0" w:after="120" w:line="240" w:lineRule="auto"/>
        <w:jc w:val="both"/>
      </w:pPr>
      <w:r>
        <w:rPr>
          <w:b w:val="0"/>
          <w:sz w:val="20"/>
          <w:szCs w:val="20"/>
        </w:rPr>
        <w:t>OpthaEdge provides an inspectable research integration with explicit model contracts and reproducible checks. Its next milestones are a provenance-complete, independently evaluated model package and a secure, persistent workflow. The reported work used software fixtures only, with no participants or identifiable patient records; any patient-based study requires separate ethics and consent arrangements. The authors acknowledge project guide Nayana Mahajan.</w:t>
      </w:r>
    </w:p>
    <w:p>
      <w:pPr>
        <w:pStyle w:val="JCST-Abstract"/>
        <w:keepNext/>
        <w:widowControl/>
        <w:spacing w:before="120" w:after="80" w:line="240" w:lineRule="auto"/>
        <w:jc w:val="both"/>
      </w:pPr>
      <w:r>
        <w:rPr>
          <w:b w:val="1"/>
          <w:sz w:val="20"/>
          <w:szCs w:val="20"/>
        </w:rPr>
        <w:t>References</w:t>
      </w:r>
    </w:p>
    <w:p>
      <w:pPr>
        <w:pStyle w:val="References"/>
        <w:widowControl/>
        <w:spacing w:before="0" w:after="40" w:line="240" w:lineRule="auto"/>
        <w:jc w:val="both"/>
        <w:numPr>
          <w:numId w:val="0"/>
        </w:numPr>
        <w:ind w:left="240" w:hanging="240"/>
      </w:pPr>
      <w:r>
        <w:rPr>
          <w:b w:val="0"/>
          <w:sz w:val="16"/>
          <w:szCs w:val="16"/>
        </w:rPr>
        <w:t>[1] National Eye Institute, "Diabetic Retinopathy." Accessed September 29, 2026. https://www.nei.nih.gov/eye-health-information/eye-conditions-and-diseases/diabetic-retinopathy.</w:t>
      </w:r>
    </w:p>
    <w:p>
      <w:pPr>
        <w:pStyle w:val="References"/>
        <w:widowControl/>
        <w:spacing w:before="0" w:after="40" w:line="240" w:lineRule="auto"/>
        <w:jc w:val="both"/>
        <w:numPr>
          <w:numId w:val="0"/>
        </w:numPr>
        <w:ind w:left="240" w:hanging="240"/>
      </w:pPr>
      <w:r>
        <w:rPr>
          <w:b w:val="0"/>
          <w:sz w:val="16"/>
          <w:szCs w:val="16"/>
        </w:rPr>
        <w:t>[2] V. Gulshan et al., "Development and validation of a deep learning algorithm for detection of diabetic retinopathy in retinal fundus photographs," JAMA, vol. 316, no. 22, pp. 2402-2410, 2016. doi: 10.1001/jama.2016.17216.</w:t>
      </w:r>
    </w:p>
    <w:p>
      <w:pPr>
        <w:pStyle w:val="References"/>
        <w:widowControl/>
        <w:spacing w:before="0" w:after="40" w:line="240" w:lineRule="auto"/>
        <w:jc w:val="both"/>
        <w:numPr>
          <w:numId w:val="0"/>
        </w:numPr>
        <w:ind w:left="240" w:hanging="240"/>
      </w:pPr>
      <w:r>
        <w:rPr>
          <w:b w:val="0"/>
          <w:sz w:val="16"/>
          <w:szCs w:val="16"/>
        </w:rPr>
        <w:t>[3] D. S. W. Ting et al., "Development and validation of a deep learning system for diabetic retinopathy and related eye diseases using retinal images from multiethnic populations with diabetes," JAMA, vol. 318, no. 22, pp. 2211-2223, 2017. doi: 10.1001/jama.2017.18152.</w:t>
      </w:r>
    </w:p>
    <w:p>
      <w:pPr>
        <w:pStyle w:val="References"/>
        <w:widowControl/>
        <w:spacing w:before="0" w:after="40" w:line="240" w:lineRule="auto"/>
        <w:jc w:val="both"/>
        <w:numPr>
          <w:numId w:val="0"/>
        </w:numPr>
        <w:ind w:left="240" w:hanging="240"/>
      </w:pPr>
      <w:r>
        <w:rPr>
          <w:b w:val="0"/>
          <w:sz w:val="16"/>
          <w:szCs w:val="16"/>
        </w:rPr>
        <w:t>[4] M. D. Abramoff, P. T. Lavin, M. Birch, N. Shah and J. C. Folk, "Pivotal trial of an autonomous AI-based diagnostic system for detection of diabetic retinopathy in primary care offices," npj Digital Medicine, vol. 1, art. 39, 2018. doi: 10.1038/s41746-018-0040-6.</w:t>
      </w:r>
    </w:p>
    <w:p>
      <w:pPr>
        <w:pStyle w:val="References"/>
        <w:widowControl/>
        <w:spacing w:before="0" w:after="40" w:line="240" w:lineRule="auto"/>
        <w:jc w:val="both"/>
        <w:numPr>
          <w:numId w:val="0"/>
        </w:numPr>
        <w:ind w:left="240" w:hanging="240"/>
      </w:pPr>
      <w:r>
        <w:rPr>
          <w:b w:val="0"/>
          <w:sz w:val="16"/>
          <w:szCs w:val="16"/>
        </w:rPr>
        <w:t>[5] C. Szegedy, V. Vanhoucke, S. Ioffe, J. Shlens and Z. Wojna, "Rethinking the Inception architecture for computer vision," in Proc. IEEE Conf. Computer Vision and Pattern Recognition, 2016, pp. 2818-2826. doi: 10.1109/CVPR.2016.308.</w:t>
      </w:r>
    </w:p>
    <w:p>
      <w:pPr>
        <w:pStyle w:val="References"/>
        <w:widowControl/>
        <w:spacing w:before="0" w:after="40" w:line="240" w:lineRule="auto"/>
        <w:jc w:val="both"/>
        <w:numPr>
          <w:numId w:val="0"/>
        </w:numPr>
        <w:ind w:left="240" w:hanging="240"/>
      </w:pPr>
      <w:r>
        <w:rPr>
          <w:b w:val="0"/>
          <w:sz w:val="16"/>
          <w:szCs w:val="16"/>
        </w:rPr>
        <w:t>[6] C. Guo, G. Pleiss, Y. Sun and K. Q. Weinberger, "On calibration of modern neural networks," in Proc. 34th Int. Conf. Machine Learning, PMLR, vol. 70, pp. 1321-1330, 2017. https://proceedings.mlr.press/v70/guo17a.html.</w:t>
      </w:r>
    </w:p>
    <w:p>
      <w:pPr>
        <w:pStyle w:val="References"/>
        <w:widowControl/>
        <w:spacing w:before="0" w:after="40" w:line="240" w:lineRule="auto"/>
        <w:jc w:val="both"/>
        <w:numPr>
          <w:numId w:val="0"/>
        </w:numPr>
        <w:ind w:left="240" w:hanging="240"/>
      </w:pPr>
      <w:r>
        <w:rPr>
          <w:b w:val="0"/>
          <w:sz w:val="16"/>
          <w:szCs w:val="16"/>
        </w:rPr>
        <w:t>[7] A. S. Tejani et al., "Checklist for Artificial Intelligence in Medical Imaging (CLAIM): 2024 Update," Radiology: Artificial Intelligence, vol. 6, no. 4, e240300, 2024. doi: 10.1148/ryai.240300.</w:t>
      </w:r>
    </w:p>
    <w:p>
      <w:pPr>
        <w:pStyle w:val="References"/>
        <w:widowControl/>
        <w:spacing w:before="0" w:after="40" w:line="240" w:lineRule="auto"/>
        <w:jc w:val="both"/>
        <w:numPr>
          <w:numId w:val="0"/>
        </w:numPr>
        <w:ind w:left="240" w:hanging="240"/>
      </w:pPr>
      <w:r>
        <w:rPr>
          <w:b w:val="0"/>
          <w:sz w:val="16"/>
          <w:szCs w:val="16"/>
        </w:rPr>
        <w:t>[8] G. S. Collins et al., "TRIPOD+AI statement: updated guidance for reporting clinical prediction models that use regression or machine learning methods," BMJ, vol. 385, e078378, 2024. doi: 10.1136/bmj-2023-078378.</w:t>
      </w:r>
    </w:p>
    <w:p>
      <w:pPr>
        <w:pStyle w:val="References"/>
        <w:widowControl/>
        <w:spacing w:before="0" w:after="40" w:line="240" w:lineRule="auto"/>
        <w:jc w:val="both"/>
        <w:numPr>
          <w:numId w:val="0"/>
        </w:numPr>
        <w:ind w:left="240" w:hanging="240"/>
      </w:pPr>
      <w:r>
        <w:rPr>
          <w:b w:val="0"/>
          <w:sz w:val="16"/>
          <w:szCs w:val="16"/>
        </w:rPr>
        <w:t>[9] ONNX Runtime contributors, "Node.js binding," ONNX Runtime documentation. Accessed September 29, 2026. https://onnxruntime.ai/docs/get-started/with-javascript/node.html.</w:t>
      </w:r>
    </w:p>
    <w:sectPr w:rsidR="00C4766D" w:rsidRPr="009D365A" w:rsidSect="009039BF">
      <w:headerReference w:type="default" r:id="rId9"/>
      <w:type w:val="continuous"/>
      <w:pgSz w:w="11907" w:h="16839" w:code="9"/>
      <w:pgMar w:top="1418" w:right="1418" w:bottom="1418" w:left="1418" w:header="431" w:footer="1106" w:gutter="0"/>
      <w:cols w:space="567"/>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85F336" w14:textId="77777777" w:rsidR="00E179F1" w:rsidRDefault="00E179F1">
      <w:r>
        <w:separator/>
      </w:r>
    </w:p>
  </w:endnote>
  <w:endnote w:type="continuationSeparator" w:id="0">
    <w:p w14:paraId="56BA18B7" w14:textId="77777777" w:rsidR="00E179F1" w:rsidRDefault="00E1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D03642" w14:textId="77777777" w:rsidR="00E179F1" w:rsidRDefault="00E179F1"/>
  </w:footnote>
  <w:footnote w:type="continuationSeparator" w:id="0">
    <w:p w14:paraId="6950A199" w14:textId="77777777" w:rsidR="00E179F1" w:rsidRDefault="00E179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20A553" w14:textId="77777777" w:rsidR="00AA3ED0" w:rsidRDefault="00AA3ED0">
    <w:pPr>
      <w:framePr w:wrap="auto" w:vAnchor="text" w:hAnchor="margin" w:xAlign="right" w:y="1"/>
    </w:pPr>
  </w:p>
  <w:p w14:paraId="2D5740AD" w14:textId="77777777" w:rsidR="00AA3ED0" w:rsidRPr="00B504B0" w:rsidRDefault="00AA3ED0">
    <w:pPr>
      <w:ind w:right="360"/>
      <w:rPr>
        <w:lang w:val="es-A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FE04BD4"/>
    <w:lvl w:ilvl="0">
      <w:start w:val="1"/>
      <w:numFmt w:val="decimal"/>
      <w:lvlText w:val="%1."/>
      <w:lvlJc w:val="left"/>
      <w:pPr>
        <w:tabs>
          <w:tab w:val="num" w:pos="1800"/>
        </w:tabs>
        <w:ind w:left="1800" w:hanging="360"/>
      </w:pPr>
    </w:lvl>
  </w:abstractNum>
  <w:abstractNum w:abstractNumId="2">
    <w:nsid w:val="FFFFFF7D"/>
    <w:multiLevelType w:val="singleLevel"/>
    <w:tmpl w:val="1E8E8124"/>
    <w:lvl w:ilvl="0">
      <w:start w:val="1"/>
      <w:numFmt w:val="decimal"/>
      <w:lvlText w:val="%1."/>
      <w:lvlJc w:val="left"/>
      <w:pPr>
        <w:tabs>
          <w:tab w:val="num" w:pos="1440"/>
        </w:tabs>
        <w:ind w:left="1440" w:hanging="360"/>
      </w:pPr>
    </w:lvl>
  </w:abstractNum>
  <w:abstractNum w:abstractNumId="3">
    <w:nsid w:val="FFFFFF7E"/>
    <w:multiLevelType w:val="singleLevel"/>
    <w:tmpl w:val="DB607804"/>
    <w:lvl w:ilvl="0">
      <w:start w:val="1"/>
      <w:numFmt w:val="decimal"/>
      <w:lvlText w:val="%1."/>
      <w:lvlJc w:val="left"/>
      <w:pPr>
        <w:tabs>
          <w:tab w:val="num" w:pos="1080"/>
        </w:tabs>
        <w:ind w:left="1080" w:hanging="360"/>
      </w:pPr>
    </w:lvl>
  </w:abstractNum>
  <w:abstractNum w:abstractNumId="4">
    <w:nsid w:val="FFFFFF7F"/>
    <w:multiLevelType w:val="singleLevel"/>
    <w:tmpl w:val="63F4F052"/>
    <w:lvl w:ilvl="0">
      <w:start w:val="1"/>
      <w:numFmt w:val="decimal"/>
      <w:lvlText w:val="%1."/>
      <w:lvlJc w:val="left"/>
      <w:pPr>
        <w:tabs>
          <w:tab w:val="num" w:pos="720"/>
        </w:tabs>
        <w:ind w:left="720" w:hanging="360"/>
      </w:pPr>
    </w:lvl>
  </w:abstractNum>
  <w:abstractNum w:abstractNumId="5">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CAA61E8"/>
    <w:lvl w:ilvl="0">
      <w:start w:val="1"/>
      <w:numFmt w:val="decimal"/>
      <w:lvlText w:val="%1."/>
      <w:lvlJc w:val="left"/>
      <w:pPr>
        <w:tabs>
          <w:tab w:val="num" w:pos="360"/>
        </w:tabs>
        <w:ind w:left="360" w:hanging="360"/>
      </w:pPr>
    </w:lvl>
  </w:abstractNum>
  <w:abstractNum w:abstractNumId="1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nsid w:val="FFFFFFFB"/>
    <w:multiLevelType w:val="multilevel"/>
    <w:tmpl w:val="A28E914E"/>
    <w:lvl w:ilvl="0">
      <w:start w:val="1"/>
      <w:numFmt w:val="decimal"/>
      <w:pStyle w:val="Ttulo1"/>
      <w:lvlText w:val="%1."/>
      <w:lvlJc w:val="left"/>
    </w:lvl>
    <w:lvl w:ilvl="1">
      <w:start w:val="1"/>
      <w:numFmt w:val="upperLetter"/>
      <w:pStyle w:val="Ttulo2"/>
      <w:lvlText w:val="%2."/>
      <w:legacy w:legacy="1" w:legacySpace="144" w:legacyIndent="144"/>
      <w:lvlJc w:val="left"/>
      <w:rPr>
        <w:b/>
      </w:rPr>
    </w:lvl>
    <w:lvl w:ilvl="2">
      <w:start w:val="1"/>
      <w:numFmt w:val="decimal"/>
      <w:pStyle w:val="Ttulo3"/>
      <w:lvlText w:val="%3)"/>
      <w:legacy w:legacy="1" w:legacySpace="144" w:legacyIndent="144"/>
      <w:lvlJc w:val="left"/>
      <w:rPr>
        <w:i/>
      </w:rPr>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2">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B0B1D66"/>
    <w:multiLevelType w:val="singleLevel"/>
    <w:tmpl w:val="0BEC9FB0"/>
    <w:lvl w:ilvl="0">
      <w:start w:val="1"/>
      <w:numFmt w:val="none"/>
      <w:lvlText w:val=""/>
      <w:legacy w:legacy="1" w:legacySpace="0" w:legacyIndent="0"/>
      <w:lvlJc w:val="left"/>
      <w:pPr>
        <w:ind w:left="288"/>
      </w:pPr>
    </w:lvl>
  </w:abstractNum>
  <w:abstractNum w:abstractNumId="14">
    <w:nsid w:val="2517274C"/>
    <w:multiLevelType w:val="singleLevel"/>
    <w:tmpl w:val="04090011"/>
    <w:lvl w:ilvl="0">
      <w:start w:val="1"/>
      <w:numFmt w:val="decimal"/>
      <w:lvlText w:val="%1)"/>
      <w:lvlJc w:val="left"/>
      <w:pPr>
        <w:tabs>
          <w:tab w:val="num" w:pos="360"/>
        </w:tabs>
        <w:ind w:left="360" w:hanging="360"/>
      </w:pPr>
    </w:lvl>
  </w:abstractNum>
  <w:abstractNum w:abstractNumId="15">
    <w:nsid w:val="2D234D8B"/>
    <w:multiLevelType w:val="singleLevel"/>
    <w:tmpl w:val="0409000F"/>
    <w:lvl w:ilvl="0">
      <w:start w:val="1"/>
      <w:numFmt w:val="decimal"/>
      <w:lvlText w:val="%1."/>
      <w:lvlJc w:val="left"/>
      <w:pPr>
        <w:tabs>
          <w:tab w:val="num" w:pos="360"/>
        </w:tabs>
        <w:ind w:left="360" w:hanging="360"/>
      </w:pPr>
    </w:lvl>
  </w:abstractNum>
  <w:abstractNum w:abstractNumId="16">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9">
    <w:nsid w:val="3AAC1CFC"/>
    <w:multiLevelType w:val="singleLevel"/>
    <w:tmpl w:val="3A8EC28E"/>
    <w:lvl w:ilvl="0">
      <w:start w:val="1"/>
      <w:numFmt w:val="decimal"/>
      <w:lvlText w:val="[%1]"/>
      <w:lvlJc w:val="left"/>
      <w:pPr>
        <w:tabs>
          <w:tab w:val="num" w:pos="360"/>
        </w:tabs>
        <w:ind w:left="360" w:hanging="360"/>
      </w:pPr>
    </w:lvl>
  </w:abstractNum>
  <w:abstractNum w:abstractNumId="20">
    <w:nsid w:val="3E2F4001"/>
    <w:multiLevelType w:val="hybridMultilevel"/>
    <w:tmpl w:val="814A749C"/>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7332F9F"/>
    <w:multiLevelType w:val="singleLevel"/>
    <w:tmpl w:val="488EC81A"/>
    <w:lvl w:ilvl="0">
      <w:start w:val="1"/>
      <w:numFmt w:val="decimal"/>
      <w:lvlText w:val="%1."/>
      <w:legacy w:legacy="1" w:legacySpace="0" w:legacyIndent="360"/>
      <w:lvlJc w:val="left"/>
      <w:pPr>
        <w:ind w:left="360" w:hanging="360"/>
      </w:pPr>
    </w:lvl>
  </w:abstractNum>
  <w:abstractNum w:abstractNumId="23">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0B59CF"/>
    <w:multiLevelType w:val="singleLevel"/>
    <w:tmpl w:val="4A4223A6"/>
    <w:lvl w:ilvl="0">
      <w:start w:val="1"/>
      <w:numFmt w:val="decimal"/>
      <w:lvlText w:val="%1."/>
      <w:legacy w:legacy="1" w:legacySpace="0" w:legacyIndent="360"/>
      <w:lvlJc w:val="left"/>
      <w:pPr>
        <w:ind w:left="360" w:hanging="360"/>
      </w:pPr>
    </w:lvl>
  </w:abstractNum>
  <w:abstractNum w:abstractNumId="25">
    <w:nsid w:val="55630736"/>
    <w:multiLevelType w:val="singleLevel"/>
    <w:tmpl w:val="0BEC9FB0"/>
    <w:lvl w:ilvl="0">
      <w:start w:val="1"/>
      <w:numFmt w:val="none"/>
      <w:lvlText w:val=""/>
      <w:legacy w:legacy="1" w:legacySpace="0" w:legacyIndent="0"/>
      <w:lvlJc w:val="left"/>
      <w:pPr>
        <w:ind w:left="288"/>
      </w:pPr>
    </w:lvl>
  </w:abstractNum>
  <w:abstractNum w:abstractNumId="26">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7">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6"/>
  </w:num>
  <w:num w:numId="3">
    <w:abstractNumId w:val="16"/>
    <w:lvlOverride w:ilvl="0">
      <w:lvl w:ilvl="0">
        <w:start w:val="1"/>
        <w:numFmt w:val="decimal"/>
        <w:lvlText w:val="%1."/>
        <w:legacy w:legacy="1" w:legacySpace="0" w:legacyIndent="360"/>
        <w:lvlJc w:val="left"/>
        <w:pPr>
          <w:ind w:left="360" w:hanging="360"/>
        </w:pPr>
      </w:lvl>
    </w:lvlOverride>
  </w:num>
  <w:num w:numId="4">
    <w:abstractNumId w:val="16"/>
    <w:lvlOverride w:ilvl="0">
      <w:lvl w:ilvl="0">
        <w:start w:val="1"/>
        <w:numFmt w:val="decimal"/>
        <w:lvlText w:val="%1."/>
        <w:legacy w:legacy="1" w:legacySpace="0" w:legacyIndent="360"/>
        <w:lvlJc w:val="left"/>
        <w:pPr>
          <w:ind w:left="360" w:hanging="360"/>
        </w:pPr>
      </w:lvl>
    </w:lvlOverride>
  </w:num>
  <w:num w:numId="5">
    <w:abstractNumId w:val="16"/>
    <w:lvlOverride w:ilvl="0">
      <w:lvl w:ilvl="0">
        <w:start w:val="1"/>
        <w:numFmt w:val="decimal"/>
        <w:lvlText w:val="%1."/>
        <w:legacy w:legacy="1" w:legacySpace="0" w:legacyIndent="360"/>
        <w:lvlJc w:val="left"/>
        <w:pPr>
          <w:ind w:left="360" w:hanging="360"/>
        </w:pPr>
      </w:lvl>
    </w:lvlOverride>
  </w:num>
  <w:num w:numId="6">
    <w:abstractNumId w:val="22"/>
  </w:num>
  <w:num w:numId="7">
    <w:abstractNumId w:val="22"/>
    <w:lvlOverride w:ilvl="0">
      <w:lvl w:ilvl="0">
        <w:start w:val="1"/>
        <w:numFmt w:val="decimal"/>
        <w:lvlText w:val="%1."/>
        <w:legacy w:legacy="1" w:legacySpace="0" w:legacyIndent="360"/>
        <w:lvlJc w:val="left"/>
        <w:pPr>
          <w:ind w:left="360" w:hanging="360"/>
        </w:pPr>
      </w:lvl>
    </w:lvlOverride>
  </w:num>
  <w:num w:numId="8">
    <w:abstractNumId w:val="22"/>
    <w:lvlOverride w:ilvl="0">
      <w:lvl w:ilvl="0">
        <w:start w:val="1"/>
        <w:numFmt w:val="decimal"/>
        <w:lvlText w:val="%1."/>
        <w:legacy w:legacy="1" w:legacySpace="0" w:legacyIndent="360"/>
        <w:lvlJc w:val="left"/>
        <w:pPr>
          <w:ind w:left="360" w:hanging="360"/>
        </w:pPr>
      </w:lvl>
    </w:lvlOverride>
  </w:num>
  <w:num w:numId="9">
    <w:abstractNumId w:val="22"/>
    <w:lvlOverride w:ilvl="0">
      <w:lvl w:ilvl="0">
        <w:start w:val="1"/>
        <w:numFmt w:val="decimal"/>
        <w:lvlText w:val="%1."/>
        <w:legacy w:legacy="1" w:legacySpace="0" w:legacyIndent="360"/>
        <w:lvlJc w:val="left"/>
        <w:pPr>
          <w:ind w:left="360" w:hanging="360"/>
        </w:pPr>
      </w:lvl>
    </w:lvlOverride>
  </w:num>
  <w:num w:numId="10">
    <w:abstractNumId w:val="22"/>
    <w:lvlOverride w:ilvl="0">
      <w:lvl w:ilvl="0">
        <w:start w:val="1"/>
        <w:numFmt w:val="decimal"/>
        <w:lvlText w:val="%1."/>
        <w:legacy w:legacy="1" w:legacySpace="0" w:legacyIndent="360"/>
        <w:lvlJc w:val="left"/>
        <w:pPr>
          <w:ind w:left="360" w:hanging="360"/>
        </w:pPr>
      </w:lvl>
    </w:lvlOverride>
  </w:num>
  <w:num w:numId="11">
    <w:abstractNumId w:val="22"/>
    <w:lvlOverride w:ilvl="0">
      <w:lvl w:ilvl="0">
        <w:start w:val="1"/>
        <w:numFmt w:val="decimal"/>
        <w:lvlText w:val="%1."/>
        <w:legacy w:legacy="1" w:legacySpace="0" w:legacyIndent="360"/>
        <w:lvlJc w:val="left"/>
        <w:pPr>
          <w:ind w:left="360" w:hanging="360"/>
        </w:pPr>
      </w:lvl>
    </w:lvlOverride>
  </w:num>
  <w:num w:numId="12">
    <w:abstractNumId w:val="18"/>
  </w:num>
  <w:num w:numId="13">
    <w:abstractNumId w:val="13"/>
  </w:num>
  <w:num w:numId="14">
    <w:abstractNumId w:val="25"/>
  </w:num>
  <w:num w:numId="15">
    <w:abstractNumId w:val="24"/>
  </w:num>
  <w:num w:numId="16">
    <w:abstractNumId w:val="31"/>
  </w:num>
  <w:num w:numId="17">
    <w:abstractNumId w:val="15"/>
  </w:num>
  <w:num w:numId="18">
    <w:abstractNumId w:val="14"/>
  </w:num>
  <w:num w:numId="19">
    <w:abstractNumId w:val="26"/>
  </w:num>
  <w:num w:numId="20">
    <w:abstractNumId w:val="19"/>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0"/>
  </w:num>
  <w:num w:numId="23">
    <w:abstractNumId w:val="29"/>
  </w:num>
  <w:num w:numId="24">
    <w:abstractNumId w:val="23"/>
  </w:num>
  <w:num w:numId="25">
    <w:abstractNumId w:val="28"/>
  </w:num>
  <w:num w:numId="26">
    <w:abstractNumId w:val="12"/>
  </w:num>
  <w:num w:numId="27">
    <w:abstractNumId w:val="27"/>
  </w:num>
  <w:num w:numId="28">
    <w:abstractNumId w:val="17"/>
  </w:num>
  <w:num w:numId="29">
    <w:abstractNumId w:val="21"/>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 w:numId="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7CwMDQwMzYyMbEwNjRU0lEKTi0uzszPAykwqQUA3cURXCwAAAA="/>
  </w:docVars>
  <w:rsids>
    <w:rsidRoot w:val="0091035B"/>
    <w:rsid w:val="00042E13"/>
    <w:rsid w:val="00046C52"/>
    <w:rsid w:val="000A168B"/>
    <w:rsid w:val="000A238C"/>
    <w:rsid w:val="000B1CFF"/>
    <w:rsid w:val="000C3DA1"/>
    <w:rsid w:val="000D2BDE"/>
    <w:rsid w:val="000F0F58"/>
    <w:rsid w:val="000F5F71"/>
    <w:rsid w:val="00104BB0"/>
    <w:rsid w:val="0010794E"/>
    <w:rsid w:val="0013354F"/>
    <w:rsid w:val="00143F2E"/>
    <w:rsid w:val="00144E72"/>
    <w:rsid w:val="0015197B"/>
    <w:rsid w:val="001768FF"/>
    <w:rsid w:val="001A348F"/>
    <w:rsid w:val="001A60B1"/>
    <w:rsid w:val="001B36B1"/>
    <w:rsid w:val="001E7B7A"/>
    <w:rsid w:val="001F4C5C"/>
    <w:rsid w:val="00204478"/>
    <w:rsid w:val="00214E2E"/>
    <w:rsid w:val="00216141"/>
    <w:rsid w:val="00217186"/>
    <w:rsid w:val="0024265D"/>
    <w:rsid w:val="002434A1"/>
    <w:rsid w:val="00263943"/>
    <w:rsid w:val="00267B35"/>
    <w:rsid w:val="00271612"/>
    <w:rsid w:val="00294870"/>
    <w:rsid w:val="002F7910"/>
    <w:rsid w:val="003427CE"/>
    <w:rsid w:val="00360269"/>
    <w:rsid w:val="0037551B"/>
    <w:rsid w:val="00392DBA"/>
    <w:rsid w:val="003C3322"/>
    <w:rsid w:val="003C68C2"/>
    <w:rsid w:val="003D4CAE"/>
    <w:rsid w:val="003E2D82"/>
    <w:rsid w:val="003F26BD"/>
    <w:rsid w:val="003F52AD"/>
    <w:rsid w:val="0043144F"/>
    <w:rsid w:val="00431BFA"/>
    <w:rsid w:val="004353CF"/>
    <w:rsid w:val="004631BC"/>
    <w:rsid w:val="00484761"/>
    <w:rsid w:val="00484DD5"/>
    <w:rsid w:val="004C1E16"/>
    <w:rsid w:val="004C2543"/>
    <w:rsid w:val="004D15CA"/>
    <w:rsid w:val="004E3E4C"/>
    <w:rsid w:val="004F23A0"/>
    <w:rsid w:val="005003E3"/>
    <w:rsid w:val="005052CD"/>
    <w:rsid w:val="00512306"/>
    <w:rsid w:val="00546897"/>
    <w:rsid w:val="00550A26"/>
    <w:rsid w:val="00550BF5"/>
    <w:rsid w:val="00567A70"/>
    <w:rsid w:val="005A139B"/>
    <w:rsid w:val="005A2A15"/>
    <w:rsid w:val="005B64E2"/>
    <w:rsid w:val="005D1B15"/>
    <w:rsid w:val="005D2824"/>
    <w:rsid w:val="005D4F1A"/>
    <w:rsid w:val="005D72BB"/>
    <w:rsid w:val="005E4568"/>
    <w:rsid w:val="005E692F"/>
    <w:rsid w:val="0062114B"/>
    <w:rsid w:val="00623698"/>
    <w:rsid w:val="00625E96"/>
    <w:rsid w:val="00647C09"/>
    <w:rsid w:val="00651F2C"/>
    <w:rsid w:val="00693D5D"/>
    <w:rsid w:val="006A032E"/>
    <w:rsid w:val="006B1134"/>
    <w:rsid w:val="006B7F03"/>
    <w:rsid w:val="006F7370"/>
    <w:rsid w:val="00723E6A"/>
    <w:rsid w:val="00725B45"/>
    <w:rsid w:val="007C4336"/>
    <w:rsid w:val="007F7AA6"/>
    <w:rsid w:val="00823624"/>
    <w:rsid w:val="00837E47"/>
    <w:rsid w:val="008518FE"/>
    <w:rsid w:val="00851EC0"/>
    <w:rsid w:val="0085659C"/>
    <w:rsid w:val="00872026"/>
    <w:rsid w:val="0087792E"/>
    <w:rsid w:val="00883EAF"/>
    <w:rsid w:val="00885258"/>
    <w:rsid w:val="00894CC2"/>
    <w:rsid w:val="008A30C3"/>
    <w:rsid w:val="008A3C23"/>
    <w:rsid w:val="008C49CC"/>
    <w:rsid w:val="008D69E9"/>
    <w:rsid w:val="008E0645"/>
    <w:rsid w:val="008F594A"/>
    <w:rsid w:val="009039BF"/>
    <w:rsid w:val="00904C7E"/>
    <w:rsid w:val="0091035B"/>
    <w:rsid w:val="00940E17"/>
    <w:rsid w:val="00972249"/>
    <w:rsid w:val="009A1F6E"/>
    <w:rsid w:val="009C7D17"/>
    <w:rsid w:val="009D365A"/>
    <w:rsid w:val="009E484E"/>
    <w:rsid w:val="009F40FB"/>
    <w:rsid w:val="00A0667B"/>
    <w:rsid w:val="00A22FCB"/>
    <w:rsid w:val="00A35633"/>
    <w:rsid w:val="00A472F1"/>
    <w:rsid w:val="00A5237D"/>
    <w:rsid w:val="00A554A3"/>
    <w:rsid w:val="00A758EA"/>
    <w:rsid w:val="00A95C50"/>
    <w:rsid w:val="00AA3ED0"/>
    <w:rsid w:val="00AB79A6"/>
    <w:rsid w:val="00AC4850"/>
    <w:rsid w:val="00B07AE2"/>
    <w:rsid w:val="00B2301D"/>
    <w:rsid w:val="00B23AA0"/>
    <w:rsid w:val="00B47B59"/>
    <w:rsid w:val="00B504B0"/>
    <w:rsid w:val="00B53F81"/>
    <w:rsid w:val="00B56C2B"/>
    <w:rsid w:val="00B65BD3"/>
    <w:rsid w:val="00B70469"/>
    <w:rsid w:val="00B72DD8"/>
    <w:rsid w:val="00B72E09"/>
    <w:rsid w:val="00BC5CEE"/>
    <w:rsid w:val="00BF0C69"/>
    <w:rsid w:val="00BF629B"/>
    <w:rsid w:val="00BF655C"/>
    <w:rsid w:val="00C075EF"/>
    <w:rsid w:val="00C11E83"/>
    <w:rsid w:val="00C227AC"/>
    <w:rsid w:val="00C2378A"/>
    <w:rsid w:val="00C378A1"/>
    <w:rsid w:val="00C4766D"/>
    <w:rsid w:val="00C621D6"/>
    <w:rsid w:val="00C82D86"/>
    <w:rsid w:val="00CB4B8D"/>
    <w:rsid w:val="00CC0DDA"/>
    <w:rsid w:val="00CD684F"/>
    <w:rsid w:val="00CD74E6"/>
    <w:rsid w:val="00CE4457"/>
    <w:rsid w:val="00D0145D"/>
    <w:rsid w:val="00D06623"/>
    <w:rsid w:val="00D14C6B"/>
    <w:rsid w:val="00D5536F"/>
    <w:rsid w:val="00D56935"/>
    <w:rsid w:val="00D662C1"/>
    <w:rsid w:val="00D758C6"/>
    <w:rsid w:val="00D90C10"/>
    <w:rsid w:val="00D92E96"/>
    <w:rsid w:val="00DA258C"/>
    <w:rsid w:val="00DE07FA"/>
    <w:rsid w:val="00DF2DDE"/>
    <w:rsid w:val="00E01667"/>
    <w:rsid w:val="00E179F1"/>
    <w:rsid w:val="00E36209"/>
    <w:rsid w:val="00E420BB"/>
    <w:rsid w:val="00E50DF6"/>
    <w:rsid w:val="00E85476"/>
    <w:rsid w:val="00E965C5"/>
    <w:rsid w:val="00E96A3A"/>
    <w:rsid w:val="00E97402"/>
    <w:rsid w:val="00E97B99"/>
    <w:rsid w:val="00EB0835"/>
    <w:rsid w:val="00EB2E9D"/>
    <w:rsid w:val="00EB672C"/>
    <w:rsid w:val="00ED38A6"/>
    <w:rsid w:val="00EE6FFC"/>
    <w:rsid w:val="00EF10AC"/>
    <w:rsid w:val="00EF4701"/>
    <w:rsid w:val="00EF564E"/>
    <w:rsid w:val="00F22198"/>
    <w:rsid w:val="00F33D49"/>
    <w:rsid w:val="00F3481E"/>
    <w:rsid w:val="00F577F6"/>
    <w:rsid w:val="00F65266"/>
    <w:rsid w:val="00F751E1"/>
    <w:rsid w:val="00F778F2"/>
    <w:rsid w:val="00FA30FE"/>
    <w:rsid w:val="00FB6B28"/>
    <w:rsid w:val="00FD347F"/>
    <w:rsid w:val="00FE5147"/>
    <w:rsid w:val="00FF1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68A1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pPr>
      <w:keepNext/>
      <w:numPr>
        <w:numId w:val="1"/>
      </w:numPr>
      <w:spacing w:before="240" w:after="80"/>
      <w:jc w:val="center"/>
      <w:outlineLvl w:val="0"/>
    </w:pPr>
    <w:rPr>
      <w:smallCaps/>
      <w:kern w:val="28"/>
    </w:rPr>
  </w:style>
  <w:style w:type="paragraph" w:styleId="Ttulo2">
    <w:name w:val="heading 2"/>
    <w:basedOn w:val="Normal"/>
    <w:next w:val="Normal"/>
    <w:link w:val="Ttulo2Car"/>
    <w:uiPriority w:val="9"/>
    <w:qFormat/>
    <w:pPr>
      <w:keepNext/>
      <w:numPr>
        <w:ilvl w:val="1"/>
        <w:numId w:val="1"/>
      </w:numPr>
      <w:spacing w:before="120" w:after="60"/>
      <w:outlineLvl w:val="1"/>
    </w:pPr>
    <w:rPr>
      <w:i/>
      <w:iCs/>
    </w:rPr>
  </w:style>
  <w:style w:type="paragraph" w:styleId="Ttulo3">
    <w:name w:val="heading 3"/>
    <w:basedOn w:val="Normal"/>
    <w:next w:val="Normal"/>
    <w:uiPriority w:val="9"/>
    <w:qFormat/>
    <w:pPr>
      <w:keepNext/>
      <w:numPr>
        <w:ilvl w:val="2"/>
        <w:numId w:val="1"/>
      </w:numPr>
      <w:outlineLvl w:val="2"/>
    </w:pPr>
    <w:rPr>
      <w:i/>
      <w:iCs/>
    </w:rPr>
  </w:style>
  <w:style w:type="paragraph" w:styleId="Ttulo4">
    <w:name w:val="heading 4"/>
    <w:basedOn w:val="Normal"/>
    <w:next w:val="Normal"/>
    <w:uiPriority w:val="9"/>
    <w:qFormat/>
    <w:pPr>
      <w:keepNext/>
      <w:numPr>
        <w:ilvl w:val="3"/>
        <w:numId w:val="1"/>
      </w:numPr>
      <w:spacing w:before="240" w:after="60"/>
      <w:outlineLvl w:val="3"/>
    </w:pPr>
    <w:rPr>
      <w:i/>
      <w:iCs/>
      <w:sz w:val="18"/>
      <w:szCs w:val="18"/>
    </w:rPr>
  </w:style>
  <w:style w:type="paragraph" w:styleId="Ttulo5">
    <w:name w:val="heading 5"/>
    <w:basedOn w:val="Normal"/>
    <w:next w:val="Normal"/>
    <w:uiPriority w:val="9"/>
    <w:qFormat/>
    <w:pPr>
      <w:numPr>
        <w:ilvl w:val="4"/>
        <w:numId w:val="1"/>
      </w:numPr>
      <w:spacing w:before="240" w:after="60"/>
      <w:outlineLvl w:val="4"/>
    </w:pPr>
    <w:rPr>
      <w:sz w:val="18"/>
      <w:szCs w:val="18"/>
    </w:rPr>
  </w:style>
  <w:style w:type="paragraph" w:styleId="Ttulo6">
    <w:name w:val="heading 6"/>
    <w:basedOn w:val="Normal"/>
    <w:next w:val="Normal"/>
    <w:uiPriority w:val="9"/>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Fuentedeprrafopredeter"/>
    <w:rPr>
      <w:rFonts w:ascii="Times New Roman" w:hAnsi="Times New Roman" w:cs="Times New Roman"/>
      <w:i/>
      <w:iCs/>
      <w:sz w:val="22"/>
      <w:szCs w:val="22"/>
    </w:rPr>
  </w:style>
  <w:style w:type="paragraph" w:styleId="Ttulo">
    <w:name w:val="Title"/>
    <w:basedOn w:val="Normal"/>
    <w:next w:val="Normal"/>
    <w:link w:val="TtuloCar"/>
    <w:qFormat/>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basedOn w:val="Fuentedeprrafopredeter"/>
    <w:semiHidden/>
    <w:rPr>
      <w:vertAlign w:val="superscript"/>
    </w:rPr>
  </w:style>
  <w:style w:type="paragraph" w:styleId="Piedepgina">
    <w:name w:val="footer"/>
    <w:basedOn w:val="Normal"/>
    <w:link w:val="PiedepginaCar"/>
    <w:uiPriority w:val="99"/>
    <w:pPr>
      <w:tabs>
        <w:tab w:val="center" w:pos="4320"/>
        <w:tab w:val="right" w:pos="8640"/>
      </w:tabs>
    </w:pPr>
  </w:style>
  <w:style w:type="paragraph" w:customStyle="1" w:styleId="Text">
    <w:name w:val="Text"/>
    <w:basedOn w:val="Normal"/>
    <w:link w:val="TextC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pPr>
      <w:numPr>
        <w:numId w:val="0"/>
      </w:numPr>
    </w:pP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basedOn w:val="Fuentedeprrafopredeter"/>
    <w:rPr>
      <w:color w:val="0000FF"/>
      <w:u w:val="single"/>
    </w:rPr>
  </w:style>
  <w:style w:type="character" w:styleId="Hipervnculovisitado">
    <w:name w:val="FollowedHyperlink"/>
    <w:basedOn w:val="Fuentedeprrafopredeter"/>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basedOn w:val="Fuentedeprrafopredeter"/>
    <w:link w:val="Textodeglobo"/>
    <w:rsid w:val="00F33D49"/>
    <w:rPr>
      <w:rFonts w:ascii="Tahoma" w:hAnsi="Tahoma" w:cs="Tahoma"/>
      <w:sz w:val="16"/>
      <w:szCs w:val="16"/>
    </w:rPr>
  </w:style>
  <w:style w:type="character" w:styleId="Textodelmarcadordeposicin">
    <w:name w:val="Placeholder Text"/>
    <w:basedOn w:val="Fuentedeprrafopredeter"/>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Fuentedeprrafopredeter"/>
    <w:uiPriority w:val="99"/>
    <w:rsid w:val="00C82D86"/>
    <w:rPr>
      <w:rFonts w:ascii="Verdana" w:hAnsi="Verdana" w:cs="Verdana"/>
      <w:color w:val="000000"/>
      <w:sz w:val="22"/>
      <w:szCs w:val="22"/>
    </w:rPr>
  </w:style>
  <w:style w:type="character" w:customStyle="1" w:styleId="bodytype">
    <w:name w:val="body type"/>
    <w:basedOn w:val="Fuentedeprrafopredeter"/>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basedOn w:val="Fuentedeprrafopredeter"/>
    <w:link w:val="Ttulo1"/>
    <w:uiPriority w:val="9"/>
    <w:rsid w:val="003F52AD"/>
    <w:rPr>
      <w:smallCaps/>
      <w:kern w:val="28"/>
    </w:rPr>
  </w:style>
  <w:style w:type="character" w:customStyle="1" w:styleId="ReferenceHeadChar">
    <w:name w:val="Reference Head Char"/>
    <w:basedOn w:val="Ttulo1C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n">
    <w:name w:val="Revision"/>
    <w:hidden/>
    <w:uiPriority w:val="99"/>
    <w:semiHidden/>
    <w:rsid w:val="001B36B1"/>
  </w:style>
  <w:style w:type="character" w:customStyle="1" w:styleId="BodyText2">
    <w:name w:val="Body Text2"/>
    <w:basedOn w:val="Fuentedeprrafopredeter"/>
    <w:uiPriority w:val="99"/>
    <w:rsid w:val="001B36B1"/>
    <w:rPr>
      <w:rFonts w:ascii="Verdana" w:hAnsi="Verdana" w:cs="Verdana"/>
      <w:color w:val="000000"/>
      <w:sz w:val="22"/>
      <w:szCs w:val="22"/>
    </w:rPr>
  </w:style>
  <w:style w:type="character" w:customStyle="1" w:styleId="Ttulo2Car">
    <w:name w:val="Título 2 Car"/>
    <w:basedOn w:val="Fuentedeprrafopredete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Fuentedeprrafopredete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basedOn w:val="Fuentedeprrafopredeter"/>
    <w:link w:val="Textonotapie"/>
    <w:semiHidden/>
    <w:rsid w:val="00C075EF"/>
    <w:rPr>
      <w:sz w:val="16"/>
      <w:szCs w:val="16"/>
    </w:rPr>
  </w:style>
  <w:style w:type="character" w:customStyle="1" w:styleId="SangradetextonormalCar">
    <w:name w:val="Sangría de texto normal Car"/>
    <w:basedOn w:val="Fuentedeprrafopredeter"/>
    <w:link w:val="Sangradetextonormal"/>
    <w:rsid w:val="003F26BD"/>
    <w:rPr>
      <w:szCs w:val="24"/>
    </w:rPr>
  </w:style>
  <w:style w:type="paragraph" w:customStyle="1" w:styleId="JCST-Title">
    <w:name w:val="JCST-Title"/>
    <w:basedOn w:val="Ttulo"/>
    <w:link w:val="JCST-TitleCar"/>
    <w:qFormat/>
    <w:rsid w:val="00D0145D"/>
    <w:pPr>
      <w:framePr w:w="0" w:hSpace="0" w:vSpace="0" w:wrap="auto" w:vAnchor="margin" w:hAnchor="text" w:xAlign="left" w:yAlign="inline"/>
    </w:pPr>
    <w:rPr>
      <w:b/>
    </w:rPr>
  </w:style>
  <w:style w:type="paragraph" w:customStyle="1" w:styleId="JCST-Authors">
    <w:name w:val="JCST-Authors"/>
    <w:basedOn w:val="Ttulo"/>
    <w:link w:val="JCST-AuthorsCar"/>
    <w:qFormat/>
    <w:rsid w:val="00D0145D"/>
    <w:pPr>
      <w:framePr w:w="0" w:hSpace="0" w:vSpace="0" w:wrap="auto" w:vAnchor="margin" w:hAnchor="text" w:xAlign="left" w:yAlign="inline"/>
      <w:spacing w:before="240" w:after="120"/>
    </w:pPr>
    <w:rPr>
      <w:b/>
      <w:sz w:val="28"/>
      <w:szCs w:val="28"/>
    </w:rPr>
  </w:style>
  <w:style w:type="character" w:customStyle="1" w:styleId="TtuloCar">
    <w:name w:val="Título Car"/>
    <w:basedOn w:val="Fuentedeprrafopredeter"/>
    <w:link w:val="Ttulo"/>
    <w:rsid w:val="00D0145D"/>
    <w:rPr>
      <w:kern w:val="28"/>
      <w:sz w:val="48"/>
      <w:szCs w:val="48"/>
    </w:rPr>
  </w:style>
  <w:style w:type="character" w:customStyle="1" w:styleId="JCST-TitleCar">
    <w:name w:val="JCST-Title Car"/>
    <w:basedOn w:val="TtuloCar"/>
    <w:link w:val="JCST-Title"/>
    <w:rsid w:val="00D0145D"/>
    <w:rPr>
      <w:b/>
      <w:kern w:val="28"/>
      <w:sz w:val="48"/>
      <w:szCs w:val="48"/>
    </w:rPr>
  </w:style>
  <w:style w:type="paragraph" w:customStyle="1" w:styleId="JCST-Abstract">
    <w:name w:val="JCST-Abstract"/>
    <w:basedOn w:val="Normal"/>
    <w:link w:val="JCST-AbstractCar"/>
    <w:qFormat/>
    <w:rsid w:val="00D662C1"/>
    <w:pPr>
      <w:jc w:val="center"/>
    </w:pPr>
  </w:style>
  <w:style w:type="character" w:customStyle="1" w:styleId="JCST-AuthorsCar">
    <w:name w:val="JCST-Authors Car"/>
    <w:basedOn w:val="TtuloCar"/>
    <w:link w:val="JCST-Authors"/>
    <w:rsid w:val="00D0145D"/>
    <w:rPr>
      <w:b/>
      <w:kern w:val="28"/>
      <w:sz w:val="28"/>
      <w:szCs w:val="28"/>
    </w:rPr>
  </w:style>
  <w:style w:type="paragraph" w:customStyle="1" w:styleId="JCST-Paragraph">
    <w:name w:val="JCST-Paragraph"/>
    <w:basedOn w:val="Text"/>
    <w:link w:val="JCST-ParagraphCar"/>
    <w:qFormat/>
    <w:rsid w:val="00D662C1"/>
    <w:pPr>
      <w:ind w:firstLine="144"/>
    </w:pPr>
  </w:style>
  <w:style w:type="character" w:customStyle="1" w:styleId="JCST-AbstractCar">
    <w:name w:val="JCST-Abstract Car"/>
    <w:basedOn w:val="Fuentedeprrafopredeter"/>
    <w:link w:val="JCST-Abstract"/>
    <w:rsid w:val="00D662C1"/>
  </w:style>
  <w:style w:type="paragraph" w:customStyle="1" w:styleId="-1">
    <w:name w:val="正文-1"/>
    <w:basedOn w:val="Normal"/>
    <w:link w:val="-1Char"/>
    <w:rsid w:val="00D662C1"/>
    <w:pPr>
      <w:ind w:firstLineChars="100" w:firstLine="100"/>
      <w:jc w:val="both"/>
    </w:pPr>
    <w:rPr>
      <w:sz w:val="21"/>
      <w:szCs w:val="18"/>
    </w:rPr>
  </w:style>
  <w:style w:type="character" w:customStyle="1" w:styleId="TextCar">
    <w:name w:val="Text Car"/>
    <w:basedOn w:val="Fuentedeprrafopredeter"/>
    <w:link w:val="Text"/>
    <w:rsid w:val="00D662C1"/>
  </w:style>
  <w:style w:type="character" w:customStyle="1" w:styleId="JCST-ParagraphCar">
    <w:name w:val="JCST-Paragraph Car"/>
    <w:basedOn w:val="TextCar"/>
    <w:link w:val="JCST-Paragraph"/>
    <w:rsid w:val="00D662C1"/>
  </w:style>
  <w:style w:type="character" w:customStyle="1" w:styleId="-1Char">
    <w:name w:val="正文-1 Char"/>
    <w:basedOn w:val="Fuentedeprrafopredeter"/>
    <w:link w:val="-1"/>
    <w:rsid w:val="00D662C1"/>
    <w:rPr>
      <w:sz w:val="21"/>
      <w:szCs w:val="18"/>
    </w:rPr>
  </w:style>
  <w:style w:type="table" w:styleId="Tablaconcuadrcula">
    <w:name w:val="Table Grid"/>
    <w:basedOn w:val="Tablanormal"/>
    <w:rsid w:val="005468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JCST-BR-TO">
    <w:name w:val="JCST-BR-TO"/>
    <w:basedOn w:val="JCST-Title"/>
    <w:link w:val="JCST-BR-TOCar"/>
    <w:qFormat/>
    <w:rsid w:val="00CE4457"/>
    <w:pPr>
      <w:jc w:val="left"/>
    </w:pPr>
    <w:rPr>
      <w:sz w:val="28"/>
      <w:szCs w:val="28"/>
    </w:rPr>
  </w:style>
  <w:style w:type="character" w:customStyle="1" w:styleId="JCST-BR-TOCar">
    <w:name w:val="JCST-BR-TO Car"/>
    <w:basedOn w:val="JCST-TitleCar"/>
    <w:link w:val="JCST-BR-TO"/>
    <w:rsid w:val="00CE4457"/>
    <w:rPr>
      <w:b/>
      <w:kern w:val="28"/>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pPr>
      <w:keepNext/>
      <w:numPr>
        <w:numId w:val="1"/>
      </w:numPr>
      <w:spacing w:before="240" w:after="80"/>
      <w:jc w:val="center"/>
      <w:outlineLvl w:val="0"/>
    </w:pPr>
    <w:rPr>
      <w:smallCaps/>
      <w:kern w:val="28"/>
    </w:rPr>
  </w:style>
  <w:style w:type="paragraph" w:styleId="Ttulo2">
    <w:name w:val="heading 2"/>
    <w:basedOn w:val="Normal"/>
    <w:next w:val="Normal"/>
    <w:link w:val="Ttulo2Car"/>
    <w:uiPriority w:val="9"/>
    <w:qFormat/>
    <w:pPr>
      <w:keepNext/>
      <w:numPr>
        <w:ilvl w:val="1"/>
        <w:numId w:val="1"/>
      </w:numPr>
      <w:spacing w:before="120" w:after="60"/>
      <w:outlineLvl w:val="1"/>
    </w:pPr>
    <w:rPr>
      <w:i/>
      <w:iCs/>
    </w:rPr>
  </w:style>
  <w:style w:type="paragraph" w:styleId="Ttulo3">
    <w:name w:val="heading 3"/>
    <w:basedOn w:val="Normal"/>
    <w:next w:val="Normal"/>
    <w:uiPriority w:val="9"/>
    <w:qFormat/>
    <w:pPr>
      <w:keepNext/>
      <w:numPr>
        <w:ilvl w:val="2"/>
        <w:numId w:val="1"/>
      </w:numPr>
      <w:outlineLvl w:val="2"/>
    </w:pPr>
    <w:rPr>
      <w:i/>
      <w:iCs/>
    </w:rPr>
  </w:style>
  <w:style w:type="paragraph" w:styleId="Ttulo4">
    <w:name w:val="heading 4"/>
    <w:basedOn w:val="Normal"/>
    <w:next w:val="Normal"/>
    <w:uiPriority w:val="9"/>
    <w:qFormat/>
    <w:pPr>
      <w:keepNext/>
      <w:numPr>
        <w:ilvl w:val="3"/>
        <w:numId w:val="1"/>
      </w:numPr>
      <w:spacing w:before="240" w:after="60"/>
      <w:outlineLvl w:val="3"/>
    </w:pPr>
    <w:rPr>
      <w:i/>
      <w:iCs/>
      <w:sz w:val="18"/>
      <w:szCs w:val="18"/>
    </w:rPr>
  </w:style>
  <w:style w:type="paragraph" w:styleId="Ttulo5">
    <w:name w:val="heading 5"/>
    <w:basedOn w:val="Normal"/>
    <w:next w:val="Normal"/>
    <w:uiPriority w:val="9"/>
    <w:qFormat/>
    <w:pPr>
      <w:numPr>
        <w:ilvl w:val="4"/>
        <w:numId w:val="1"/>
      </w:numPr>
      <w:spacing w:before="240" w:after="60"/>
      <w:outlineLvl w:val="4"/>
    </w:pPr>
    <w:rPr>
      <w:sz w:val="18"/>
      <w:szCs w:val="18"/>
    </w:rPr>
  </w:style>
  <w:style w:type="paragraph" w:styleId="Ttulo6">
    <w:name w:val="heading 6"/>
    <w:basedOn w:val="Normal"/>
    <w:next w:val="Normal"/>
    <w:uiPriority w:val="9"/>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Fuentedeprrafopredeter"/>
    <w:rPr>
      <w:rFonts w:ascii="Times New Roman" w:hAnsi="Times New Roman" w:cs="Times New Roman"/>
      <w:i/>
      <w:iCs/>
      <w:sz w:val="22"/>
      <w:szCs w:val="22"/>
    </w:rPr>
  </w:style>
  <w:style w:type="paragraph" w:styleId="Ttulo">
    <w:name w:val="Title"/>
    <w:basedOn w:val="Normal"/>
    <w:next w:val="Normal"/>
    <w:link w:val="TtuloCar"/>
    <w:qFormat/>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basedOn w:val="Fuentedeprrafopredeter"/>
    <w:semiHidden/>
    <w:rPr>
      <w:vertAlign w:val="superscript"/>
    </w:rPr>
  </w:style>
  <w:style w:type="paragraph" w:styleId="Piedepgina">
    <w:name w:val="footer"/>
    <w:basedOn w:val="Normal"/>
    <w:link w:val="PiedepginaCar"/>
    <w:uiPriority w:val="99"/>
    <w:pPr>
      <w:tabs>
        <w:tab w:val="center" w:pos="4320"/>
        <w:tab w:val="right" w:pos="8640"/>
      </w:tabs>
    </w:pPr>
  </w:style>
  <w:style w:type="paragraph" w:customStyle="1" w:styleId="Text">
    <w:name w:val="Text"/>
    <w:basedOn w:val="Normal"/>
    <w:link w:val="TextC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pPr>
      <w:numPr>
        <w:numId w:val="0"/>
      </w:numPr>
    </w:pPr>
  </w:style>
  <w:style w:type="paragraph" w:styleId="Encabezado">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basedOn w:val="Fuentedeprrafopredeter"/>
    <w:rPr>
      <w:color w:val="0000FF"/>
      <w:u w:val="single"/>
    </w:rPr>
  </w:style>
  <w:style w:type="character" w:styleId="Hipervnculovisitado">
    <w:name w:val="FollowedHyperlink"/>
    <w:basedOn w:val="Fuentedeprrafopredeter"/>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basedOn w:val="Fuentedeprrafopredeter"/>
    <w:link w:val="Textodeglobo"/>
    <w:rsid w:val="00F33D49"/>
    <w:rPr>
      <w:rFonts w:ascii="Tahoma" w:hAnsi="Tahoma" w:cs="Tahoma"/>
      <w:sz w:val="16"/>
      <w:szCs w:val="16"/>
    </w:rPr>
  </w:style>
  <w:style w:type="character" w:styleId="Textodelmarcadordeposicin">
    <w:name w:val="Placeholder Text"/>
    <w:basedOn w:val="Fuentedeprrafopredeter"/>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Fuentedeprrafopredeter"/>
    <w:uiPriority w:val="99"/>
    <w:rsid w:val="00C82D86"/>
    <w:rPr>
      <w:rFonts w:ascii="Verdana" w:hAnsi="Verdana" w:cs="Verdana"/>
      <w:color w:val="000000"/>
      <w:sz w:val="22"/>
      <w:szCs w:val="22"/>
    </w:rPr>
  </w:style>
  <w:style w:type="character" w:customStyle="1" w:styleId="bodytype">
    <w:name w:val="body type"/>
    <w:basedOn w:val="Fuentedeprrafopredeter"/>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basedOn w:val="Fuentedeprrafopredeter"/>
    <w:link w:val="Ttulo1"/>
    <w:uiPriority w:val="9"/>
    <w:rsid w:val="003F52AD"/>
    <w:rPr>
      <w:smallCaps/>
      <w:kern w:val="28"/>
    </w:rPr>
  </w:style>
  <w:style w:type="character" w:customStyle="1" w:styleId="ReferenceHeadChar">
    <w:name w:val="Reference Head Char"/>
    <w:basedOn w:val="Ttulo1C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n">
    <w:name w:val="Revision"/>
    <w:hidden/>
    <w:uiPriority w:val="99"/>
    <w:semiHidden/>
    <w:rsid w:val="001B36B1"/>
  </w:style>
  <w:style w:type="character" w:customStyle="1" w:styleId="BodyText2">
    <w:name w:val="Body Text2"/>
    <w:basedOn w:val="Fuentedeprrafopredeter"/>
    <w:uiPriority w:val="99"/>
    <w:rsid w:val="001B36B1"/>
    <w:rPr>
      <w:rFonts w:ascii="Verdana" w:hAnsi="Verdana" w:cs="Verdana"/>
      <w:color w:val="000000"/>
      <w:sz w:val="22"/>
      <w:szCs w:val="22"/>
    </w:rPr>
  </w:style>
  <w:style w:type="character" w:customStyle="1" w:styleId="Ttulo2Car">
    <w:name w:val="Título 2 Car"/>
    <w:basedOn w:val="Fuentedeprrafopredete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Fuentedeprrafopredete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uiPriority w:val="99"/>
    <w:rsid w:val="00D90C10"/>
  </w:style>
  <w:style w:type="character" w:customStyle="1" w:styleId="TextonotapieCar">
    <w:name w:val="Texto nota pie Car"/>
    <w:basedOn w:val="Fuentedeprrafopredeter"/>
    <w:link w:val="Textonotapie"/>
    <w:semiHidden/>
    <w:rsid w:val="00C075EF"/>
    <w:rPr>
      <w:sz w:val="16"/>
      <w:szCs w:val="16"/>
    </w:rPr>
  </w:style>
  <w:style w:type="character" w:customStyle="1" w:styleId="SangradetextonormalCar">
    <w:name w:val="Sangría de texto normal Car"/>
    <w:basedOn w:val="Fuentedeprrafopredeter"/>
    <w:link w:val="Sangradetextonormal"/>
    <w:rsid w:val="003F26BD"/>
    <w:rPr>
      <w:szCs w:val="24"/>
    </w:rPr>
  </w:style>
  <w:style w:type="paragraph" w:customStyle="1" w:styleId="JCST-Title">
    <w:name w:val="JCST-Title"/>
    <w:basedOn w:val="Ttulo"/>
    <w:link w:val="JCST-TitleCar"/>
    <w:qFormat/>
    <w:rsid w:val="00D0145D"/>
    <w:pPr>
      <w:framePr w:w="0" w:hSpace="0" w:vSpace="0" w:wrap="auto" w:vAnchor="margin" w:hAnchor="text" w:xAlign="left" w:yAlign="inline"/>
    </w:pPr>
    <w:rPr>
      <w:b/>
    </w:rPr>
  </w:style>
  <w:style w:type="paragraph" w:customStyle="1" w:styleId="JCST-Authors">
    <w:name w:val="JCST-Authors"/>
    <w:basedOn w:val="Ttulo"/>
    <w:link w:val="JCST-AuthorsCar"/>
    <w:qFormat/>
    <w:rsid w:val="00D0145D"/>
    <w:pPr>
      <w:framePr w:w="0" w:hSpace="0" w:vSpace="0" w:wrap="auto" w:vAnchor="margin" w:hAnchor="text" w:xAlign="left" w:yAlign="inline"/>
      <w:spacing w:before="240" w:after="120"/>
    </w:pPr>
    <w:rPr>
      <w:b/>
      <w:sz w:val="28"/>
      <w:szCs w:val="28"/>
    </w:rPr>
  </w:style>
  <w:style w:type="character" w:customStyle="1" w:styleId="TtuloCar">
    <w:name w:val="Título Car"/>
    <w:basedOn w:val="Fuentedeprrafopredeter"/>
    <w:link w:val="Ttulo"/>
    <w:rsid w:val="00D0145D"/>
    <w:rPr>
      <w:kern w:val="28"/>
      <w:sz w:val="48"/>
      <w:szCs w:val="48"/>
    </w:rPr>
  </w:style>
  <w:style w:type="character" w:customStyle="1" w:styleId="JCST-TitleCar">
    <w:name w:val="JCST-Title Car"/>
    <w:basedOn w:val="TtuloCar"/>
    <w:link w:val="JCST-Title"/>
    <w:rsid w:val="00D0145D"/>
    <w:rPr>
      <w:b/>
      <w:kern w:val="28"/>
      <w:sz w:val="48"/>
      <w:szCs w:val="48"/>
    </w:rPr>
  </w:style>
  <w:style w:type="paragraph" w:customStyle="1" w:styleId="JCST-Abstract">
    <w:name w:val="JCST-Abstract"/>
    <w:basedOn w:val="Normal"/>
    <w:link w:val="JCST-AbstractCar"/>
    <w:qFormat/>
    <w:rsid w:val="00D662C1"/>
    <w:pPr>
      <w:jc w:val="center"/>
    </w:pPr>
  </w:style>
  <w:style w:type="character" w:customStyle="1" w:styleId="JCST-AuthorsCar">
    <w:name w:val="JCST-Authors Car"/>
    <w:basedOn w:val="TtuloCar"/>
    <w:link w:val="JCST-Authors"/>
    <w:rsid w:val="00D0145D"/>
    <w:rPr>
      <w:b/>
      <w:kern w:val="28"/>
      <w:sz w:val="28"/>
      <w:szCs w:val="28"/>
    </w:rPr>
  </w:style>
  <w:style w:type="paragraph" w:customStyle="1" w:styleId="JCST-Paragraph">
    <w:name w:val="JCST-Paragraph"/>
    <w:basedOn w:val="Text"/>
    <w:link w:val="JCST-ParagraphCar"/>
    <w:qFormat/>
    <w:rsid w:val="00D662C1"/>
    <w:pPr>
      <w:ind w:firstLine="144"/>
    </w:pPr>
  </w:style>
  <w:style w:type="character" w:customStyle="1" w:styleId="JCST-AbstractCar">
    <w:name w:val="JCST-Abstract Car"/>
    <w:basedOn w:val="Fuentedeprrafopredeter"/>
    <w:link w:val="JCST-Abstract"/>
    <w:rsid w:val="00D662C1"/>
  </w:style>
  <w:style w:type="paragraph" w:customStyle="1" w:styleId="-1">
    <w:name w:val="正文-1"/>
    <w:basedOn w:val="Normal"/>
    <w:link w:val="-1Char"/>
    <w:rsid w:val="00D662C1"/>
    <w:pPr>
      <w:ind w:firstLineChars="100" w:firstLine="100"/>
      <w:jc w:val="both"/>
    </w:pPr>
    <w:rPr>
      <w:sz w:val="21"/>
      <w:szCs w:val="18"/>
    </w:rPr>
  </w:style>
  <w:style w:type="character" w:customStyle="1" w:styleId="TextCar">
    <w:name w:val="Text Car"/>
    <w:basedOn w:val="Fuentedeprrafopredeter"/>
    <w:link w:val="Text"/>
    <w:rsid w:val="00D662C1"/>
  </w:style>
  <w:style w:type="character" w:customStyle="1" w:styleId="JCST-ParagraphCar">
    <w:name w:val="JCST-Paragraph Car"/>
    <w:basedOn w:val="TextCar"/>
    <w:link w:val="JCST-Paragraph"/>
    <w:rsid w:val="00D662C1"/>
  </w:style>
  <w:style w:type="character" w:customStyle="1" w:styleId="-1Char">
    <w:name w:val="正文-1 Char"/>
    <w:basedOn w:val="Fuentedeprrafopredeter"/>
    <w:link w:val="-1"/>
    <w:rsid w:val="00D662C1"/>
    <w:rPr>
      <w:sz w:val="21"/>
      <w:szCs w:val="18"/>
    </w:rPr>
  </w:style>
  <w:style w:type="table" w:styleId="Tablaconcuadrcula">
    <w:name w:val="Table Grid"/>
    <w:basedOn w:val="Tablanormal"/>
    <w:rsid w:val="005468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JCST-BR-TO">
    <w:name w:val="JCST-BR-TO"/>
    <w:basedOn w:val="JCST-Title"/>
    <w:link w:val="JCST-BR-TOCar"/>
    <w:qFormat/>
    <w:rsid w:val="00CE4457"/>
    <w:pPr>
      <w:jc w:val="left"/>
    </w:pPr>
    <w:rPr>
      <w:sz w:val="28"/>
      <w:szCs w:val="28"/>
    </w:rPr>
  </w:style>
  <w:style w:type="character" w:customStyle="1" w:styleId="JCST-BR-TOCar">
    <w:name w:val="JCST-BR-TO Car"/>
    <w:basedOn w:val="JCST-TitleCar"/>
    <w:link w:val="JCST-BR-TO"/>
    <w:rsid w:val="00CE4457"/>
    <w:rPr>
      <w:b/>
      <w:kern w:val="28"/>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header" Target="header1.xml"/><Relationship Id="rId111" Type="http://schemas.openxmlformats.org/officeDocument/2006/relationships/image" Target="media/overview_11.png"/><Relationship Id="rId124" Type="http://schemas.openxmlformats.org/officeDocument/2006/relationships/image" Target="media/overview_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936059-6977-48B4-9355-DE467242F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187</Words>
  <Characters>1032</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1217</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OpthaEdge for Diabetic Retinopathy Research Screening and Model Governance</dc:title>
  <dc:subject>IEEE Transactions on Magnetics</dc:subject>
  <dc:creator>Shamail Pawar; Faizan Mustafa Shaikh; Ayaan Shaikh</dc:creator>
  <cp:lastModifiedBy/>
  <cp:revision>6</cp:revision>
  <cp:lastPrinted>2012-08-02T18:53:00Z</cp:lastPrinted>
  <dcterms:created xsi:type="dcterms:W3CDTF">2018-08-22T15:06:00Z</dcterms:created>
  <dcterms:modified xsi:type="dcterms:W3CDTF">2019-04-27T21:51:00Z</dcterms:modified>
</cp:coreProperties>
</file>