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jc w:val="center"/>
      </w:pPr>
      <w:r>
        <w:rPr>
          <w:rFonts w:ascii="Times New Roman" w:hAnsi="Times New Roman"/>
          <w:b w:val="0"/>
          <w:i w:val="0"/>
          <w:color w:val="000000"/>
          <w:sz w:val="40"/>
        </w:rPr>
        <w:t>OpthaEdge for Diabetic Retinopathy</w:t>
        <w:br/>
        <w:t>Research Screening and Model Governance</w:t>
      </w:r>
    </w:p>
    <w:p>
      <w:pPr>
        <w:widowControl/>
        <w:jc w:val="center"/>
      </w:pPr>
      <w:r>
        <w:rPr>
          <w:rFonts w:ascii="Times New Roman" w:hAnsi="Times New Roman"/>
          <w:b w:val="0"/>
          <w:i w:val="0"/>
          <w:color w:val="000000"/>
          <w:sz w:val="22"/>
        </w:rPr>
        <w:t>Shamail Pawar, Faizan Mustafa Shaikh and Ayaan Shaikh</w:t>
      </w:r>
    </w:p>
    <w:p>
      <w:pPr>
        <w:widowControl/>
        <w:jc w:val="center"/>
      </w:pPr>
      <w:r>
        <w:rPr>
          <w:rFonts w:ascii="Times New Roman" w:hAnsi="Times New Roman"/>
          <w:b w:val="0"/>
          <w:i w:val="0"/>
          <w:color w:val="000000"/>
          <w:sz w:val="20"/>
        </w:rPr>
        <w:t>Department of Electronics &amp; Computer Science Engineering</w:t>
        <w:br/>
        <w:t>Vidyalankar Institute of Technology, Mumbai, India</w:t>
      </w:r>
    </w:p>
    <w:p>
      <w:pPr>
        <w:widowControl/>
        <w:jc w:val="center"/>
      </w:pPr>
      <w:r>
        <w:rPr>
          <w:rFonts w:ascii="Times New Roman" w:hAnsi="Times New Roman"/>
          <w:b w:val="0"/>
          <w:i w:val="0"/>
          <w:color w:val="000000"/>
          <w:sz w:val="18"/>
        </w:rPr>
        <w:t>shamail.pawar@vit.edu.in   |   faizanmustaffa.shaikh@vit.edu.in   |   ayaan.shaikh24@vit.edu.in</w:t>
      </w:r>
    </w:p>
    <w:p>
      <w:pPr>
        <w:sectPr>
          <w:pgSz w:w="12240" w:h="15840"/>
          <w:pgMar w:top="1080" w:right="907" w:bottom="1440" w:left="907" w:header="720" w:footer="720" w:gutter="0"/>
          <w:cols w:num="1" w:space="240"/>
          <w:docGrid w:linePitch="360"/>
        </w:sectPr>
      </w:pPr>
    </w:p>
    <w:p>
      <w:pPr>
        <w:widowControl/>
        <w:jc w:val="both"/>
      </w:pPr>
      <w:r>
        <w:rPr>
          <w:rFonts w:ascii="Times New Roman" w:hAnsi="Times New Roman"/>
          <w:b/>
          <w:i w:val="0"/>
          <w:color w:val="000000"/>
          <w:sz w:val="18"/>
        </w:rPr>
        <w:t>Abstract. OpthaEdge is a research-stage web platform for reviewing diabetic retinopathy model outputs from fundus photographs. This paper describes its implemented inference workflow, patient-record foundation and model-governance boundaries. A Next.js application accepts JPEG or PNG uploads, validates file content, applies task-specific preprocessing and executes one of two local ONNX artifacts on the CPU. The binary path uses 224 x 224 inputs and two output logits; the severity path uses 299 x 299 inputs and five logits. A registry associates each response with artifact and preprocessing versions while recording unresolved validation requirements. A separate organization-scoped data-access layer supports synthetic development patient records. Technical verification comprised 12 existing unit tests and nine local HTTP checks, all of which passed, together with successful static type and lint checks. The HTTP checks included two executions on a generated non-retinal image, so they establish runtime operation rather than diagnostic performance. Training provenance, verified label order, clinical test data and calibration evidence remain unavailable. OpthaEdge therefore provides an inspectable research integration, with clinical accuracy and deployment suitability left unestablished.</w:t>
      </w:r>
    </w:p>
    <w:p>
      <w:pPr>
        <w:widowControl/>
        <w:jc w:val="both"/>
      </w:pPr>
      <w:r>
        <w:rPr>
          <w:rFonts w:ascii="Times New Roman" w:hAnsi="Times New Roman"/>
          <w:b w:val="0"/>
          <w:i/>
          <w:color w:val="000000"/>
          <w:sz w:val="18"/>
        </w:rPr>
        <w:t>Keywords: diabetic retinopathy; ONNX inference; fundus imaging; research software; model governance; patient records.</w:t>
      </w:r>
    </w:p>
    <w:p>
      <w:pPr>
        <w:pStyle w:val="Heading1"/>
        <w:widowControl/>
        <w:jc w:val="center"/>
      </w:pPr>
      <w:r>
        <w:rPr>
          <w:rFonts w:ascii="Times New Roman" w:hAnsi="Times New Roman"/>
          <w:b w:val="0"/>
          <w:i w:val="0"/>
          <w:color w:val="000000"/>
        </w:rPr>
        <w:t>I  INTRODUCTION</w:t>
      </w:r>
    </w:p>
    <w:p>
      <w:pPr>
        <w:widowControl/>
        <w:jc w:val="both"/>
      </w:pPr>
      <w:r>
        <w:rPr>
          <w:rFonts w:ascii="Times New Roman" w:hAnsi="Times New Roman"/>
          <w:b w:val="0"/>
          <w:i w:val="0"/>
          <w:color w:val="000000"/>
        </w:rPr>
        <w:t>Diabetic retinopathy (DR) affects retinal blood vessels and can threaten vision. Early disease may be asymptomatic, which makes regular eye assessment important [1]. Deep learning has enabled automated analysis of retinal photographs, but a model that executes successfully is not necessarily a dependable screening system. The surrounding software must preserve the meaning of its input, output and intended use.</w:t>
      </w:r>
    </w:p>
    <w:p>
      <w:pPr>
        <w:widowControl/>
        <w:jc w:val="both"/>
      </w:pPr>
      <w:r>
        <w:rPr>
          <w:rFonts w:ascii="Times New Roman" w:hAnsi="Times New Roman"/>
          <w:b w:val="0"/>
          <w:i w:val="0"/>
          <w:color w:val="000000"/>
        </w:rPr>
        <w:t>Published DR studies have evaluated algorithms against expert reference standards and independent image collections [2], [3]. Prospective work has also examined autonomous screening in primary-care settings [4]. These results depend on the specific model, study population, imaging procedure and decision threshold. They cannot be transferred to an unrelated model artifact simply because it uses a similar architecture or produces the same number of classes.</w:t>
      </w:r>
    </w:p>
    <w:p>
      <w:pPr>
        <w:widowControl/>
        <w:jc w:val="both"/>
      </w:pPr>
      <w:r>
        <w:rPr>
          <w:rFonts w:ascii="Times New Roman" w:hAnsi="Times New Roman"/>
          <w:b w:val="0"/>
          <w:i w:val="0"/>
          <w:color w:val="000000"/>
        </w:rPr>
        <w:t>OpthaEdge addresses the integration layer between exported models and a research interface. Its current implementation combines two server-side inference paths, explicit model metadata, structured errors and a development patient-record workflow. This paper documents that implementation and tests its technical behavior. It does not introduce a newly trained classifier or report a clinical diagnostic-accuracy study.</w:t>
      </w:r>
    </w:p>
    <w:p>
      <w:pPr>
        <w:widowControl/>
        <w:jc w:val="both"/>
      </w:pPr>
      <w:r>
        <w:rPr>
          <w:rFonts w:ascii="Times New Roman" w:hAnsi="Times New Roman"/>
          <w:b w:val="0"/>
          <w:i w:val="0"/>
          <w:color w:val="000000"/>
        </w:rPr>
        <w:t>The contribution is an inspectable system description: a traceable path from uploaded bytes to decoded model scores, a clear separation between implemented and deferred clinical functions, and reproducible checks of selected software boundaries. Keeping these boundaries visible is necessary when training records and clinical validation packages are incomplete.</w:t>
      </w:r>
    </w:p>
    <w:p>
      <w:pPr>
        <w:pStyle w:val="Heading1"/>
        <w:widowControl/>
        <w:jc w:val="center"/>
      </w:pPr>
      <w:r>
        <w:rPr>
          <w:rFonts w:ascii="Times New Roman" w:hAnsi="Times New Roman"/>
          <w:b w:val="0"/>
          <w:i w:val="0"/>
          <w:color w:val="000000"/>
        </w:rPr>
        <w:t>II  RELATED WORK</w:t>
      </w:r>
    </w:p>
    <w:p>
      <w:pPr>
        <w:widowControl/>
        <w:jc w:val="both"/>
      </w:pPr>
      <w:r>
        <w:rPr>
          <w:rFonts w:ascii="Times New Roman" w:hAnsi="Times New Roman"/>
          <w:b w:val="0"/>
          <w:i w:val="0"/>
          <w:color w:val="000000"/>
        </w:rPr>
        <w:t>Gulshan et al. evaluated deep learning for detecting referable DR using retinal photographs and separate validation datasets [2]. Ting et al. examined a deep learning system across multiethnic populations and multiple eye-disease tasks [3]. These studies establish the importance of independent evaluation and explicit target definitions. OpthaEdge has neither an equivalent reference-standard dataset nor evidence that its artifacts reproduce those systems.</w:t>
      </w:r>
    </w:p>
    <w:p>
      <w:pPr>
        <w:widowControl/>
        <w:jc w:val="both"/>
      </w:pPr>
      <w:r>
        <w:rPr>
          <w:rFonts w:ascii="Times New Roman" w:hAnsi="Times New Roman"/>
          <w:b w:val="0"/>
          <w:i w:val="0"/>
          <w:color w:val="000000"/>
        </w:rPr>
        <w:t>Abramoff et al. studied an autonomous DR system prospectively in primary-care offices [4]. That study illustrates the additional evidence needed beyond retrospective image classification: defined enrollment, imaging procedures, reference grading and prespecified endpoints. The present work is limited to software integration and verification, so a numerical comparison with those clinical studies would not be meaningful.</w:t>
      </w:r>
    </w:p>
    <w:p>
      <w:pPr>
        <w:widowControl/>
        <w:jc w:val="both"/>
      </w:pPr>
      <w:r>
        <w:rPr>
          <w:rFonts w:ascii="Times New Roman" w:hAnsi="Times New Roman"/>
          <w:b w:val="0"/>
          <w:i w:val="0"/>
          <w:color w:val="000000"/>
        </w:rPr>
        <w:t>The severity artifact is identified in the project as InceptionV3. Szegedy et al. describe the underlying Inception architecture family [5], but an architecture name does not establish the origin, training procedure or performance of a particular exported file. Similarly, Guo et al. show why normalized neural-network scores require separate calibration assessment [6]. OpthaEdge exposes softmax scores without evidence that they estimate clinical correctness.</w:t>
      </w:r>
    </w:p>
    <w:p>
      <w:pPr>
        <w:widowControl/>
        <w:jc w:val="both"/>
      </w:pPr>
      <w:r>
        <w:rPr>
          <w:rFonts w:ascii="Times New Roman" w:hAnsi="Times New Roman"/>
          <w:b w:val="0"/>
          <w:i w:val="0"/>
          <w:color w:val="000000"/>
        </w:rPr>
        <w:t>Reporting guidance provides a useful framework for future evaluation. CLAIM emphasizes transparent reporting of medical-imaging AI methods and assessment [7], while TRIPOD+AI addresses prediction-model reporting [8]. These documents inform the proposed validation plan; this implementation report does not claim completion of a clinical reporting checklist.</w:t>
      </w:r>
    </w:p>
    <w:p>
      <w:pPr>
        <w:pStyle w:val="Heading1"/>
        <w:widowControl/>
        <w:jc w:val="center"/>
      </w:pPr>
      <w:r>
        <w:rPr>
          <w:rFonts w:ascii="Times New Roman" w:hAnsi="Times New Roman"/>
          <w:b w:val="0"/>
          <w:i w:val="0"/>
          <w:color w:val="000000"/>
        </w:rPr>
        <w:t>III  SYSTEM ARCHITECTURE</w:t>
      </w:r>
    </w:p>
    <w:p>
      <w:pPr>
        <w:pStyle w:val="Heading2"/>
        <w:widowControl/>
        <w:jc w:val="left"/>
      </w:pPr>
      <w:r>
        <w:rPr>
          <w:rFonts w:ascii="Times New Roman" w:hAnsi="Times New Roman"/>
          <w:b w:val="0"/>
          <w:i/>
          <w:color w:val="000000"/>
        </w:rPr>
        <w:t>A  Application and inference services</w:t>
      </w:r>
    </w:p>
    <w:p>
      <w:pPr>
        <w:widowControl/>
        <w:jc w:val="both"/>
      </w:pPr>
      <w:r>
        <w:rPr>
          <w:rFonts w:ascii="Times New Roman" w:hAnsi="Times New Roman"/>
          <w:b w:val="0"/>
          <w:i w:val="0"/>
          <w:color w:val="000000"/>
        </w:rPr>
        <w:t>Figure 1 separates the two implemented application paths. The web application uses Next.js 16.2.1, React 19.2.4 and TypeScript. A client screening component holds the selected task, uploaded file, request state and returned result. The POST /api/predict route runs in the Node.js runtime and invokes server-only preprocessing and inference modules. ONNX Runtime provides the Node.js binding for local model execution [9].</w:t>
      </w:r>
    </w:p>
    <w:p>
      <w:pPr>
        <w:keepNext/>
        <w:spacing w:after="60"/>
        <w:jc w:val="center"/>
      </w:pPr>
      <w:r>
        <w:drawing>
          <wp:inline xmlns:a="http://schemas.openxmlformats.org/drawingml/2006/main" xmlns:pic="http://schemas.openxmlformats.org/drawingml/2006/picture">
            <wp:extent cx="3200400" cy="3200400"/>
            <wp:docPr id="1" name="Picture 1" descr="Fig. 1. Implemented application architecture and explicitly planned services. Research inference does not pass through patient authorization or persist to patient records."/>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3200400" cy="3200400"/>
                    </a:xfrm>
                    <a:prstGeom prst="rect"/>
                  </pic:spPr>
                </pic:pic>
              </a:graphicData>
            </a:graphic>
          </wp:inline>
        </w:drawing>
      </w:r>
    </w:p>
    <w:p>
      <w:pPr>
        <w:pStyle w:val="Caption"/>
        <w:keepLines/>
        <w:widowControl/>
        <w:jc w:val="left"/>
      </w:pPr>
      <w:r>
        <w:rPr>
          <w:rFonts w:ascii="Times New Roman" w:hAnsi="Times New Roman"/>
          <w:b w:val="0"/>
          <w:i w:val="0"/>
          <w:color w:val="000000"/>
          <w:sz w:val="17"/>
        </w:rPr>
        <w:t>Fig. 1. Implemented application architecture and explicitly planned services. Research inference does not pass through patient authorization or persist to patient records.</w:t>
      </w:r>
    </w:p>
    <w:p>
      <w:pPr>
        <w:widowControl/>
        <w:jc w:val="both"/>
      </w:pPr>
      <w:r>
        <w:rPr>
          <w:rFonts w:ascii="Times New Roman" w:hAnsi="Times New Roman"/>
          <w:b w:val="0"/>
          <w:i w:val="0"/>
          <w:color w:val="000000"/>
        </w:rPr>
        <w:t>Each model loader reads a local artifact and lazily initializes a CPU inference session with graph optimization enabled. The session and its initialization promise are cached per process, preventing redundant initialization during concurrent first use. A failed initialization clears the pending promise so a later request can attempt loading again. This design avoids a mandatory external inference service, but does not establish edge-device performance or offline operation of the complete platform.</w:t>
      </w:r>
    </w:p>
    <w:p>
      <w:pPr>
        <w:pStyle w:val="Heading2"/>
        <w:widowControl/>
        <w:jc w:val="left"/>
      </w:pPr>
      <w:r>
        <w:rPr>
          <w:rFonts w:ascii="Times New Roman" w:hAnsi="Times New Roman"/>
          <w:b w:val="0"/>
          <w:i/>
          <w:color w:val="000000"/>
        </w:rPr>
        <w:t>B  Model registry and deployment state</w:t>
      </w:r>
    </w:p>
    <w:p>
      <w:pPr>
        <w:widowControl/>
        <w:jc w:val="both"/>
      </w:pPr>
      <w:r>
        <w:rPr>
          <w:rFonts w:ascii="Times New Roman" w:hAnsi="Times New Roman"/>
          <w:b w:val="0"/>
          <w:i w:val="0"/>
          <w:color w:val="000000"/>
        </w:rPr>
        <w:t>The registry contains artifact identifiers, SHA-256 versions, input dimensions, assumed label order, preprocessing versions and known limitations. Both entries carry a blocked-pending-validation clinical deployment status. The registry explicitly marks label order, thresholds and correspondence to training preprocessing as unverified, with no validation dataset or metrics attached. Each successful result includes model and preprocessing identity.</w:t>
      </w:r>
    </w:p>
    <w:p>
      <w:pPr>
        <w:widowControl/>
        <w:jc w:val="both"/>
      </w:pPr>
      <w:r>
        <w:rPr>
          <w:rFonts w:ascii="Times New Roman" w:hAnsi="Times New Roman"/>
          <w:b w:val="0"/>
          <w:i w:val="0"/>
          <w:color w:val="000000"/>
        </w:rPr>
        <w:t>The deployment status is descriptive metadata. The current prediction route does not enforce a model-approval gate, authenticate the caller or check patient consent. Research inference remains callable even when clinical deployment is marked blocked. The registry hashes were verified against the two artifact files during this assessment; the runtime loader does not itself recompute and enforce those hashes.</w:t>
      </w:r>
    </w:p>
    <w:p>
      <w:pPr>
        <w:keepNext/>
        <w:widowControl/>
        <w:jc w:val="center"/>
      </w:pPr>
      <w:r>
        <w:rPr>
          <w:rFonts w:ascii="Times New Roman" w:hAnsi="Times New Roman"/>
          <w:b w:val="0"/>
          <w:i w:val="0"/>
          <w:color w:val="000000"/>
          <w:sz w:val="17"/>
        </w:rPr>
        <w:t>TABLE I  IMPLEMENTED MODEL CONTRACTS</w:t>
      </w:r>
    </w:p>
    <w:tbl>
      <w:tblPr>
        <w:tblW w:type="auto" w:w="0"/>
        <w:tblLayout w:type="fixed"/>
        <w:tblLook w:firstColumn="1" w:firstRow="1" w:lastColumn="0" w:lastRow="0" w:noHBand="0" w:noVBand="1" w:val="04A0"/>
      </w:tblPr>
      <w:tblGrid>
        <w:gridCol w:w="1195"/>
        <w:gridCol w:w="1800"/>
        <w:gridCol w:w="2045"/>
      </w:tblGrid>
      <w:tr>
        <w:trPr>
          <w:cantSplit/>
          <w:tblHeader/>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Property</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Binary task</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Severity task</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Artifact</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retinal_binary_</w:t>
              <w:br/>
              <w:t>model.onnx</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inceptionv3.onnx</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Input tensor</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[1, 3, 224, 224]</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[1, 3, 299, 299]</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Output values</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2 float32 logits</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5 float32 logits</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Decision</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DR score &gt;= 0.5</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Maximum-score label</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Label order</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No DR; DR Detected</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No DR; Mild; Moderate; Severe; Proliferative</w:t>
            </w:r>
          </w:p>
        </w:tc>
      </w:tr>
      <w:tr>
        <w:trPr>
          <w:cantSplit/>
        </w:trPr>
        <w:tc>
          <w:tcPr>
            <w:tcW w:type="dxa" w:w="119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Validation</w:t>
            </w:r>
          </w:p>
        </w:tc>
        <w:tc>
          <w:tcPr>
            <w:tcW w:type="dxa" w:w="180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Pending</w:t>
            </w:r>
          </w:p>
        </w:tc>
        <w:tc>
          <w:tcPr>
            <w:tcW w:type="dxa" w:w="20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Pending</w:t>
            </w:r>
          </w:p>
        </w:tc>
      </w:tr>
    </w:tbl>
    <w:p>
      <w:pPr>
        <w:widowControl/>
        <w:spacing w:after="20"/>
        <w:jc w:val="both"/>
      </w:pPr>
      <w:r>
        <w:rPr>
          <w:rFonts w:ascii="Times New Roman" w:hAnsi="Times New Roman"/>
          <w:b w:val="0"/>
          <w:i w:val="0"/>
          <w:color w:val="000000"/>
        </w:rPr>
      </w:r>
    </w:p>
    <w:p>
      <w:pPr>
        <w:pStyle w:val="Heading1"/>
        <w:widowControl/>
        <w:jc w:val="center"/>
      </w:pPr>
      <w:r>
        <w:rPr>
          <w:rFonts w:ascii="Times New Roman" w:hAnsi="Times New Roman"/>
          <w:b w:val="0"/>
          <w:i w:val="0"/>
          <w:color w:val="000000"/>
        </w:rPr>
        <w:t>IV  INFERENCE METHODOLOGY</w:t>
      </w:r>
    </w:p>
    <w:p>
      <w:pPr>
        <w:pStyle w:val="Heading2"/>
        <w:widowControl/>
        <w:jc w:val="left"/>
      </w:pPr>
      <w:r>
        <w:rPr>
          <w:rFonts w:ascii="Times New Roman" w:hAnsi="Times New Roman"/>
          <w:b w:val="0"/>
          <w:i/>
          <w:color w:val="000000"/>
        </w:rPr>
        <w:t>A  Input validation</w:t>
      </w:r>
    </w:p>
    <w:p>
      <w:pPr>
        <w:widowControl/>
        <w:jc w:val="both"/>
      </w:pPr>
      <w:r>
        <w:rPr>
          <w:rFonts w:ascii="Times New Roman" w:hAnsi="Times New Roman"/>
          <w:b w:val="0"/>
          <w:i w:val="0"/>
          <w:color w:val="000000"/>
        </w:rPr>
        <w:t>The route requires a file in the image field and an explicit binary or severity mode. It rejects an empty file and files larger than 10 x 1024 x 1024 bytes. JPEG and PNG signatures are checked against the declared MIME type; image/jpg is accepted as a JPEG alias. Sharp inspects dimensions with a 50-million-pixel processing limit. Missing dimensions or decoding failures produce a structured error before model execution.</w:t>
      </w:r>
    </w:p>
    <w:p>
      <w:pPr>
        <w:widowControl/>
        <w:jc w:val="both"/>
      </w:pPr>
      <w:r>
        <w:rPr>
          <w:rFonts w:ascii="Times New Roman" w:hAnsi="Times New Roman"/>
          <w:b w:val="0"/>
          <w:i w:val="0"/>
          <w:color w:val="000000"/>
        </w:rPr>
        <w:t>These checks concern byte format and resource handling. They do not establish that an image depicts a retina, has adequate field of view or is clinically gradable. The upload-size test occurs after multipart parsing, so it should not be described as a complete transport-level denial-of-service defense. No automated image-quality classifier is present.</w:t>
      </w:r>
    </w:p>
    <w:p>
      <w:pPr>
        <w:pStyle w:val="Heading2"/>
        <w:widowControl/>
        <w:jc w:val="left"/>
      </w:pPr>
      <w:r>
        <w:rPr>
          <w:rFonts w:ascii="Times New Roman" w:hAnsi="Times New Roman"/>
          <w:b w:val="0"/>
          <w:i/>
          <w:color w:val="000000"/>
        </w:rPr>
        <w:t>B  Task-specific preprocessing</w:t>
      </w:r>
    </w:p>
    <w:p>
      <w:pPr>
        <w:widowControl/>
        <w:jc w:val="both"/>
      </w:pPr>
      <w:r>
        <w:rPr>
          <w:rFonts w:ascii="Times New Roman" w:hAnsi="Times New Roman"/>
          <w:b w:val="0"/>
          <w:i w:val="0"/>
          <w:color w:val="000000"/>
        </w:rPr>
        <w:t>Figure 2 shows the separate preprocessing branches. Both use Sharp cover resizing and remove an alpha channel before converting interleaved pixel values into channel-first float32 tensors. Cover resizing can crop image edges; it is not a lesion-aware crop or an explicit black-border-removal algorithm. No training augmentation, Gaussian-blur enhancement or model fine-tuning is implemented in this inference pipeline.</w:t>
      </w:r>
    </w:p>
    <w:p>
      <w:pPr>
        <w:widowControl/>
        <w:jc w:val="both"/>
      </w:pPr>
      <w:r>
        <w:rPr>
          <w:rFonts w:ascii="Times New Roman" w:hAnsi="Times New Roman"/>
          <w:b w:val="0"/>
          <w:color w:val="000000"/>
          <w:sz w:val="20"/>
        </w:rPr>
        <w:t xml:space="preserve">For the binary path, an 8-bit channel value v is transformed as </w:t>
      </w:r>
      <w:r>
        <w:rPr>
          <w:rFonts w:ascii="Times New Roman" w:hAnsi="Times New Roman"/>
          <w:b w:val="0"/>
          <w:i/>
          <w:color w:val="000000"/>
          <w:sz w:val="20"/>
        </w:rPr>
        <w:t>x</w:t>
      </w:r>
      <w:r>
        <w:rPr>
          <w:rFonts w:ascii="Times New Roman" w:hAnsi="Times New Roman"/>
          <w:b w:val="0"/>
          <w:color w:val="000000"/>
          <w:sz w:val="20"/>
          <w:vertAlign w:val="subscript"/>
        </w:rPr>
        <w:t>c</w:t>
      </w:r>
      <w:r>
        <w:rPr>
          <w:rFonts w:ascii="Times New Roman" w:hAnsi="Times New Roman"/>
          <w:b w:val="0"/>
          <w:color w:val="000000"/>
          <w:sz w:val="20"/>
        </w:rPr>
        <w:t xml:space="preserve"> = (v / 255 - </w:t>
      </w:r>
      <w:r>
        <w:rPr>
          <w:rFonts w:ascii="Times New Roman" w:hAnsi="Times New Roman"/>
          <w:b w:val="0"/>
          <w:i/>
          <w:color w:val="000000"/>
          <w:sz w:val="20"/>
        </w:rPr>
        <w:t>μ</w:t>
      </w:r>
      <w:r>
        <w:rPr>
          <w:rFonts w:ascii="Times New Roman" w:hAnsi="Times New Roman"/>
          <w:b w:val="0"/>
          <w:color w:val="000000"/>
          <w:sz w:val="20"/>
          <w:vertAlign w:val="subscript"/>
        </w:rPr>
        <w:t>c</w:t>
      </w:r>
      <w:r>
        <w:rPr>
          <w:rFonts w:ascii="Times New Roman" w:hAnsi="Times New Roman"/>
          <w:b w:val="0"/>
          <w:color w:val="000000"/>
          <w:sz w:val="20"/>
        </w:rPr>
        <w:t xml:space="preserve">) / </w:t>
      </w:r>
      <w:r>
        <w:rPr>
          <w:rFonts w:ascii="Times New Roman" w:hAnsi="Times New Roman"/>
          <w:b w:val="0"/>
          <w:i/>
          <w:color w:val="000000"/>
          <w:sz w:val="20"/>
        </w:rPr>
        <w:t>σ</w:t>
      </w:r>
      <w:r>
        <w:rPr>
          <w:rFonts w:ascii="Times New Roman" w:hAnsi="Times New Roman"/>
          <w:b w:val="0"/>
          <w:color w:val="000000"/>
          <w:sz w:val="20"/>
          <w:vertAlign w:val="subscript"/>
        </w:rPr>
        <w:t>c</w:t>
      </w:r>
      <w:r>
        <w:rPr>
          <w:rFonts w:ascii="Times New Roman" w:hAnsi="Times New Roman"/>
          <w:b w:val="0"/>
          <w:color w:val="000000"/>
          <w:sz w:val="20"/>
        </w:rPr>
        <w:t>, where μ = (0.485, 0.456, 0.406) and σ = (0.229, 0.224, 0.225). The resulting tensor has dimensions [1, 3, 224, 224]. The severity path uses x = v / 127.5 - 1 and dimensions [1, 3, 299, 299]. These are the implemented transformations, not verified reconstructions of the training pipelines.</w:t>
      </w:r>
    </w:p>
    <w:p>
      <w:pPr>
        <w:widowControl/>
        <w:jc w:val="both"/>
      </w:pPr>
      <w:r>
        <w:rPr>
          <w:rFonts w:ascii="Times New Roman" w:hAnsi="Times New Roman"/>
          <w:b w:val="0"/>
          <w:i w:val="0"/>
          <w:color w:val="000000"/>
        </w:rPr>
        <w:t>The preprocessing functions assume three color channels but do not explicitly convert every decoded color space to RGB. File acceptance therefore does not guarantee compatibility for grayscale or unusual-color-space images. This requires additional testing and an explicit color-conversion policy before broader deployment.</w:t>
      </w:r>
    </w:p>
    <w:p>
      <w:pPr>
        <w:keepNext/>
        <w:spacing w:after="60"/>
        <w:jc w:val="center"/>
      </w:pPr>
      <w:r>
        <w:drawing>
          <wp:inline xmlns:a="http://schemas.openxmlformats.org/drawingml/2006/main" xmlns:pic="http://schemas.openxmlformats.org/drawingml/2006/picture">
            <wp:extent cx="3200400" cy="3093720"/>
            <wp:docPr id="2" name="Picture 2" descr="Fig. 2. Task-specific preprocessing and decoding. Both branches assume three-channel inputs; the relationship to original model training remains unverified."/>
            <wp:cNvGraphicFramePr>
              <a:graphicFrameLocks noChangeAspect="1"/>
            </wp:cNvGraphicFramePr>
            <a:graphic>
              <a:graphicData uri="http://schemas.openxmlformats.org/drawingml/2006/picture">
                <pic:pic>
                  <pic:nvPicPr>
                    <pic:cNvPr id="0" name="inference.png"/>
                    <pic:cNvPicPr/>
                  </pic:nvPicPr>
                  <pic:blipFill>
                    <a:blip r:embed="rId9"/>
                    <a:stretch>
                      <a:fillRect/>
                    </a:stretch>
                  </pic:blipFill>
                  <pic:spPr>
                    <a:xfrm>
                      <a:off x="0" y="0"/>
                      <a:ext cx="3200400" cy="3093720"/>
                    </a:xfrm>
                    <a:prstGeom prst="rect"/>
                  </pic:spPr>
                </pic:pic>
              </a:graphicData>
            </a:graphic>
          </wp:inline>
        </w:drawing>
      </w:r>
    </w:p>
    <w:p>
      <w:pPr>
        <w:pStyle w:val="Caption"/>
        <w:keepLines/>
        <w:widowControl/>
        <w:jc w:val="left"/>
      </w:pPr>
      <w:r>
        <w:rPr>
          <w:rFonts w:ascii="Times New Roman" w:hAnsi="Times New Roman"/>
          <w:b w:val="0"/>
          <w:i w:val="0"/>
          <w:color w:val="000000"/>
          <w:sz w:val="17"/>
        </w:rPr>
        <w:t>Fig. 2. Task-specific preprocessing and decoding. Both branches assume three-channel inputs; the relationship to original model training remains unverified.</w:t>
      </w:r>
    </w:p>
    <w:p>
      <w:pPr>
        <w:pStyle w:val="Heading2"/>
        <w:widowControl/>
        <w:jc w:val="left"/>
      </w:pPr>
      <w:r>
        <w:rPr>
          <w:rFonts w:ascii="Times New Roman" w:hAnsi="Times New Roman"/>
          <w:b w:val="0"/>
          <w:i/>
          <w:color w:val="000000"/>
        </w:rPr>
        <w:t>C  Output decoding and result semantics</w:t>
      </w:r>
    </w:p>
    <w:p>
      <w:pPr>
        <w:widowControl/>
        <w:jc w:val="both"/>
      </w:pPr>
      <w:r>
        <w:rPr>
          <w:rFonts w:ascii="Times New Roman" w:hAnsi="Times New Roman"/>
          <w:b w:val="0"/>
          <w:color w:val="000000"/>
          <w:sz w:val="20"/>
        </w:rPr>
        <w:t xml:space="preserve">The inference module requires a Float32Array output. Decoders check that it contains exactly two or five finite values before normalization. They validate element count, rather than every tensor-axis dimension. For logits </w:t>
      </w:r>
      <w:r>
        <w:rPr>
          <w:rFonts w:ascii="Times New Roman" w:hAnsi="Times New Roman"/>
          <w:b w:val="0"/>
          <w:i/>
          <w:color w:val="000000"/>
          <w:sz w:val="20"/>
        </w:rPr>
        <w:t>z</w:t>
      </w:r>
      <w:r>
        <w:rPr>
          <w:rFonts w:ascii="Times New Roman" w:hAnsi="Times New Roman"/>
          <w:b w:val="0"/>
          <w:color w:val="000000"/>
          <w:sz w:val="20"/>
          <w:vertAlign w:val="subscript"/>
        </w:rPr>
        <w:t>k</w:t>
      </w:r>
      <w:r>
        <w:rPr>
          <w:rFonts w:ascii="Times New Roman" w:hAnsi="Times New Roman"/>
          <w:b w:val="0"/>
          <w:color w:val="000000"/>
          <w:sz w:val="20"/>
        </w:rPr>
        <w:t xml:space="preserve">, stable softmax computes </w:t>
      </w:r>
      <w:r>
        <w:rPr>
          <w:rFonts w:ascii="Times New Roman" w:hAnsi="Times New Roman"/>
          <w:b w:val="0"/>
          <w:i/>
          <w:color w:val="000000"/>
          <w:sz w:val="20"/>
        </w:rPr>
        <w:t>p</w:t>
      </w:r>
      <w:r>
        <w:rPr>
          <w:rFonts w:ascii="Times New Roman" w:hAnsi="Times New Roman"/>
          <w:b w:val="0"/>
          <w:color w:val="000000"/>
          <w:sz w:val="20"/>
          <w:vertAlign w:val="subscript"/>
        </w:rPr>
        <w:t>k</w:t>
      </w:r>
      <w:r>
        <w:rPr>
          <w:rFonts w:ascii="Times New Roman" w:hAnsi="Times New Roman"/>
          <w:b w:val="0"/>
          <w:color w:val="000000"/>
          <w:sz w:val="20"/>
        </w:rPr>
        <w:t xml:space="preserve"> = exp(</w:t>
      </w:r>
      <w:r>
        <w:rPr>
          <w:rFonts w:ascii="Times New Roman" w:hAnsi="Times New Roman"/>
          <w:b w:val="0"/>
          <w:i/>
          <w:color w:val="000000"/>
          <w:sz w:val="20"/>
        </w:rPr>
        <w:t>z</w:t>
      </w:r>
      <w:r>
        <w:rPr>
          <w:rFonts w:ascii="Times New Roman" w:hAnsi="Times New Roman"/>
          <w:b w:val="0"/>
          <w:color w:val="000000"/>
          <w:sz w:val="20"/>
          <w:vertAlign w:val="subscript"/>
        </w:rPr>
        <w:t>k</w:t>
      </w:r>
      <w:r>
        <w:rPr>
          <w:rFonts w:ascii="Times New Roman" w:hAnsi="Times New Roman"/>
          <w:b w:val="0"/>
          <w:color w:val="000000"/>
          <w:sz w:val="20"/>
        </w:rPr>
        <w:t xml:space="preserve"> - m) / </w:t>
      </w:r>
      <w:r>
        <w:rPr>
          <w:rFonts w:ascii="Times New Roman" w:hAnsi="Times New Roman"/>
          <w:b w:val="0"/>
          <w:i/>
          <w:color w:val="000000"/>
          <w:sz w:val="20"/>
        </w:rPr>
        <w:t>Σ</w:t>
      </w:r>
      <w:r>
        <w:rPr>
          <w:rFonts w:ascii="Times New Roman" w:hAnsi="Times New Roman"/>
          <w:b w:val="0"/>
          <w:color w:val="000000"/>
          <w:sz w:val="20"/>
          <w:vertAlign w:val="subscript"/>
        </w:rPr>
        <w:t>j</w:t>
      </w:r>
      <w:r>
        <w:rPr>
          <w:rFonts w:ascii="Times New Roman" w:hAnsi="Times New Roman"/>
          <w:b w:val="0"/>
          <w:color w:val="000000"/>
          <w:sz w:val="20"/>
        </w:rPr>
        <w:t xml:space="preserve"> exp(</w:t>
      </w:r>
      <w:r>
        <w:rPr>
          <w:rFonts w:ascii="Times New Roman" w:hAnsi="Times New Roman"/>
          <w:b w:val="0"/>
          <w:i/>
          <w:color w:val="000000"/>
          <w:sz w:val="20"/>
        </w:rPr>
        <w:t>z</w:t>
      </w:r>
      <w:r>
        <w:rPr>
          <w:rFonts w:ascii="Times New Roman" w:hAnsi="Times New Roman"/>
          <w:b w:val="0"/>
          <w:color w:val="000000"/>
          <w:sz w:val="20"/>
          <w:vertAlign w:val="subscript"/>
        </w:rPr>
        <w:t>j</w:t>
      </w:r>
      <w:r>
        <w:rPr>
          <w:rFonts w:ascii="Times New Roman" w:hAnsi="Times New Roman"/>
          <w:b w:val="0"/>
          <w:color w:val="000000"/>
          <w:sz w:val="20"/>
        </w:rPr>
        <w:t xml:space="preserve"> - m), where m is the maximum logit. Subtracting m reduces numerical overflow.</w:t>
      </w:r>
    </w:p>
    <w:p>
      <w:pPr>
        <w:widowControl/>
        <w:jc w:val="both"/>
      </w:pPr>
      <w:r>
        <w:rPr>
          <w:rFonts w:ascii="Times New Roman" w:hAnsi="Times New Roman"/>
          <w:b w:val="0"/>
          <w:color w:val="000000"/>
          <w:sz w:val="20"/>
        </w:rPr>
        <w:t xml:space="preserve">Binary decoding selects the DR label when </w:t>
      </w:r>
      <w:r>
        <w:rPr>
          <w:rFonts w:ascii="Times New Roman" w:hAnsi="Times New Roman"/>
          <w:b w:val="0"/>
          <w:i/>
          <w:color w:val="000000"/>
          <w:sz w:val="20"/>
        </w:rPr>
        <w:t>p</w:t>
      </w:r>
      <w:r>
        <w:rPr>
          <w:rFonts w:ascii="Times New Roman" w:hAnsi="Times New Roman"/>
          <w:b w:val="0"/>
          <w:color w:val="000000"/>
          <w:sz w:val="20"/>
          <w:vertAlign w:val="subscript"/>
        </w:rPr>
        <w:t>1</w:t>
      </w:r>
      <w:r>
        <w:rPr>
          <w:rFonts w:ascii="Times New Roman" w:hAnsi="Times New Roman"/>
          <w:b w:val="0"/>
          <w:color w:val="000000"/>
          <w:sz w:val="20"/>
        </w:rPr>
        <w:t xml:space="preserve"> is at least 0.5. Severity decoding chooses </w:t>
      </w:r>
      <w:r>
        <w:rPr>
          <w:rFonts w:ascii="Times New Roman" w:hAnsi="Times New Roman"/>
          <w:b w:val="0"/>
          <w:i/>
          <w:color w:val="000000"/>
          <w:sz w:val="20"/>
        </w:rPr>
        <w:t>argmax</w:t>
      </w:r>
      <w:r>
        <w:rPr>
          <w:rFonts w:ascii="Times New Roman" w:hAnsi="Times New Roman"/>
          <w:b w:val="0"/>
          <w:color w:val="000000"/>
          <w:sz w:val="20"/>
          <w:vertAlign w:val="subscript"/>
        </w:rPr>
        <w:t>k</w:t>
      </w:r>
      <w:r>
        <w:rPr>
          <w:rFonts w:ascii="Times New Roman" w:hAnsi="Times New Roman"/>
          <w:b w:val="0"/>
          <w:color w:val="000000"/>
          <w:sz w:val="20"/>
        </w:rPr>
        <w:t xml:space="preserve"> </w:t>
      </w:r>
      <w:r>
        <w:rPr>
          <w:rFonts w:ascii="Times New Roman" w:hAnsi="Times New Roman"/>
          <w:b w:val="0"/>
          <w:i/>
          <w:color w:val="000000"/>
          <w:sz w:val="20"/>
        </w:rPr>
        <w:t>p</w:t>
      </w:r>
      <w:r>
        <w:rPr>
          <w:rFonts w:ascii="Times New Roman" w:hAnsi="Times New Roman"/>
          <w:b w:val="0"/>
          <w:color w:val="000000"/>
          <w:sz w:val="20"/>
          <w:vertAlign w:val="subscript"/>
        </w:rPr>
        <w:t>k</w:t>
      </w:r>
      <w:r>
        <w:rPr>
          <w:rFonts w:ascii="Times New Roman" w:hAnsi="Times New Roman"/>
          <w:b w:val="0"/>
          <w:color w:val="000000"/>
          <w:sz w:val="20"/>
        </w:rPr>
        <w:t xml:space="preserve"> and also returns the weighted index s = sum from k = 0 to 4 of k </w:t>
      </w:r>
      <w:r>
        <w:rPr>
          <w:rFonts w:ascii="Times New Roman" w:hAnsi="Times New Roman"/>
          <w:b w:val="0"/>
          <w:i/>
          <w:color w:val="000000"/>
          <w:sz w:val="20"/>
        </w:rPr>
        <w:t>p</w:t>
      </w:r>
      <w:r>
        <w:rPr>
          <w:rFonts w:ascii="Times New Roman" w:hAnsi="Times New Roman"/>
          <w:b w:val="0"/>
          <w:color w:val="000000"/>
          <w:sz w:val="20"/>
          <w:vertAlign w:val="subscript"/>
        </w:rPr>
        <w:t>k</w:t>
      </w:r>
      <w:r>
        <w:rPr>
          <w:rFonts w:ascii="Times New Roman" w:hAnsi="Times New Roman"/>
          <w:b w:val="0"/>
          <w:color w:val="000000"/>
          <w:sz w:val="20"/>
        </w:rPr>
        <w:t>. This index is a summary of model scores, not a validated clinical severity measurement. Labels follow the repository assumption in Table I; neither their order nor the binary threshold has been verified from training evidence.</w:t>
      </w:r>
    </w:p>
    <w:p>
      <w:pPr>
        <w:widowControl/>
        <w:jc w:val="both"/>
      </w:pPr>
      <w:r>
        <w:rPr>
          <w:rFonts w:ascii="Times New Roman" w:hAnsi="Times New Roman"/>
          <w:b w:val="0"/>
          <w:i w:val="0"/>
          <w:color w:val="000000"/>
        </w:rPr>
        <w:t>Scores are rounded for display. The highest binary score is labeled as a model probability in the interface, and results carry research-use warnings. Softmax does not establish calibration [6], and a high score cannot justify diagnosis, treatment or referral urgency. Unexpected output counts or non-finite values produce a model-output error with no screening result.</w:t>
      </w:r>
    </w:p>
    <w:p>
      <w:pPr>
        <w:pStyle w:val="Heading1"/>
        <w:widowControl/>
        <w:jc w:val="center"/>
      </w:pPr>
      <w:r>
        <w:rPr>
          <w:rFonts w:ascii="Times New Roman" w:hAnsi="Times New Roman"/>
          <w:b w:val="0"/>
          <w:i w:val="0"/>
          <w:color w:val="000000"/>
        </w:rPr>
        <w:t>V  PATIENT RECORDS AND PROJECT INTERFACE</w:t>
      </w:r>
    </w:p>
    <w:p>
      <w:pPr>
        <w:pStyle w:val="Heading2"/>
        <w:widowControl/>
        <w:jc w:val="left"/>
      </w:pPr>
      <w:r>
        <w:rPr>
          <w:rFonts w:ascii="Times New Roman" w:hAnsi="Times New Roman"/>
          <w:b w:val="0"/>
          <w:i/>
          <w:color w:val="000000"/>
        </w:rPr>
        <w:t>A  Development authentication and data access</w:t>
      </w:r>
    </w:p>
    <w:p>
      <w:pPr>
        <w:widowControl/>
        <w:jc w:val="both"/>
      </w:pPr>
      <w:r>
        <w:rPr>
          <w:rFonts w:ascii="Times New Roman" w:hAnsi="Times New Roman"/>
          <w:b w:val="0"/>
          <w:i w:val="0"/>
          <w:color w:val="000000"/>
        </w:rPr>
        <w:t>Patient functionality follows a separate server-side path. A signed HTTP-only session uses HS256 verification, issuer and audience checks, and an eight-hour expiration. Synthetic authentication is enabled only outside production and requires explicit configuration. The actor is reconstructed from active user membership and role permissions, rather than accepting organization scope from a patient form.</w:t>
      </w:r>
    </w:p>
    <w:p>
      <w:pPr>
        <w:widowControl/>
        <w:jc w:val="both"/>
      </w:pPr>
      <w:r>
        <w:rPr>
          <w:rFonts w:ascii="Times New Roman" w:hAnsi="Times New Roman"/>
          <w:b w:val="0"/>
          <w:i w:val="0"/>
          <w:color w:val="000000"/>
        </w:rPr>
        <w:t>Patient queries require read permission, restrict results to the actor organization, exclude archived records and return at most 50 minimal display records. Patient creation checks permission, validates the organization-scoped identifier and writes the patient, selected consent records and successful audit event in one transaction. These are implemented development services; this assessment did not run an end-to-end database transaction or evaluate real patient information.</w:t>
      </w:r>
    </w:p>
    <w:p>
      <w:pPr>
        <w:pStyle w:val="Heading2"/>
        <w:widowControl/>
        <w:jc w:val="left"/>
      </w:pPr>
      <w:r>
        <w:rPr>
          <w:rFonts w:ascii="Times New Roman" w:hAnsi="Times New Roman"/>
          <w:b w:val="0"/>
          <w:i/>
          <w:color w:val="000000"/>
        </w:rPr>
        <w:t>B  Schema and persistence boundaries</w:t>
      </w:r>
    </w:p>
    <w:p>
      <w:pPr>
        <w:widowControl/>
        <w:jc w:val="both"/>
      </w:pPr>
      <w:r>
        <w:rPr>
          <w:rFonts w:ascii="Times New Roman" w:hAnsi="Times New Roman"/>
          <w:b w:val="0"/>
          <w:i w:val="0"/>
          <w:color w:val="000000"/>
        </w:rPr>
        <w:t>The Prisma schema declares organizations, patients, consent, examinations, eye images, model versions, predictions and associated probabilities. Figure 3 summarizes a subset of these relationships. Image records provide fields for object references and content hashes, while prediction records link image and model identity. The schema expresses a future persistence structure; its presence does not demonstrate private image storage or an active examination workflow.</w:t>
      </w:r>
    </w:p>
    <w:p>
      <w:pPr>
        <w:keepNext/>
        <w:spacing w:after="60"/>
        <w:jc w:val="center"/>
      </w:pPr>
      <w:r>
        <w:drawing>
          <wp:inline xmlns:a="http://schemas.openxmlformats.org/drawingml/2006/main" xmlns:pic="http://schemas.openxmlformats.org/drawingml/2006/picture">
            <wp:extent cx="3200400" cy="2837688"/>
            <wp:docPr id="3" name="Picture 3" descr="Fig. 3. Selected relationships in the declared data model. Gray entities are not populated by the current screening route; the diagram does not imply completed longitudinal care."/>
            <wp:cNvGraphicFramePr>
              <a:graphicFrameLocks noChangeAspect="1"/>
            </wp:cNvGraphicFramePr>
            <a:graphic>
              <a:graphicData uri="http://schemas.openxmlformats.org/drawingml/2006/picture">
                <pic:pic>
                  <pic:nvPicPr>
                    <pic:cNvPr id="0" name="data_model.png"/>
                    <pic:cNvPicPr/>
                  </pic:nvPicPr>
                  <pic:blipFill>
                    <a:blip r:embed="rId10"/>
                    <a:stretch>
                      <a:fillRect/>
                    </a:stretch>
                  </pic:blipFill>
                  <pic:spPr>
                    <a:xfrm>
                      <a:off x="0" y="0"/>
                      <a:ext cx="3200400" cy="2837688"/>
                    </a:xfrm>
                    <a:prstGeom prst="rect"/>
                  </pic:spPr>
                </pic:pic>
              </a:graphicData>
            </a:graphic>
          </wp:inline>
        </w:drawing>
      </w:r>
    </w:p>
    <w:p>
      <w:pPr>
        <w:pStyle w:val="Caption"/>
        <w:keepLines/>
        <w:widowControl/>
        <w:jc w:val="left"/>
      </w:pPr>
      <w:r>
        <w:rPr>
          <w:rFonts w:ascii="Times New Roman" w:hAnsi="Times New Roman"/>
          <w:b w:val="0"/>
          <w:i w:val="0"/>
          <w:color w:val="000000"/>
          <w:sz w:val="17"/>
        </w:rPr>
        <w:t>Fig. 3. Selected relationships in the declared data model. Gray entities are not populated by the current screening route; the diagram does not imply completed longitudinal care.</w:t>
      </w:r>
    </w:p>
    <w:p>
      <w:pPr>
        <w:widowControl/>
        <w:jc w:val="both"/>
      </w:pPr>
      <w:r>
        <w:rPr>
          <w:rFonts w:ascii="Times New Roman" w:hAnsi="Times New Roman"/>
          <w:b w:val="0"/>
          <w:i w:val="0"/>
          <w:color w:val="000000"/>
        </w:rPr>
        <w:t>Screening results remain in browser component state and are not attached to a patient or examination by the current route. Examinations and reports display requirement placeholders. Review-queue and follow-up routes are disabled by module flags even though related database tables remain. Production OIDC, secure image-object storage and an approved quality workflow are still required.</w:t>
      </w:r>
    </w:p>
    <w:p>
      <w:pPr>
        <w:pStyle w:val="Heading2"/>
        <w:widowControl/>
        <w:jc w:val="left"/>
      </w:pPr>
      <w:r>
        <w:rPr>
          <w:rFonts w:ascii="Times New Roman" w:hAnsi="Times New Roman"/>
          <w:b w:val="0"/>
          <w:i/>
          <w:color w:val="000000"/>
        </w:rPr>
        <w:t>C  User interaction</w:t>
      </w:r>
    </w:p>
    <w:p>
      <w:pPr>
        <w:widowControl/>
        <w:jc w:val="both"/>
      </w:pPr>
      <w:r>
        <w:rPr>
          <w:rFonts w:ascii="Times New Roman" w:hAnsi="Times New Roman"/>
          <w:b w:val="0"/>
          <w:i w:val="0"/>
          <w:color w:val="000000"/>
        </w:rPr>
        <w:t>The screening interface presents separate binary and severity choices. Selecting a task opens an upload panel; results or structured errors are displayed after the request. Changing mode clears the selected file and result. Additional ocular screening is shown as unavailable. Figure 4 reproduces the actual research interface, and Figure 5 shows the model-information page with its validation warning. These captures contain no patient images or clinical predictions.</w:t>
      </w:r>
    </w:p>
    <w:p>
      <w:pPr>
        <w:pStyle w:val="Heading1"/>
        <w:widowControl/>
        <w:jc w:val="center"/>
      </w:pPr>
      <w:r>
        <w:rPr>
          <w:rFonts w:ascii="Times New Roman" w:hAnsi="Times New Roman"/>
          <w:b w:val="0"/>
          <w:i w:val="0"/>
          <w:color w:val="000000"/>
        </w:rPr>
        <w:t>VI  TECHNICAL VERIFICATION</w:t>
      </w:r>
    </w:p>
    <w:p>
      <w:pPr>
        <w:pStyle w:val="Heading2"/>
        <w:widowControl/>
        <w:jc w:val="left"/>
      </w:pPr>
      <w:r>
        <w:rPr>
          <w:rFonts w:ascii="Times New Roman" w:hAnsi="Times New Roman"/>
          <w:b w:val="0"/>
          <w:i/>
          <w:color w:val="000000"/>
        </w:rPr>
        <w:t>A  Scope and reproducibility</w:t>
      </w:r>
    </w:p>
    <w:p>
      <w:pPr>
        <w:widowControl/>
        <w:jc w:val="both"/>
      </w:pPr>
      <w:r>
        <w:rPr>
          <w:rFonts w:ascii="Times New Roman" w:hAnsi="Times New Roman"/>
          <w:b w:val="0"/>
          <w:i w:val="0"/>
          <w:color w:val="000000"/>
        </w:rPr>
        <w:t>Verification was performed on 29 September 2026 against source commit 0099145dc145. The existing Node.js test runner exercised four test files. Local HTTP checks called the running development prediction route without an authenticated session. A generated 512 x 512 constant-color RGB PNG was used for both successful inference checks; it contained no retinal structures or patient data. Static type checking and linting were also executed.</w:t>
      </w:r>
    </w:p>
    <w:p>
      <w:pPr>
        <w:widowControl/>
        <w:jc w:val="both"/>
      </w:pPr>
      <w:r>
        <w:rPr>
          <w:rFonts w:ascii="Times New Roman" w:hAnsi="Times New Roman"/>
          <w:b w:val="0"/>
          <w:i w:val="0"/>
          <w:color w:val="000000"/>
        </w:rPr>
        <w:t>The binary and severity artifact SHA-256 prefixes were dfc49e28bb3927ec and a75ff338af12bb31b, respectively, matching the registry entries. The verification scripts and raw JSON responses are retained with the manuscript working files. Tests were not used to estimate diagnostic accuracy, compare model quality or measure deployment throughput.</w:t>
      </w:r>
    </w:p>
    <w:p>
      <w:pPr>
        <w:keepNext/>
        <w:widowControl/>
        <w:jc w:val="center"/>
      </w:pPr>
      <w:r>
        <w:rPr>
          <w:rFonts w:ascii="Times New Roman" w:hAnsi="Times New Roman"/>
          <w:b w:val="0"/>
          <w:i w:val="0"/>
          <w:color w:val="000000"/>
          <w:sz w:val="17"/>
        </w:rPr>
        <w:t>TABLE II  OBSERVED SOFTWARE VERIFICATION</w:t>
      </w:r>
    </w:p>
    <w:tbl>
      <w:tblPr>
        <w:tblW w:type="auto" w:w="0"/>
        <w:tblLayout w:type="fixed"/>
        <w:tblLook w:firstColumn="1" w:firstRow="1" w:lastColumn="0" w:lastRow="0" w:noHBand="0" w:noVBand="1" w:val="04A0"/>
      </w:tblPr>
      <w:tblGrid>
        <w:gridCol w:w="2275"/>
        <w:gridCol w:w="792"/>
        <w:gridCol w:w="1973"/>
      </w:tblGrid>
      <w:tr>
        <w:trPr>
          <w:cantSplit/>
          <w:tblHeader/>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Check group</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Cases</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Observed result</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Authorization policy</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2</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All passed</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File signatures and MIME</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4</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All passed</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Output decoding</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4</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All passed</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Patient input validation</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2</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All passed</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HTTP rejection checks</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7</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All passed</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Synthetic RGB inference</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2</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Both returned HTTP 200</w:t>
            </w:r>
          </w:p>
        </w:tc>
      </w:tr>
      <w:tr>
        <w:trPr>
          <w:cantSplit/>
        </w:trPr>
        <w:tc>
          <w:tcPr>
            <w:tcW w:type="dxa" w:w="22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Type checking and lint</w:t>
            </w:r>
          </w:p>
        </w:tc>
        <w:tc>
          <w:tcPr>
            <w:tcW w:type="dxa" w:w="79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2</w:t>
            </w:r>
          </w:p>
        </w:tc>
        <w:tc>
          <w:tcPr>
            <w:tcW w:type="dxa" w:w="197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Both commands passed</w:t>
            </w:r>
          </w:p>
        </w:tc>
      </w:tr>
    </w:tbl>
    <w:p>
      <w:pPr>
        <w:widowControl/>
        <w:spacing w:after="20"/>
        <w:jc w:val="both"/>
      </w:pPr>
      <w:r>
        <w:rPr>
          <w:rFonts w:ascii="Times New Roman" w:hAnsi="Times New Roman"/>
          <w:b w:val="0"/>
          <w:i w:val="0"/>
          <w:color w:val="000000"/>
        </w:rPr>
      </w:r>
    </w:p>
    <w:p>
      <w:pPr>
        <w:pStyle w:val="Heading2"/>
        <w:widowControl/>
        <w:jc w:val="left"/>
      </w:pPr>
      <w:r>
        <w:rPr>
          <w:rFonts w:ascii="Times New Roman" w:hAnsi="Times New Roman"/>
          <w:b w:val="0"/>
          <w:i/>
          <w:color w:val="000000"/>
        </w:rPr>
        <w:t>B  Observed behavior</w:t>
      </w:r>
    </w:p>
    <w:p>
      <w:pPr>
        <w:widowControl/>
        <w:jc w:val="both"/>
      </w:pPr>
      <w:r>
        <w:rPr>
          <w:rFonts w:ascii="Times New Roman" w:hAnsi="Times New Roman"/>
          <w:b w:val="0"/>
          <w:i w:val="0"/>
          <w:color w:val="000000"/>
        </w:rPr>
        <w:t>All 12 existing unit tests passed. The seven rejection checks returned the expected status and error code: missing image, unsupported mode, empty file, MIME mismatch and corrupt PNG returned HTTP 400; non-image content returned HTTP 415; and a file one byte above the 10 MiB limit returned HTTP 413. Both synthetic inference requests returned HTTP 200 with a successful response and the requested mode. Table II reports these finite checks without interpreting them as broad test coverage.</w:t>
      </w:r>
    </w:p>
    <w:p>
      <w:pPr>
        <w:widowControl/>
        <w:jc w:val="both"/>
      </w:pPr>
      <w:r>
        <w:rPr>
          <w:rFonts w:ascii="Times New Roman" w:hAnsi="Times New Roman"/>
          <w:b w:val="0"/>
          <w:i w:val="0"/>
          <w:color w:val="000000"/>
        </w:rPr>
        <w:t>The successful predictions on a constant-color image also expose an important boundary: any supported, decodable image can reach the models. Therefore, success of the runtime checks is compatible with the absence of a retinal-content or gradability gate. The returned labels on this image have no clinical meaning and are deliberately excluded from diagnostic-performance reporting.</w:t>
      </w:r>
    </w:p>
    <w:p>
      <w:pPr>
        <w:widowControl/>
        <w:jc w:val="both"/>
      </w:pPr>
      <w:r>
        <w:rPr>
          <w:rFonts w:ascii="Times New Roman" w:hAnsi="Times New Roman"/>
          <w:b w:val="0"/>
          <w:i w:val="0"/>
          <w:color w:val="000000"/>
        </w:rPr>
        <w:t>The unit tests exercise policy helpers and input schemas, not the complete authentication system, database isolation or audit retention. The HTTP checks do not cover concurrent uploads, transport limits, unusual color spaces, full tensor-shape validation or hostile workloads. These limitations define the scope of the observed results.</w:t>
      </w:r>
    </w:p>
    <w:p>
      <w:pPr>
        <w:pStyle w:val="Heading1"/>
        <w:widowControl/>
        <w:jc w:val="center"/>
      </w:pPr>
      <w:r>
        <w:rPr>
          <w:rFonts w:ascii="Times New Roman" w:hAnsi="Times New Roman"/>
          <w:b w:val="0"/>
          <w:i w:val="0"/>
          <w:color w:val="000000"/>
        </w:rPr>
        <w:t>VII  DISCUSSION AND LIMITATIONS</w:t>
      </w:r>
    </w:p>
    <w:p>
      <w:pPr>
        <w:widowControl/>
        <w:jc w:val="both"/>
      </w:pPr>
      <w:r>
        <w:rPr>
          <w:rFonts w:ascii="Times New Roman" w:hAnsi="Times New Roman"/>
          <w:b w:val="0"/>
          <w:i w:val="0"/>
          <w:color w:val="000000"/>
        </w:rPr>
        <w:t>OpthaEdge demonstrates that two exported model contracts can be integrated into one research interface while making their unresolved assumptions visible. Separate preprocessors avoid silently applying one input transformation to both artifacts, and explicit output checks prevent arbitrary truncation of malformed model output. Version metadata improves traceability, although runtime digest enforcement is still absent.</w:t>
      </w:r>
    </w:p>
    <w:p>
      <w:pPr>
        <w:widowControl/>
        <w:jc w:val="both"/>
      </w:pPr>
      <w:r>
        <w:rPr>
          <w:rFonts w:ascii="Times New Roman" w:hAnsi="Times New Roman"/>
          <w:b w:val="0"/>
          <w:i w:val="0"/>
          <w:color w:val="000000"/>
        </w:rPr>
        <w:t>The principal scientific limitation is the lack of model provenance and reference-standard evaluation. The project contains no supplied training dataset manifest, patient-level split record, training history, external test set or validation metrics. Consequently, accuracy, sensitivity, specificity, macro-F1, AUROC and weighted kappa cannot be estimated from the available evidence. Training curves and confusion matrices would be unsupported and are not presented.</w:t>
      </w:r>
    </w:p>
    <w:p>
      <w:pPr>
        <w:widowControl/>
        <w:jc w:val="both"/>
      </w:pPr>
      <w:r>
        <w:rPr>
          <w:rFonts w:ascii="Times New Roman" w:hAnsi="Times New Roman"/>
          <w:b w:val="0"/>
          <w:i w:val="0"/>
          <w:color w:val="000000"/>
        </w:rPr>
        <w:t>Security and workflow boundaries also remain incomplete. Production identity, request rate control, a server-enforced approval gate, private image storage and persisted screening audit trails are not established by this implementation. The model-status badge is not an access-control mechanism. Patient-record authorization is separate from inference and must not be taken as protection for every route.</w:t>
      </w:r>
    </w:p>
    <w:p>
      <w:pPr>
        <w:widowControl/>
        <w:jc w:val="both"/>
      </w:pPr>
      <w:r>
        <w:rPr>
          <w:rFonts w:ascii="Times New Roman" w:hAnsi="Times New Roman"/>
          <w:b w:val="0"/>
          <w:i w:val="0"/>
          <w:color w:val="000000"/>
        </w:rPr>
        <w:t>There is no validated lesion localization, segmentation, diabetic macular edema detection or broader ocular-disease model. The severity output alone does not determine referral urgency. A future explanation overlay would need method-specific validation; an attention map would not itself verify the presence of a pathological lesion. Likewise, the product name does not establish execution on a constrained edge device, and no hardware-efficiency claim is made.</w:t>
      </w:r>
    </w:p>
    <w:p>
      <w:pPr>
        <w:pStyle w:val="Heading1"/>
        <w:widowControl/>
        <w:jc w:val="center"/>
      </w:pPr>
      <w:r>
        <w:rPr>
          <w:rFonts w:ascii="Times New Roman" w:hAnsi="Times New Roman"/>
          <w:b w:val="0"/>
          <w:i w:val="0"/>
          <w:color w:val="000000"/>
        </w:rPr>
        <w:t>VIII  PROSPECTIVE EVALUATION PLAN</w:t>
      </w:r>
    </w:p>
    <w:p>
      <w:pPr>
        <w:widowControl/>
        <w:jc w:val="both"/>
      </w:pPr>
      <w:r>
        <w:rPr>
          <w:rFonts w:ascii="Times New Roman" w:hAnsi="Times New Roman"/>
          <w:b w:val="0"/>
          <w:i w:val="0"/>
          <w:color w:val="000000"/>
        </w:rPr>
        <w:t>A diagnostic evaluation should begin only after the exact artifacts, class order and preprocessing are documented. A study protocol should define the intended population, acquisition devices, clinical target, reference grading, handling of ungradable images and unit of analysis. Multiple images from one patient must remain within a single data partition. Thresholds and calibration parameters should be selected using development data and then frozen before independent testing [7], [8].</w:t>
      </w:r>
    </w:p>
    <w:p>
      <w:pPr>
        <w:keepNext/>
        <w:widowControl/>
        <w:jc w:val="center"/>
      </w:pPr>
      <w:r>
        <w:rPr>
          <w:rFonts w:ascii="Times New Roman" w:hAnsi="Times New Roman"/>
          <w:b w:val="0"/>
          <w:i w:val="0"/>
          <w:color w:val="000000"/>
          <w:sz w:val="17"/>
        </w:rPr>
        <w:t>TABLE III  EVIDENCE REQUIRED FOR CLINICAL EVALUATION</w:t>
      </w:r>
    </w:p>
    <w:tbl>
      <w:tblPr>
        <w:tblW w:type="auto" w:w="0"/>
        <w:tblLayout w:type="fixed"/>
        <w:tblLook w:firstColumn="1" w:firstRow="1" w:lastColumn="0" w:lastRow="0" w:noHBand="0" w:noVBand="1" w:val="04A0"/>
      </w:tblPr>
      <w:tblGrid>
        <w:gridCol w:w="1238"/>
        <w:gridCol w:w="3802"/>
      </w:tblGrid>
      <w:tr>
        <w:trPr>
          <w:cantSplit/>
          <w:tblHeader/>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Domain</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shd w:fill="E7EDF2"/>
          </w:tcPr>
          <w:p>
            <w:pPr>
              <w:spacing w:after="0" w:line="240" w:lineRule="auto"/>
              <w:jc w:val="left"/>
            </w:pPr>
            <w:r>
              <w:rPr>
                <w:rFonts w:ascii="Times New Roman" w:hAnsi="Times New Roman"/>
                <w:b/>
                <w:color w:val="000000"/>
                <w:sz w:val="16"/>
              </w:rPr>
              <w:t>Required evidence</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Model provenance</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Training and export records, label order, preprocessing and artifact identity</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Reference standard</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Grader qualifications, adjudication, target definitions and gradability policy</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Binary task</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Sensitivity, specificity, predictive values and AUROC with confidence intervals</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Severity task</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Class counts, confusion matrix, per-class recall, macro-F1 and quadratic weighted kappa</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Reliability</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Calibration, image rejection, device and subgroup results, external-site evaluation</w:t>
            </w:r>
          </w:p>
        </w:tc>
      </w:tr>
      <w:tr>
        <w:trPr>
          <w:cantSplit/>
        </w:trPr>
        <w:tc>
          <w:tcPr>
            <w:tcW w:type="dxa" w:w="123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Deployment</w:t>
            </w:r>
          </w:p>
        </w:tc>
        <w:tc>
          <w:tcPr>
            <w:tcW w:type="dxa" w:w="38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left"/>
            </w:pPr>
            <w:r>
              <w:rPr>
                <w:rFonts w:ascii="Times New Roman" w:hAnsi="Times New Roman"/>
                <w:b w:val="0"/>
                <w:color w:val="000000"/>
                <w:sz w:val="16"/>
              </w:rPr>
              <w:t>Authenticated inference, approval enforcement, audit, storage and workload testing</w:t>
            </w:r>
          </w:p>
        </w:tc>
      </w:tr>
    </w:tbl>
    <w:p>
      <w:pPr>
        <w:widowControl/>
        <w:spacing w:after="20"/>
        <w:jc w:val="both"/>
      </w:pPr>
      <w:r>
        <w:rPr>
          <w:rFonts w:ascii="Times New Roman" w:hAnsi="Times New Roman"/>
          <w:b w:val="0"/>
          <w:i w:val="0"/>
          <w:color w:val="000000"/>
        </w:rPr>
      </w:r>
    </w:p>
    <w:p>
      <w:pPr>
        <w:widowControl/>
        <w:jc w:val="both"/>
      </w:pPr>
      <w:r>
        <w:rPr>
          <w:rFonts w:ascii="Times New Roman" w:hAnsi="Times New Roman"/>
          <w:b w:val="0"/>
          <w:i w:val="0"/>
          <w:color w:val="000000"/>
        </w:rPr>
        <w:t>Confidence intervals should reflect the patient-level sampling structure, with prespecified analyses across devices, sites and relevant demographic groups. Image rejection and failure rates should be reported alongside classification metrics so that exclusions cannot conceal operational weaknesses. A prospective workflow study would then be needed to examine usability, referral handling and the consequences of incorrect or unavailable results.</w:t>
      </w:r>
    </w:p>
    <w:p>
      <w:pPr>
        <w:pStyle w:val="Heading1"/>
        <w:widowControl/>
        <w:jc w:val="center"/>
      </w:pPr>
      <w:r>
        <w:rPr>
          <w:rFonts w:ascii="Times New Roman" w:hAnsi="Times New Roman"/>
          <w:b w:val="0"/>
          <w:i w:val="0"/>
          <w:color w:val="000000"/>
        </w:rPr>
        <w:t>IX  CONCLUSION</w:t>
      </w:r>
    </w:p>
    <w:p>
      <w:pPr>
        <w:widowControl/>
        <w:jc w:val="both"/>
      </w:pPr>
      <w:r>
        <w:rPr>
          <w:rFonts w:ascii="Times New Roman" w:hAnsi="Times New Roman"/>
          <w:b w:val="0"/>
          <w:i w:val="0"/>
          <w:color w:val="000000"/>
        </w:rPr>
        <w:t>OpthaEdge is an operational research integration of two ONNX inference paths with explicit preprocessing, output validation, model metadata and a separate development patient-record foundation. Twelve unit tests and nine local HTTP checks passed, supporting the reported software behavior. The work does not establish diagnostic performance. Its next scientific milestone is a provenance-complete, independently evaluated model package; its next engineering milestone is enforced authorization, quality assessment and traceable screening persistence.</w:t>
      </w:r>
    </w:p>
    <w:p>
      <w:pPr>
        <w:pStyle w:val="Heading1"/>
        <w:widowControl/>
        <w:jc w:val="center"/>
      </w:pPr>
      <w:r>
        <w:rPr>
          <w:rFonts w:ascii="Times New Roman" w:hAnsi="Times New Roman"/>
          <w:b w:val="0"/>
          <w:i w:val="0"/>
          <w:color w:val="000000"/>
        </w:rPr>
        <w:t>ACKNOWLEDGMENT</w:t>
      </w:r>
    </w:p>
    <w:p>
      <w:pPr>
        <w:widowControl/>
        <w:jc w:val="both"/>
      </w:pPr>
      <w:r>
        <w:rPr>
          <w:rFonts w:ascii="Times New Roman" w:hAnsi="Times New Roman"/>
          <w:b w:val="0"/>
          <w:i w:val="0"/>
          <w:color w:val="000000"/>
        </w:rPr>
        <w:t>The authors thank their project guide, Nayana Mahajan, for guidance on this work.</w:t>
      </w:r>
    </w:p>
    <w:p>
      <w:pPr>
        <w:pStyle w:val="Heading1"/>
        <w:widowControl/>
        <w:jc w:val="center"/>
      </w:pPr>
      <w:r>
        <w:rPr>
          <w:rFonts w:ascii="Times New Roman" w:hAnsi="Times New Roman"/>
          <w:b w:val="0"/>
          <w:i w:val="0"/>
          <w:color w:val="000000"/>
        </w:rPr>
        <w:t>DATA AND ETHICS SCOPE</w:t>
      </w:r>
    </w:p>
    <w:p>
      <w:pPr>
        <w:widowControl/>
        <w:jc w:val="both"/>
      </w:pPr>
      <w:r>
        <w:rPr>
          <w:rFonts w:ascii="Times New Roman" w:hAnsi="Times New Roman"/>
          <w:b w:val="0"/>
          <w:i w:val="0"/>
          <w:color w:val="000000"/>
        </w:rPr>
        <w:t>The technical checks reported here used software fixtures and one generated constant-color image. They did not recruit participants, access identifiable patient records or evaluate patient outcomes. Clinical dataset access, ethics review and consent requirements would need to be addressed separately for any subsequent patient-based study.</w:t>
      </w:r>
    </w:p>
    <w:p>
      <w:r>
        <w:br w:type="column"/>
      </w:r>
    </w:p>
    <w:p>
      <w:pPr>
        <w:pStyle w:val="Heading1"/>
        <w:widowControl/>
        <w:jc w:val="center"/>
      </w:pPr>
      <w:r>
        <w:rPr>
          <w:rFonts w:ascii="Times New Roman" w:hAnsi="Times New Roman"/>
          <w:b w:val="0"/>
          <w:i w:val="0"/>
          <w:color w:val="000000"/>
        </w:rPr>
        <w:t>REFERENCES</w:t>
      </w:r>
    </w:p>
    <w:p>
      <w:pPr>
        <w:keepLines/>
        <w:widowControl/>
        <w:spacing w:after="140"/>
        <w:jc w:val="left"/>
      </w:pPr>
      <w:r>
        <w:rPr>
          <w:rFonts w:ascii="Times New Roman" w:hAnsi="Times New Roman"/>
          <w:b w:val="0"/>
          <w:i w:val="0"/>
          <w:color w:val="000000"/>
          <w:sz w:val="18"/>
        </w:rPr>
        <w:t>[1] National Eye Institute, "Diabetic Retinopathy." Accessed September 29, 2026. https://www.nei.nih.gov/eye-health-information/eye-conditions-and-diseases/diabetic-retinopathy.</w:t>
      </w:r>
    </w:p>
    <w:p>
      <w:pPr>
        <w:keepLines/>
        <w:widowControl/>
        <w:spacing w:after="140"/>
        <w:jc w:val="left"/>
      </w:pPr>
      <w:r>
        <w:rPr>
          <w:rFonts w:ascii="Times New Roman" w:hAnsi="Times New Roman"/>
          <w:b w:val="0"/>
          <w:i w:val="0"/>
          <w:color w:val="000000"/>
          <w:sz w:val="18"/>
        </w:rPr>
        <w:t>[2] V. Gulshan et al., "Development and validation of a deep learning algorithm for detection of diabetic retinopathy in retinal fundus photographs," JAMA, vol. 316, no. 22, pp. 2402-2410, 2016. doi: 10.1001/jama.2016.17216.</w:t>
      </w:r>
    </w:p>
    <w:p>
      <w:pPr>
        <w:keepLines/>
        <w:widowControl/>
        <w:spacing w:after="140"/>
        <w:jc w:val="left"/>
      </w:pPr>
      <w:r>
        <w:rPr>
          <w:rFonts w:ascii="Times New Roman" w:hAnsi="Times New Roman"/>
          <w:b w:val="0"/>
          <w:i w:val="0"/>
          <w:color w:val="000000"/>
          <w:sz w:val="18"/>
        </w:rPr>
        <w:t>[3] D. S. W. Ting et al., "Development and validation of a deep learning system for diabetic retinopathy and related eye diseases using retinal images from multiethnic populations with diabetes," JAMA, vol. 318, no. 22, pp. 2211-2223, 2017. doi: 10.1001/jama.2017.18152.</w:t>
      </w:r>
    </w:p>
    <w:p>
      <w:pPr>
        <w:keepLines/>
        <w:widowControl/>
        <w:spacing w:after="140"/>
        <w:jc w:val="left"/>
      </w:pPr>
      <w:r>
        <w:rPr>
          <w:rFonts w:ascii="Times New Roman" w:hAnsi="Times New Roman"/>
          <w:b w:val="0"/>
          <w:i w:val="0"/>
          <w:color w:val="000000"/>
          <w:sz w:val="18"/>
        </w:rPr>
        <w:t>[4] M. D. Abramoff, P. T. Lavin, M. Birch, N. Shah and J. C. Folk, "Pivotal trial of an autonomous AI-based diagnostic system for detection of diabetic retinopathy in primary care offices," npj Digital Medicine, vol. 1, art. 39, 2018. doi: 10.1038/s41746-018-0040-6.</w:t>
      </w:r>
    </w:p>
    <w:p>
      <w:pPr>
        <w:keepLines/>
        <w:widowControl/>
        <w:spacing w:after="140"/>
        <w:jc w:val="left"/>
      </w:pPr>
      <w:r>
        <w:rPr>
          <w:rFonts w:ascii="Times New Roman" w:hAnsi="Times New Roman"/>
          <w:b w:val="0"/>
          <w:i w:val="0"/>
          <w:color w:val="000000"/>
          <w:sz w:val="18"/>
        </w:rPr>
        <w:t>[5] C. Szegedy, V. Vanhoucke, S. Ioffe, J. Shlens and Z. Wojna, "Rethinking the Inception architecture for computer vision," in Proc. IEEE Conf. Computer Vision and Pattern Recognition, 2016, pp. 2818-2826. doi: 10.1109/CVPR.2016.308.</w:t>
      </w:r>
    </w:p>
    <w:p>
      <w:pPr>
        <w:keepLines/>
        <w:widowControl/>
        <w:spacing w:after="140"/>
        <w:jc w:val="left"/>
      </w:pPr>
      <w:r>
        <w:rPr>
          <w:rFonts w:ascii="Times New Roman" w:hAnsi="Times New Roman"/>
          <w:b w:val="0"/>
          <w:i w:val="0"/>
          <w:color w:val="000000"/>
          <w:sz w:val="18"/>
        </w:rPr>
        <w:t>[6] C. Guo, G. Pleiss, Y. Sun and K. Q. Weinberger, "On calibration of modern neural networks," in Proc. 34th Int. Conf. Machine Learning, PMLR, vol. 70, pp. 1321-1330, 2017. https://proceedings.mlr.press/v70/guo17a.html.</w:t>
      </w:r>
    </w:p>
    <w:p>
      <w:pPr>
        <w:keepLines/>
        <w:widowControl/>
        <w:spacing w:after="140"/>
        <w:jc w:val="left"/>
      </w:pPr>
      <w:r>
        <w:rPr>
          <w:rFonts w:ascii="Times New Roman" w:hAnsi="Times New Roman"/>
          <w:b w:val="0"/>
          <w:i w:val="0"/>
          <w:color w:val="000000"/>
          <w:sz w:val="18"/>
        </w:rPr>
        <w:t>[7] A. S. Tejani et al., "Checklist for Artificial Intelligence in Medical Imaging (CLAIM): 2024 Update," Radiology: Artificial Intelligence, vol. 6, no. 4, e240300, 2024. doi: 10.1148/ryai.240300.</w:t>
      </w:r>
    </w:p>
    <w:p>
      <w:pPr>
        <w:keepLines/>
        <w:widowControl/>
        <w:spacing w:after="140"/>
        <w:jc w:val="left"/>
      </w:pPr>
      <w:r>
        <w:rPr>
          <w:rFonts w:ascii="Times New Roman" w:hAnsi="Times New Roman"/>
          <w:b w:val="0"/>
          <w:i w:val="0"/>
          <w:color w:val="000000"/>
          <w:sz w:val="18"/>
        </w:rPr>
        <w:t>[8] G. S. Collins et al., "TRIPOD+AI statement: updated guidance for reporting clinical prediction models that use regression or machine learning methods," BMJ, vol. 385, e078378, 2024. doi: 10.1136/bmj-2023-078378.</w:t>
      </w:r>
    </w:p>
    <w:p>
      <w:pPr>
        <w:keepLines/>
        <w:widowControl/>
        <w:spacing w:after="140"/>
        <w:jc w:val="left"/>
      </w:pPr>
      <w:r>
        <w:rPr>
          <w:rFonts w:ascii="Times New Roman" w:hAnsi="Times New Roman"/>
          <w:b w:val="0"/>
          <w:i w:val="0"/>
          <w:color w:val="000000"/>
          <w:sz w:val="18"/>
        </w:rPr>
        <w:t>[9] ONNX Runtime contributors, "Node.js binding," ONNX Runtime documentation. Accessed September 29, 2026. https://onnxruntime.ai/docs/get-started/with-javascript/node.html.</w:t>
      </w:r>
    </w:p>
    <w:p>
      <w:pPr>
        <w:sectPr>
          <w:type w:val="continuous"/>
          <w:pgSz w:w="12240" w:h="15840"/>
          <w:pgMar w:top="1080" w:right="907" w:bottom="1440" w:left="907" w:header="720" w:footer="720" w:gutter="0"/>
          <w:cols w:num="2" w:space="240"/>
          <w:docGrid w:linePitch="360"/>
        </w:sectPr>
      </w:pPr>
    </w:p>
    <w:p>
      <w:pPr>
        <w:pStyle w:val="Heading1"/>
        <w:widowControl/>
        <w:jc w:val="center"/>
      </w:pPr>
      <w:r>
        <w:rPr>
          <w:rFonts w:ascii="Times New Roman" w:hAnsi="Times New Roman"/>
          <w:b w:val="0"/>
          <w:i w:val="0"/>
          <w:color w:val="000000"/>
        </w:rPr>
        <w:t>PROJECT INTERFACE FIGURES</w:t>
      </w:r>
    </w:p>
    <w:p>
      <w:pPr>
        <w:keepNext/>
        <w:spacing w:after="60"/>
        <w:jc w:val="center"/>
      </w:pPr>
      <w:r>
        <w:drawing>
          <wp:inline xmlns:a="http://schemas.openxmlformats.org/drawingml/2006/main" xmlns:pic="http://schemas.openxmlformats.org/drawingml/2006/picture">
            <wp:extent cx="6583680" cy="2956380"/>
            <wp:docPr id="4" name="Picture 4" descr="Fig. 4. Actual OpthaEdge screening selector. Binary and five-level severity modes are available for research; the additional ocular-disease module remains unavailable. Captured from the local application without patient data."/>
            <wp:cNvGraphicFramePr>
              <a:graphicFrameLocks noChangeAspect="1"/>
            </wp:cNvGraphicFramePr>
            <a:graphic>
              <a:graphicData uri="http://schemas.openxmlformats.org/drawingml/2006/picture">
                <pic:pic>
                  <pic:nvPicPr>
                    <pic:cNvPr id="0" name="screening.png"/>
                    <pic:cNvPicPr/>
                  </pic:nvPicPr>
                  <pic:blipFill>
                    <a:blip r:embed="rId11"/>
                    <a:stretch>
                      <a:fillRect/>
                    </a:stretch>
                  </pic:blipFill>
                  <pic:spPr>
                    <a:xfrm>
                      <a:off x="0" y="0"/>
                      <a:ext cx="6583680" cy="2956380"/>
                    </a:xfrm>
                    <a:prstGeom prst="rect"/>
                  </pic:spPr>
                </pic:pic>
              </a:graphicData>
            </a:graphic>
          </wp:inline>
        </w:drawing>
      </w:r>
    </w:p>
    <w:p>
      <w:pPr>
        <w:pStyle w:val="Caption"/>
        <w:keepLines/>
        <w:widowControl/>
        <w:jc w:val="left"/>
      </w:pPr>
      <w:r>
        <w:rPr>
          <w:rFonts w:ascii="Times New Roman" w:hAnsi="Times New Roman"/>
          <w:b w:val="0"/>
          <w:i w:val="0"/>
          <w:color w:val="000000"/>
          <w:sz w:val="17"/>
        </w:rPr>
        <w:t>Fig. 4. Actual OpthaEdge screening selector. Binary and five-level severity modes are available for research; the additional ocular-disease module remains unavailable. Captured from the local application without patient data.</w:t>
      </w:r>
    </w:p>
    <w:p>
      <w:pPr>
        <w:keepNext/>
        <w:spacing w:after="60"/>
        <w:jc w:val="center"/>
      </w:pPr>
      <w:r>
        <w:drawing>
          <wp:inline xmlns:a="http://schemas.openxmlformats.org/drawingml/2006/main" xmlns:pic="http://schemas.openxmlformats.org/drawingml/2006/picture">
            <wp:extent cx="6583680" cy="2956380"/>
            <wp:docPr id="5" name="Picture 5" descr="Fig. 5. Actual model-information page, showing the binary artifact and explicit validation blockers. The clinical status describes missing evidence and does not disable the current research inference endpoint. The lower severity entry is outside this viewport."/>
            <wp:cNvGraphicFramePr>
              <a:graphicFrameLocks noChangeAspect="1"/>
            </wp:cNvGraphicFramePr>
            <a:graphic>
              <a:graphicData uri="http://schemas.openxmlformats.org/drawingml/2006/picture">
                <pic:pic>
                  <pic:nvPicPr>
                    <pic:cNvPr id="0" name="models.png"/>
                    <pic:cNvPicPr/>
                  </pic:nvPicPr>
                  <pic:blipFill>
                    <a:blip r:embed="rId12"/>
                    <a:stretch>
                      <a:fillRect/>
                    </a:stretch>
                  </pic:blipFill>
                  <pic:spPr>
                    <a:xfrm>
                      <a:off x="0" y="0"/>
                      <a:ext cx="6583680" cy="2956380"/>
                    </a:xfrm>
                    <a:prstGeom prst="rect"/>
                  </pic:spPr>
                </pic:pic>
              </a:graphicData>
            </a:graphic>
          </wp:inline>
        </w:drawing>
      </w:r>
    </w:p>
    <w:p>
      <w:pPr>
        <w:pStyle w:val="Caption"/>
        <w:keepLines/>
        <w:widowControl/>
        <w:jc w:val="left"/>
      </w:pPr>
      <w:r>
        <w:rPr>
          <w:rFonts w:ascii="Times New Roman" w:hAnsi="Times New Roman"/>
          <w:b w:val="0"/>
          <w:i w:val="0"/>
          <w:color w:val="000000"/>
          <w:sz w:val="17"/>
        </w:rPr>
        <w:t>Fig. 5. Actual model-information page, showing the binary artifact and explicit validation blockers. The clinical status describes missing evidence and does not disable the current research inference endpoint. The lower severity entry is outside this viewport.</w:t>
      </w:r>
    </w:p>
    <w:p>
      <w:pPr>
        <w:widowControl/>
        <w:jc w:val="both"/>
      </w:pPr>
      <w:r>
        <w:rPr>
          <w:rFonts w:ascii="Times New Roman" w:hAnsi="Times New Roman"/>
          <w:b w:val="0"/>
          <w:i w:val="0"/>
          <w:color w:val="000000"/>
          <w:sz w:val="20"/>
        </w:rPr>
        <w:t>Interface interpretation. These figures document implemented screens rather than a clinical case. The platform can accept an image and display model scores, but neither interface availability nor a successful request establishes disease-detection accuracy. The upload workflow and the registry metadata are described in Sections IV and V.</w:t>
      </w:r>
    </w:p>
    <w:sectPr w:rsidR="00895E49" w:rsidSect="00034616">
      <w:pgSz w:w="12240" w:h="15840"/>
      <w:pgMar w:top="1080" w:right="907" w:bottom="1440" w:left="907" w:header="720" w:footer="720" w:gutter="0"/>
      <w:cols w:num="1"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791465">
    <w:abstractNumId w:val="8"/>
  </w:num>
  <w:num w:numId="2" w16cid:durableId="574901668">
    <w:abstractNumId w:val="6"/>
  </w:num>
  <w:num w:numId="3" w16cid:durableId="1112240483">
    <w:abstractNumId w:val="5"/>
  </w:num>
  <w:num w:numId="4" w16cid:durableId="1414427346">
    <w:abstractNumId w:val="4"/>
  </w:num>
  <w:num w:numId="5" w16cid:durableId="1086733402">
    <w:abstractNumId w:val="7"/>
  </w:num>
  <w:num w:numId="6" w16cid:durableId="1047336351">
    <w:abstractNumId w:val="3"/>
  </w:num>
  <w:num w:numId="7" w16cid:durableId="129438940">
    <w:abstractNumId w:val="2"/>
  </w:num>
  <w:num w:numId="8" w16cid:durableId="1181311729">
    <w:abstractNumId w:val="1"/>
  </w:num>
  <w:num w:numId="9" w16cid:durableId="1385838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54A"/>
    <w:rsid w:val="00326F90"/>
    <w:rsid w:val="00895E49"/>
    <w:rsid w:val="008D14CC"/>
    <w:rsid w:val="00AA1D8D"/>
    <w:rsid w:val="00B47730"/>
    <w:rsid w:val="00CB0664"/>
    <w:rsid w:val="00DC4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7115F"/>
  <w14:defaultImageDpi w14:val="300"/>
  <w15:docId w15:val="{11B46F2A-4D41-40B7-B21D-CEEBDEE6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59B"/>
    <w:pPr>
      <w:spacing w:after="100" w:before="0" w:line="240" w:lineRule="auto"/>
    </w:pPr>
    <w:rPr>
      <w:rFonts w:ascii="Times New Roman" w:hAnsi="Times New Roman"/>
      <w:b w:val="0"/>
      <w:i w:val="0"/>
      <w:color w:val="000000"/>
      <w:sz w:val="20"/>
    </w:rPr>
  </w:style>
  <w:style w:type="paragraph" w:styleId="Heading1">
    <w:name w:val="heading 1"/>
    <w:basedOn w:val="Normal"/>
    <w:next w:val="Normal"/>
    <w:link w:val="Heading1Char"/>
    <w:uiPriority w:val="9"/>
    <w:qFormat/>
    <w:rsid w:val="00FC693F"/>
    <w:pPr>
      <w:keepNext/>
      <w:keepLines/>
      <w:spacing w:before="160" w:after="100" w:line="240" w:lineRule="auto"/>
      <w:jc w:val="center"/>
      <w:outlineLvl w:val="0"/>
    </w:pPr>
    <w:rPr>
      <w:rFonts w:asciiTheme="majorHAnsi" w:eastAsiaTheme="majorEastAsia" w:hAnsiTheme="majorHAnsi" w:cstheme="majorBidi" w:ascii="Times New Roman" w:hAnsi="Times New Roman"/>
      <w:b w:val="0"/>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b w:val="0"/>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00"/>
    </w:pPr>
    <w:rPr>
      <w:rFonts w:ascii="Times New Roman" w:hAnsi="Times New Roman"/>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3026</Words>
  <Characters>17253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OpthaEdge for Diabetic Retinopathy Research Screening and Model Governance</dc:title>
  <dc:subject>System implementation and technical verification of a research retinal-screening platform</dc:subject>
  <dc:creator>Shamail Pawar; Faizan Mustafa Shaikh; Ayaan Shaikh</dc:creator>
  <cp:keywords>diabetic retinopathy, ONNX, research software, model governance</cp:keywords>
  <dc:description>generated by python-docx</dc:description>
  <cp:lastModifiedBy>Siddhesh Sanap</cp:lastModifiedBy>
  <cp:revision>2</cp:revision>
  <dcterms:created xsi:type="dcterms:W3CDTF">2026-09-29T06:46:00Z</dcterms:created>
  <dcterms:modified xsi:type="dcterms:W3CDTF">2026-09-29T06:46:00Z</dcterms:modified>
  <cp:category/>
</cp:coreProperties>
</file>