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1E3A8A"/>
          <w:sz w:val="44"/>
        </w:rPr>
        <w:t>SafeAd AI - Video Content Policy Accuracy Check Results</w:t>
      </w:r>
    </w:p>
    <w:p>
      <w:pPr>
        <w:spacing w:after="240"/>
      </w:pPr>
      <w:r>
        <w:rPr>
          <w:i/>
          <w:color w:val="475569"/>
          <w:sz w:val="22"/>
        </w:rPr>
        <w:t>Empirical Multi-Class Video Policy Benchmark Report | QuadRos-MBCET SafeAd Platform</w:t>
      </w:r>
    </w:p>
    <w:tbl>
      <w:tblPr>
        <w:tblW w:type="auto" w:w="0"/>
        <w:jc w:val="center"/>
        <w:tblLayout w:type="fixed"/>
        <w:tblLook w:firstColumn="1" w:firstRow="1" w:lastColumn="0" w:lastRow="0" w:noHBand="0" w:noVBand="1" w:val="04A0"/>
      </w:tblPr>
      <w:tblGrid>
        <w:gridCol w:w="4968"/>
        <w:gridCol w:w="4968"/>
      </w:tblGrid>
      <w:tr>
        <w:tc>
          <w:tcPr>
            <w:tcW w:type="dxa" w:w="4968"/>
            <w:shd w:fill="F1F5F9"/>
            <w:tcMar>
              <w:top w:w="80" w:type="dxa"/>
              <w:bottom w:w="80" w:type="dxa"/>
              <w:left w:w="120" w:type="dxa"/>
              <w:right w:w="120" w:type="dxa"/>
            </w:tcMar>
          </w:tcPr>
          <w:p>
            <w:pPr>
              <w:spacing w:after="0"/>
            </w:pPr>
            <w:r>
              <w:rPr>
                <w:b/>
                <w:color w:val="334155"/>
                <w:sz w:val="19"/>
              </w:rPr>
              <w:t xml:space="preserve">Evaluation Dataset: </w:t>
            </w:r>
            <w:r>
              <w:rPr>
                <w:color w:val="0F172A"/>
                <w:sz w:val="19"/>
              </w:rPr>
              <w:t>QuadRos-MBCET / safead-dataset-hub</w:t>
            </w:r>
          </w:p>
        </w:tc>
        <w:tc>
          <w:tcPr>
            <w:tcW w:type="dxa" w:w="4968"/>
            <w:shd w:fill="F1F5F9"/>
            <w:tcMar>
              <w:top w:w="80" w:type="dxa"/>
              <w:bottom w:w="80" w:type="dxa"/>
              <w:left w:w="120" w:type="dxa"/>
              <w:right w:w="120" w:type="dxa"/>
            </w:tcMar>
          </w:tcPr>
          <w:p>
            <w:pPr>
              <w:spacing w:after="0"/>
            </w:pPr>
            <w:r>
              <w:rPr>
                <w:b/>
                <w:color w:val="334155"/>
                <w:sz w:val="19"/>
              </w:rPr>
              <w:t xml:space="preserve">Total Evaluated Videos: </w:t>
            </w:r>
            <w:r>
              <w:rPr>
                <w:color w:val="0F172A"/>
                <w:sz w:val="19"/>
              </w:rPr>
              <w:t>80 Real MP4 Video Ads</w:t>
            </w:r>
          </w:p>
        </w:tc>
      </w:tr>
      <w:tr>
        <w:tc>
          <w:tcPr>
            <w:tcW w:type="dxa" w:w="4968"/>
            <w:shd w:fill="F1F5F9"/>
            <w:tcMar>
              <w:top w:w="80" w:type="dxa"/>
              <w:bottom w:w="80" w:type="dxa"/>
              <w:left w:w="120" w:type="dxa"/>
              <w:right w:w="120" w:type="dxa"/>
            </w:tcMar>
          </w:tcPr>
          <w:p>
            <w:pPr>
              <w:spacing w:after="0"/>
            </w:pPr>
            <w:r>
              <w:rPr>
                <w:b/>
                <w:color w:val="334155"/>
                <w:sz w:val="19"/>
              </w:rPr>
              <w:t xml:space="preserve">Evaluation Framework: </w:t>
            </w:r>
            <w:r>
              <w:rPr>
                <w:color w:val="0F172A"/>
                <w:sz w:val="19"/>
              </w:rPr>
              <w:t>OpenCV + EasyOCR + ResNet/MobileNet + Audio</w:t>
            </w:r>
          </w:p>
        </w:tc>
        <w:tc>
          <w:tcPr>
            <w:tcW w:type="dxa" w:w="4968"/>
            <w:shd w:fill="F1F5F9"/>
            <w:tcMar>
              <w:top w:w="80" w:type="dxa"/>
              <w:bottom w:w="80" w:type="dxa"/>
              <w:left w:w="120" w:type="dxa"/>
              <w:right w:w="120" w:type="dxa"/>
            </w:tcMar>
          </w:tcPr>
          <w:p>
            <w:pPr>
              <w:spacing w:after="0"/>
            </w:pPr>
            <w:r>
              <w:rPr>
                <w:b/>
                <w:color w:val="334155"/>
                <w:sz w:val="19"/>
              </w:rPr>
              <w:t xml:space="preserve">Overall Accuracy / FAR: </w:t>
            </w:r>
            <w:r>
              <w:rPr>
                <w:color w:val="0F172A"/>
                <w:sz w:val="19"/>
              </w:rPr>
              <w:t>80.00% Multiclass | 3.33% FAR</w:t>
            </w:r>
          </w:p>
        </w:tc>
      </w:tr>
    </w:tbl>
    <w:p>
      <w:pPr>
        <w:spacing w:after="120"/>
      </w:pPr>
    </w:p>
    <w:p>
      <w:pPr>
        <w:pStyle w:val="Heading1"/>
        <w:spacing w:before="280" w:after="120"/>
      </w:pPr>
      <w:r>
        <w:rPr>
          <w:b/>
          <w:color w:val="0F172A"/>
          <w:sz w:val="32"/>
        </w:rPr>
        <w:t>1. Executive Summary &amp; Benchmark Overview</w:t>
      </w:r>
    </w:p>
    <w:p>
      <w:pPr>
        <w:spacing w:after="160" w:line="276" w:lineRule="auto"/>
      </w:pPr>
      <w:r>
        <w:t>This report documents the empirical evaluation and policy compliance validation of the SafeAd AI multimodal ad classification engine against the official SafeAd benchmark repository (https://github.com/QuadRos-MBCET/safead-dataset-hub). The evaluated dataset comprises 80 physical video advertisements spanning high-risk adult categories, general consumer goods, teen entertainment, and hazardous content. The multimodal pipeline synthesizes on-screen OCR text detection, speech-to-text transcript analysis, visual frame feature extraction, and real-time motion vector estimation.</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477"/>
            <w:shd w:fill="F8FAFC"/>
            <w:tcMar>
              <w:top w:w="100" w:type="dxa"/>
              <w:bottom w:w="100" w:type="dxa"/>
              <w:left w:w="80" w:type="dxa"/>
              <w:right w:w="80" w:type="dxa"/>
            </w:tcMar>
          </w:tcPr>
          <w:p>
            <w:pPr>
              <w:spacing w:after="20"/>
              <w:jc w:val="center"/>
            </w:pPr>
            <w:r>
              <w:rPr>
                <w:b/>
                <w:color w:val="0284C7"/>
                <w:sz w:val="32"/>
              </w:rPr>
              <w:t>80.00%</w:t>
            </w:r>
          </w:p>
          <w:p>
            <w:pPr>
              <w:spacing w:after="20"/>
              <w:jc w:val="center"/>
            </w:pPr>
            <w:r>
              <w:rPr>
                <w:b/>
                <w:color w:val="334155"/>
                <w:sz w:val="17"/>
              </w:rPr>
              <w:t>Overall Accuracy</w:t>
            </w:r>
          </w:p>
          <w:p>
            <w:pPr>
              <w:spacing w:after="0"/>
              <w:jc w:val="center"/>
            </w:pPr>
            <w:r>
              <w:rPr>
                <w:color w:val="64748B"/>
                <w:sz w:val="15"/>
              </w:rPr>
              <w:t>64 / 80 correct</w:t>
            </w:r>
          </w:p>
        </w:tc>
        <w:tc>
          <w:tcPr>
            <w:tcW w:type="dxa" w:w="2477"/>
            <w:shd w:fill="F8FAFC"/>
            <w:tcMar>
              <w:top w:w="100" w:type="dxa"/>
              <w:bottom w:w="100" w:type="dxa"/>
              <w:left w:w="80" w:type="dxa"/>
              <w:right w:w="80" w:type="dxa"/>
            </w:tcMar>
          </w:tcPr>
          <w:p>
            <w:pPr>
              <w:spacing w:after="20"/>
              <w:jc w:val="center"/>
            </w:pPr>
            <w:r>
              <w:rPr>
                <w:b/>
                <w:color w:val="16A34A"/>
                <w:sz w:val="32"/>
              </w:rPr>
              <w:t>96.67%</w:t>
            </w:r>
          </w:p>
          <w:p>
            <w:pPr>
              <w:spacing w:after="20"/>
              <w:jc w:val="center"/>
            </w:pPr>
            <w:r>
              <w:rPr>
                <w:b/>
                <w:color w:val="334155"/>
                <w:sz w:val="17"/>
              </w:rPr>
              <w:t>Harmful Recall</w:t>
            </w:r>
          </w:p>
          <w:p>
            <w:pPr>
              <w:spacing w:after="0"/>
              <w:jc w:val="center"/>
            </w:pPr>
            <w:r>
              <w:rPr>
                <w:color w:val="64748B"/>
                <w:sz w:val="15"/>
              </w:rPr>
              <w:t>29 / 30 intercepted</w:t>
            </w:r>
          </w:p>
        </w:tc>
        <w:tc>
          <w:tcPr>
            <w:tcW w:type="dxa" w:w="2477"/>
            <w:shd w:fill="F8FAFC"/>
            <w:tcMar>
              <w:top w:w="100" w:type="dxa"/>
              <w:bottom w:w="100" w:type="dxa"/>
              <w:left w:w="80" w:type="dxa"/>
              <w:right w:w="80" w:type="dxa"/>
            </w:tcMar>
          </w:tcPr>
          <w:p>
            <w:pPr>
              <w:spacing w:after="20"/>
              <w:jc w:val="center"/>
            </w:pPr>
            <w:r>
              <w:rPr>
                <w:b/>
                <w:color w:val="DC2626"/>
                <w:sz w:val="32"/>
              </w:rPr>
              <w:t>3.33%</w:t>
            </w:r>
          </w:p>
          <w:p>
            <w:pPr>
              <w:spacing w:after="20"/>
              <w:jc w:val="center"/>
            </w:pPr>
            <w:r>
              <w:rPr>
                <w:b/>
                <w:color w:val="334155"/>
                <w:sz w:val="17"/>
              </w:rPr>
              <w:t>False Acceptance Rate</w:t>
            </w:r>
          </w:p>
          <w:p>
            <w:pPr>
              <w:spacing w:after="0"/>
              <w:jc w:val="center"/>
            </w:pPr>
            <w:r>
              <w:rPr>
                <w:color w:val="64748B"/>
                <w:sz w:val="15"/>
              </w:rPr>
              <w:t>Only 1 ad misclassified as safe</w:t>
            </w:r>
          </w:p>
        </w:tc>
        <w:tc>
          <w:tcPr>
            <w:tcW w:type="dxa" w:w="2477"/>
            <w:shd w:fill="F8FAFC"/>
            <w:tcMar>
              <w:top w:w="100" w:type="dxa"/>
              <w:bottom w:w="100" w:type="dxa"/>
              <w:left w:w="80" w:type="dxa"/>
              <w:right w:w="80" w:type="dxa"/>
            </w:tcMar>
          </w:tcPr>
          <w:p>
            <w:pPr>
              <w:spacing w:after="20"/>
              <w:jc w:val="center"/>
            </w:pPr>
            <w:r>
              <w:rPr>
                <w:b/>
                <w:color w:val="6366F1"/>
                <w:sz w:val="32"/>
              </w:rPr>
              <w:t>58.9 ms</w:t>
            </w:r>
          </w:p>
          <w:p>
            <w:pPr>
              <w:spacing w:after="20"/>
              <w:jc w:val="center"/>
            </w:pPr>
            <w:r>
              <w:rPr>
                <w:b/>
                <w:color w:val="334155"/>
                <w:sz w:val="17"/>
              </w:rPr>
              <w:t>Average Latency</w:t>
            </w:r>
          </w:p>
          <w:p>
            <w:pPr>
              <w:spacing w:after="0"/>
              <w:jc w:val="center"/>
            </w:pPr>
            <w:r>
              <w:rPr>
                <w:color w:val="64748B"/>
                <w:sz w:val="15"/>
              </w:rPr>
              <w:t>Per-video policy verdict</w:t>
            </w:r>
          </w:p>
        </w:tc>
      </w:tr>
    </w:tbl>
    <w:p>
      <w:pPr>
        <w:spacing w:after="120"/>
      </w:pPr>
    </w:p>
    <w:p>
      <w:pPr>
        <w:pStyle w:val="Heading1"/>
        <w:spacing w:before="280" w:after="120"/>
      </w:pPr>
      <w:r>
        <w:rPr>
          <w:b/>
          <w:color w:val="0F172A"/>
          <w:sz w:val="32"/>
        </w:rPr>
        <w:t>2. Multi-Class Policy Evaluation Results</w:t>
      </w: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c>
          <w:tcPr>
            <w:tcW w:type="dxa" w:w="2160"/>
            <w:shd w:fill="1E3A8A"/>
            <w:tcMar>
              <w:top w:w="100" w:type="dxa"/>
              <w:bottom w:w="100" w:type="dxa"/>
              <w:left w:w="80" w:type="dxa"/>
              <w:right w:w="80" w:type="dxa"/>
            </w:tcMar>
          </w:tcPr>
          <w:p>
            <w:pPr>
              <w:jc w:val="center"/>
            </w:pPr>
            <w:r>
              <w:rPr>
                <w:b/>
                <w:color w:val="FFFFFF"/>
                <w:sz w:val="18"/>
              </w:rPr>
              <w:t>Policy Class</w:t>
            </w:r>
          </w:p>
        </w:tc>
        <w:tc>
          <w:tcPr>
            <w:tcW w:type="dxa" w:w="1296"/>
            <w:shd w:fill="1E3A8A"/>
            <w:tcMar>
              <w:top w:w="100" w:type="dxa"/>
              <w:bottom w:w="100" w:type="dxa"/>
              <w:left w:w="80" w:type="dxa"/>
              <w:right w:w="80" w:type="dxa"/>
            </w:tcMar>
          </w:tcPr>
          <w:p>
            <w:pPr>
              <w:jc w:val="center"/>
            </w:pPr>
            <w:r>
              <w:rPr>
                <w:b/>
                <w:color w:val="FFFFFF"/>
                <w:sz w:val="18"/>
              </w:rPr>
              <w:t>Dataset Count</w:t>
            </w:r>
          </w:p>
        </w:tc>
        <w:tc>
          <w:tcPr>
            <w:tcW w:type="dxa" w:w="1296"/>
            <w:shd w:fill="1E3A8A"/>
            <w:tcMar>
              <w:top w:w="100" w:type="dxa"/>
              <w:bottom w:w="100" w:type="dxa"/>
              <w:left w:w="80" w:type="dxa"/>
              <w:right w:w="80" w:type="dxa"/>
            </w:tcMar>
          </w:tcPr>
          <w:p>
            <w:pPr>
              <w:jc w:val="center"/>
            </w:pPr>
            <w:r>
              <w:rPr>
                <w:b/>
                <w:color w:val="FFFFFF"/>
                <w:sz w:val="18"/>
              </w:rPr>
              <w:t>Correct Hits</w:t>
            </w:r>
          </w:p>
        </w:tc>
        <w:tc>
          <w:tcPr>
            <w:tcW w:type="dxa" w:w="1440"/>
            <w:shd w:fill="1E3A8A"/>
            <w:tcMar>
              <w:top w:w="100" w:type="dxa"/>
              <w:bottom w:w="100" w:type="dxa"/>
              <w:left w:w="80" w:type="dxa"/>
              <w:right w:w="80" w:type="dxa"/>
            </w:tcMar>
          </w:tcPr>
          <w:p>
            <w:pPr>
              <w:jc w:val="center"/>
            </w:pPr>
            <w:r>
              <w:rPr>
                <w:b/>
                <w:color w:val="FFFFFF"/>
                <w:sz w:val="18"/>
              </w:rPr>
              <w:t>Accuracy (%)</w:t>
            </w:r>
          </w:p>
        </w:tc>
        <w:tc>
          <w:tcPr>
            <w:tcW w:type="dxa" w:w="1872"/>
            <w:shd w:fill="1E3A8A"/>
            <w:tcMar>
              <w:top w:w="100" w:type="dxa"/>
              <w:bottom w:w="100" w:type="dxa"/>
              <w:left w:w="80" w:type="dxa"/>
              <w:right w:w="80" w:type="dxa"/>
            </w:tcMar>
          </w:tcPr>
          <w:p>
            <w:pPr>
              <w:jc w:val="center"/>
            </w:pPr>
            <w:r>
              <w:rPr>
                <w:b/>
                <w:color w:val="FFFFFF"/>
                <w:sz w:val="18"/>
              </w:rPr>
              <w:t>Interception Status</w:t>
            </w:r>
          </w:p>
        </w:tc>
        <w:tc>
          <w:tcPr>
            <w:tcW w:type="dxa" w:w="1872"/>
            <w:shd w:fill="1E3A8A"/>
            <w:tcMar>
              <w:top w:w="100" w:type="dxa"/>
              <w:bottom w:w="100" w:type="dxa"/>
              <w:left w:w="80" w:type="dxa"/>
              <w:right w:w="80" w:type="dxa"/>
            </w:tcMar>
          </w:tcPr>
          <w:p>
            <w:pPr>
              <w:jc w:val="center"/>
            </w:pPr>
            <w:r>
              <w:rPr>
                <w:b/>
                <w:color w:val="FFFFFF"/>
                <w:sz w:val="18"/>
              </w:rPr>
              <w:t>Domain Category</w:t>
            </w:r>
          </w:p>
        </w:tc>
      </w:tr>
      <w:tr>
        <w:tc>
          <w:tcPr>
            <w:tcW w:type="dxa" w:w="2160"/>
            <w:shd w:fill="F8FAFC"/>
            <w:tcMar>
              <w:top w:w="80" w:type="dxa"/>
              <w:bottom w:w="80" w:type="dxa"/>
              <w:left w:w="80" w:type="dxa"/>
              <w:right w:w="80" w:type="dxa"/>
            </w:tcMar>
          </w:tcPr>
          <w:p>
            <w:pPr>
              <w:jc w:val="left"/>
            </w:pPr>
            <w:r>
              <w:rPr>
                <w:b/>
                <w:sz w:val="17"/>
              </w:rPr>
              <w:t>SAFE_18_PLUS</w:t>
            </w:r>
          </w:p>
        </w:tc>
        <w:tc>
          <w:tcPr>
            <w:tcW w:type="dxa" w:w="1296"/>
            <w:shd w:fill="F8FAFC"/>
            <w:tcMar>
              <w:top w:w="80" w:type="dxa"/>
              <w:bottom w:w="80" w:type="dxa"/>
              <w:left w:w="80" w:type="dxa"/>
              <w:right w:w="80" w:type="dxa"/>
            </w:tcMar>
          </w:tcPr>
          <w:p>
            <w:pPr>
              <w:jc w:val="center"/>
            </w:pPr>
            <w:r>
              <w:rPr>
                <w:sz w:val="17"/>
              </w:rPr>
              <w:t>25</w:t>
            </w:r>
          </w:p>
        </w:tc>
        <w:tc>
          <w:tcPr>
            <w:tcW w:type="dxa" w:w="1296"/>
            <w:shd w:fill="F8FAFC"/>
            <w:tcMar>
              <w:top w:w="80" w:type="dxa"/>
              <w:bottom w:w="80" w:type="dxa"/>
              <w:left w:w="80" w:type="dxa"/>
              <w:right w:w="80" w:type="dxa"/>
            </w:tcMar>
          </w:tcPr>
          <w:p>
            <w:pPr>
              <w:jc w:val="center"/>
            </w:pPr>
            <w:r>
              <w:rPr>
                <w:sz w:val="17"/>
              </w:rPr>
              <w:t>23</w:t>
            </w:r>
          </w:p>
        </w:tc>
        <w:tc>
          <w:tcPr>
            <w:tcW w:type="dxa" w:w="1440"/>
            <w:shd w:fill="F8FAFC"/>
            <w:tcMar>
              <w:top w:w="80" w:type="dxa"/>
              <w:bottom w:w="80" w:type="dxa"/>
              <w:left w:w="80" w:type="dxa"/>
              <w:right w:w="80" w:type="dxa"/>
            </w:tcMar>
          </w:tcPr>
          <w:p>
            <w:pPr>
              <w:jc w:val="center"/>
            </w:pPr>
            <w:r>
              <w:rPr>
                <w:b/>
                <w:color w:val="16A34A"/>
                <w:sz w:val="17"/>
              </w:rPr>
              <w:t>92.00%</w:t>
            </w:r>
          </w:p>
        </w:tc>
        <w:tc>
          <w:tcPr>
            <w:tcW w:type="dxa" w:w="1872"/>
            <w:shd w:fill="F8FAFC"/>
            <w:tcMar>
              <w:top w:w="80" w:type="dxa"/>
              <w:bottom w:w="80" w:type="dxa"/>
              <w:left w:w="80" w:type="dxa"/>
              <w:right w:w="80" w:type="dxa"/>
            </w:tcMar>
          </w:tcPr>
          <w:p>
            <w:pPr>
              <w:jc w:val="left"/>
            </w:pPr>
            <w:r>
              <w:rPr>
                <w:sz w:val="17"/>
              </w:rPr>
              <w:t>23 / 25 intercepted</w:t>
            </w:r>
          </w:p>
        </w:tc>
        <w:tc>
          <w:tcPr>
            <w:tcW w:type="dxa" w:w="1872"/>
            <w:shd w:fill="F8FAFC"/>
            <w:tcMar>
              <w:top w:w="80" w:type="dxa"/>
              <w:bottom w:w="80" w:type="dxa"/>
              <w:left w:w="80" w:type="dxa"/>
              <w:right w:w="80" w:type="dxa"/>
            </w:tcMar>
          </w:tcPr>
          <w:p>
            <w:pPr>
              <w:jc w:val="left"/>
            </w:pPr>
            <w:r>
              <w:rPr>
                <w:sz w:val="17"/>
              </w:rPr>
              <w:t>Alcohol, Casino, Betting, Crypto</w:t>
            </w:r>
          </w:p>
        </w:tc>
      </w:tr>
      <w:tr>
        <w:tc>
          <w:tcPr>
            <w:tcW w:type="dxa" w:w="2160"/>
            <w:shd w:fill="FFFFFF"/>
            <w:tcMar>
              <w:top w:w="80" w:type="dxa"/>
              <w:bottom w:w="80" w:type="dxa"/>
              <w:left w:w="80" w:type="dxa"/>
              <w:right w:w="80" w:type="dxa"/>
            </w:tcMar>
          </w:tcPr>
          <w:p>
            <w:pPr>
              <w:jc w:val="left"/>
            </w:pPr>
            <w:r>
              <w:rPr>
                <w:b/>
                <w:sz w:val="17"/>
              </w:rPr>
              <w:t>SAFE_FOR_ALL</w:t>
            </w:r>
          </w:p>
        </w:tc>
        <w:tc>
          <w:tcPr>
            <w:tcW w:type="dxa" w:w="1296"/>
            <w:shd w:fill="FFFFFF"/>
            <w:tcMar>
              <w:top w:w="80" w:type="dxa"/>
              <w:bottom w:w="80" w:type="dxa"/>
              <w:left w:w="80" w:type="dxa"/>
              <w:right w:w="80" w:type="dxa"/>
            </w:tcMar>
          </w:tcPr>
          <w:p>
            <w:pPr>
              <w:jc w:val="center"/>
            </w:pPr>
            <w:r>
              <w:rPr>
                <w:sz w:val="17"/>
              </w:rPr>
              <w:t>25</w:t>
            </w:r>
          </w:p>
        </w:tc>
        <w:tc>
          <w:tcPr>
            <w:tcW w:type="dxa" w:w="1296"/>
            <w:shd w:fill="FFFFFF"/>
            <w:tcMar>
              <w:top w:w="80" w:type="dxa"/>
              <w:bottom w:w="80" w:type="dxa"/>
              <w:left w:w="80" w:type="dxa"/>
              <w:right w:w="80" w:type="dxa"/>
            </w:tcMar>
          </w:tcPr>
          <w:p>
            <w:pPr>
              <w:jc w:val="center"/>
            </w:pPr>
            <w:r>
              <w:rPr>
                <w:sz w:val="17"/>
              </w:rPr>
              <w:t>22</w:t>
            </w:r>
          </w:p>
        </w:tc>
        <w:tc>
          <w:tcPr>
            <w:tcW w:type="dxa" w:w="1440"/>
            <w:shd w:fill="FFFFFF"/>
            <w:tcMar>
              <w:top w:w="80" w:type="dxa"/>
              <w:bottom w:w="80" w:type="dxa"/>
              <w:left w:w="80" w:type="dxa"/>
              <w:right w:w="80" w:type="dxa"/>
            </w:tcMar>
          </w:tcPr>
          <w:p>
            <w:pPr>
              <w:jc w:val="center"/>
            </w:pPr>
            <w:r>
              <w:rPr>
                <w:b/>
                <w:color w:val="16A34A"/>
                <w:sz w:val="17"/>
              </w:rPr>
              <w:t>88.00%</w:t>
            </w:r>
          </w:p>
        </w:tc>
        <w:tc>
          <w:tcPr>
            <w:tcW w:type="dxa" w:w="1872"/>
            <w:shd w:fill="FFFFFF"/>
            <w:tcMar>
              <w:top w:w="80" w:type="dxa"/>
              <w:bottom w:w="80" w:type="dxa"/>
              <w:left w:w="80" w:type="dxa"/>
              <w:right w:w="80" w:type="dxa"/>
            </w:tcMar>
          </w:tcPr>
          <w:p>
            <w:pPr>
              <w:jc w:val="left"/>
            </w:pPr>
            <w:r>
              <w:rPr>
                <w:sz w:val="17"/>
              </w:rPr>
              <w:t>22 / 25 approved</w:t>
            </w:r>
          </w:p>
        </w:tc>
        <w:tc>
          <w:tcPr>
            <w:tcW w:type="dxa" w:w="1872"/>
            <w:shd w:fill="FFFFFF"/>
            <w:tcMar>
              <w:top w:w="80" w:type="dxa"/>
              <w:bottom w:w="80" w:type="dxa"/>
              <w:left w:w="80" w:type="dxa"/>
              <w:right w:w="80" w:type="dxa"/>
            </w:tcMar>
          </w:tcPr>
          <w:p>
            <w:pPr>
              <w:jc w:val="left"/>
            </w:pPr>
            <w:r>
              <w:rPr>
                <w:sz w:val="17"/>
              </w:rPr>
              <w:t>FMCG, Family Food, Stationery</w:t>
            </w:r>
          </w:p>
        </w:tc>
      </w:tr>
      <w:tr>
        <w:tc>
          <w:tcPr>
            <w:tcW w:type="dxa" w:w="2160"/>
            <w:shd w:fill="F8FAFC"/>
            <w:tcMar>
              <w:top w:w="80" w:type="dxa"/>
              <w:bottom w:w="80" w:type="dxa"/>
              <w:left w:w="80" w:type="dxa"/>
              <w:right w:w="80" w:type="dxa"/>
            </w:tcMar>
          </w:tcPr>
          <w:p>
            <w:pPr>
              <w:jc w:val="left"/>
            </w:pPr>
            <w:r>
              <w:rPr>
                <w:b/>
                <w:sz w:val="17"/>
              </w:rPr>
              <w:t>UNSAFE_FOR_ALL</w:t>
            </w:r>
          </w:p>
        </w:tc>
        <w:tc>
          <w:tcPr>
            <w:tcW w:type="dxa" w:w="1296"/>
            <w:shd w:fill="F8FAFC"/>
            <w:tcMar>
              <w:top w:w="80" w:type="dxa"/>
              <w:bottom w:w="80" w:type="dxa"/>
              <w:left w:w="80" w:type="dxa"/>
              <w:right w:w="80" w:type="dxa"/>
            </w:tcMar>
          </w:tcPr>
          <w:p>
            <w:pPr>
              <w:jc w:val="center"/>
            </w:pPr>
            <w:r>
              <w:rPr>
                <w:sz w:val="17"/>
              </w:rPr>
              <w:t>5</w:t>
            </w:r>
          </w:p>
        </w:tc>
        <w:tc>
          <w:tcPr>
            <w:tcW w:type="dxa" w:w="1296"/>
            <w:shd w:fill="F8FAFC"/>
            <w:tcMar>
              <w:top w:w="80" w:type="dxa"/>
              <w:bottom w:w="80" w:type="dxa"/>
              <w:left w:w="80" w:type="dxa"/>
              <w:right w:w="80" w:type="dxa"/>
            </w:tcMar>
          </w:tcPr>
          <w:p>
            <w:pPr>
              <w:jc w:val="center"/>
            </w:pPr>
            <w:r>
              <w:rPr>
                <w:sz w:val="17"/>
              </w:rPr>
              <w:t>4</w:t>
            </w:r>
          </w:p>
        </w:tc>
        <w:tc>
          <w:tcPr>
            <w:tcW w:type="dxa" w:w="1440"/>
            <w:shd w:fill="F8FAFC"/>
            <w:tcMar>
              <w:top w:w="80" w:type="dxa"/>
              <w:bottom w:w="80" w:type="dxa"/>
              <w:left w:w="80" w:type="dxa"/>
              <w:right w:w="80" w:type="dxa"/>
            </w:tcMar>
          </w:tcPr>
          <w:p>
            <w:pPr>
              <w:jc w:val="center"/>
            </w:pPr>
            <w:r>
              <w:rPr>
                <w:b/>
                <w:color w:val="0284C7"/>
                <w:sz w:val="17"/>
              </w:rPr>
              <w:t>80.00%</w:t>
            </w:r>
          </w:p>
        </w:tc>
        <w:tc>
          <w:tcPr>
            <w:tcW w:type="dxa" w:w="1872"/>
            <w:shd w:fill="F8FAFC"/>
            <w:tcMar>
              <w:top w:w="80" w:type="dxa"/>
              <w:bottom w:w="80" w:type="dxa"/>
              <w:left w:w="80" w:type="dxa"/>
              <w:right w:w="80" w:type="dxa"/>
            </w:tcMar>
          </w:tcPr>
          <w:p>
            <w:pPr>
              <w:jc w:val="left"/>
            </w:pPr>
            <w:r>
              <w:rPr>
                <w:sz w:val="17"/>
              </w:rPr>
              <w:t>4 / 5 blocked</w:t>
            </w:r>
          </w:p>
        </w:tc>
        <w:tc>
          <w:tcPr>
            <w:tcW w:type="dxa" w:w="1872"/>
            <w:shd w:fill="F8FAFC"/>
            <w:tcMar>
              <w:top w:w="80" w:type="dxa"/>
              <w:bottom w:w="80" w:type="dxa"/>
              <w:left w:w="80" w:type="dxa"/>
              <w:right w:w="80" w:type="dxa"/>
            </w:tcMar>
          </w:tcPr>
          <w:p>
            <w:pPr>
              <w:jc w:val="left"/>
            </w:pPr>
            <w:r>
              <w:rPr>
                <w:sz w:val="17"/>
              </w:rPr>
              <w:t>Weapons, Real Violence, Narcotics</w:t>
            </w:r>
          </w:p>
        </w:tc>
      </w:tr>
      <w:tr>
        <w:tc>
          <w:tcPr>
            <w:tcW w:type="dxa" w:w="2160"/>
            <w:shd w:fill="FFFFFF"/>
            <w:tcMar>
              <w:top w:w="80" w:type="dxa"/>
              <w:bottom w:w="80" w:type="dxa"/>
              <w:left w:w="80" w:type="dxa"/>
              <w:right w:w="80" w:type="dxa"/>
            </w:tcMar>
          </w:tcPr>
          <w:p>
            <w:pPr>
              <w:jc w:val="left"/>
            </w:pPr>
            <w:r>
              <w:rPr>
                <w:b/>
                <w:sz w:val="17"/>
              </w:rPr>
              <w:t>SAFE_14_PLUS</w:t>
            </w:r>
          </w:p>
        </w:tc>
        <w:tc>
          <w:tcPr>
            <w:tcW w:type="dxa" w:w="1296"/>
            <w:shd w:fill="FFFFFF"/>
            <w:tcMar>
              <w:top w:w="80" w:type="dxa"/>
              <w:bottom w:w="80" w:type="dxa"/>
              <w:left w:w="80" w:type="dxa"/>
              <w:right w:w="80" w:type="dxa"/>
            </w:tcMar>
          </w:tcPr>
          <w:p>
            <w:pPr>
              <w:jc w:val="center"/>
            </w:pPr>
            <w:r>
              <w:rPr>
                <w:sz w:val="17"/>
              </w:rPr>
              <w:t>25</w:t>
            </w:r>
          </w:p>
        </w:tc>
        <w:tc>
          <w:tcPr>
            <w:tcW w:type="dxa" w:w="1296"/>
            <w:shd w:fill="FFFFFF"/>
            <w:tcMar>
              <w:top w:w="80" w:type="dxa"/>
              <w:bottom w:w="80" w:type="dxa"/>
              <w:left w:w="80" w:type="dxa"/>
              <w:right w:w="80" w:type="dxa"/>
            </w:tcMar>
          </w:tcPr>
          <w:p>
            <w:pPr>
              <w:jc w:val="center"/>
            </w:pPr>
            <w:r>
              <w:rPr>
                <w:sz w:val="17"/>
              </w:rPr>
              <w:t>15</w:t>
            </w:r>
          </w:p>
        </w:tc>
        <w:tc>
          <w:tcPr>
            <w:tcW w:type="dxa" w:w="1440"/>
            <w:shd w:fill="FFFFFF"/>
            <w:tcMar>
              <w:top w:w="80" w:type="dxa"/>
              <w:bottom w:w="80" w:type="dxa"/>
              <w:left w:w="80" w:type="dxa"/>
              <w:right w:w="80" w:type="dxa"/>
            </w:tcMar>
          </w:tcPr>
          <w:p>
            <w:pPr>
              <w:jc w:val="center"/>
            </w:pPr>
            <w:r>
              <w:rPr>
                <w:b/>
                <w:color w:val="D97706"/>
                <w:sz w:val="17"/>
              </w:rPr>
              <w:t>60.00%</w:t>
            </w:r>
          </w:p>
        </w:tc>
        <w:tc>
          <w:tcPr>
            <w:tcW w:type="dxa" w:w="1872"/>
            <w:shd w:fill="FFFFFF"/>
            <w:tcMar>
              <w:top w:w="80" w:type="dxa"/>
              <w:bottom w:w="80" w:type="dxa"/>
              <w:left w:w="80" w:type="dxa"/>
              <w:right w:w="80" w:type="dxa"/>
            </w:tcMar>
          </w:tcPr>
          <w:p>
            <w:pPr>
              <w:jc w:val="left"/>
            </w:pPr>
            <w:r>
              <w:rPr>
                <w:sz w:val="17"/>
              </w:rPr>
              <w:t>15 / 25 classified</w:t>
            </w:r>
          </w:p>
        </w:tc>
        <w:tc>
          <w:tcPr>
            <w:tcW w:type="dxa" w:w="1872"/>
            <w:shd w:fill="FFFFFF"/>
            <w:tcMar>
              <w:top w:w="80" w:type="dxa"/>
              <w:bottom w:w="80" w:type="dxa"/>
              <w:left w:w="80" w:type="dxa"/>
              <w:right w:w="80" w:type="dxa"/>
            </w:tcMar>
          </w:tcPr>
          <w:p>
            <w:pPr>
              <w:jc w:val="left"/>
            </w:pPr>
            <w:r>
              <w:rPr>
                <w:sz w:val="17"/>
              </w:rPr>
              <w:t>Gaming, Energy Drinks, Fast Fashion</w:t>
            </w:r>
          </w:p>
        </w:tc>
      </w:tr>
      <w:tr>
        <w:tc>
          <w:tcPr>
            <w:tcW w:type="dxa" w:w="2160"/>
            <w:shd w:fill="E2E8F0"/>
            <w:tcMar>
              <w:top w:w="80" w:type="dxa"/>
              <w:bottom w:w="80" w:type="dxa"/>
              <w:left w:w="80" w:type="dxa"/>
              <w:right w:w="80" w:type="dxa"/>
            </w:tcMar>
          </w:tcPr>
          <w:p>
            <w:pPr>
              <w:jc w:val="left"/>
            </w:pPr>
            <w:r>
              <w:rPr>
                <w:b/>
                <w:sz w:val="17"/>
              </w:rPr>
              <w:t>Multiclass Overall</w:t>
            </w:r>
          </w:p>
        </w:tc>
        <w:tc>
          <w:tcPr>
            <w:tcW w:type="dxa" w:w="1296"/>
            <w:shd w:fill="E2E8F0"/>
            <w:tcMar>
              <w:top w:w="80" w:type="dxa"/>
              <w:bottom w:w="80" w:type="dxa"/>
              <w:left w:w="80" w:type="dxa"/>
              <w:right w:w="80" w:type="dxa"/>
            </w:tcMar>
          </w:tcPr>
          <w:p>
            <w:pPr>
              <w:jc w:val="center"/>
            </w:pPr>
            <w:r>
              <w:rPr>
                <w:b/>
                <w:sz w:val="17"/>
              </w:rPr>
              <w:t>80</w:t>
            </w:r>
          </w:p>
        </w:tc>
        <w:tc>
          <w:tcPr>
            <w:tcW w:type="dxa" w:w="1296"/>
            <w:shd w:fill="E2E8F0"/>
            <w:tcMar>
              <w:top w:w="80" w:type="dxa"/>
              <w:bottom w:w="80" w:type="dxa"/>
              <w:left w:w="80" w:type="dxa"/>
              <w:right w:w="80" w:type="dxa"/>
            </w:tcMar>
          </w:tcPr>
          <w:p>
            <w:pPr>
              <w:jc w:val="center"/>
            </w:pPr>
            <w:r>
              <w:rPr>
                <w:b/>
                <w:sz w:val="17"/>
              </w:rPr>
              <w:t>64</w:t>
            </w:r>
          </w:p>
        </w:tc>
        <w:tc>
          <w:tcPr>
            <w:tcW w:type="dxa" w:w="1440"/>
            <w:shd w:fill="E2E8F0"/>
            <w:tcMar>
              <w:top w:w="80" w:type="dxa"/>
              <w:bottom w:w="80" w:type="dxa"/>
              <w:left w:w="80" w:type="dxa"/>
              <w:right w:w="80" w:type="dxa"/>
            </w:tcMar>
          </w:tcPr>
          <w:p>
            <w:pPr>
              <w:jc w:val="center"/>
            </w:pPr>
            <w:r>
              <w:rPr>
                <w:b/>
                <w:color w:val="0284C7"/>
                <w:sz w:val="17"/>
              </w:rPr>
              <w:t>80.00%</w:t>
            </w:r>
          </w:p>
        </w:tc>
        <w:tc>
          <w:tcPr>
            <w:tcW w:type="dxa" w:w="1872"/>
            <w:shd w:fill="E2E8F0"/>
            <w:tcMar>
              <w:top w:w="80" w:type="dxa"/>
              <w:bottom w:w="80" w:type="dxa"/>
              <w:left w:w="80" w:type="dxa"/>
              <w:right w:w="80" w:type="dxa"/>
            </w:tcMar>
          </w:tcPr>
          <w:p>
            <w:pPr>
              <w:jc w:val="left"/>
            </w:pPr>
            <w:r>
              <w:rPr>
                <w:b/>
                <w:sz w:val="17"/>
              </w:rPr>
              <w:t>64 / 80 overall</w:t>
            </w:r>
          </w:p>
        </w:tc>
        <w:tc>
          <w:tcPr>
            <w:tcW w:type="dxa" w:w="1872"/>
            <w:shd w:fill="E2E8F0"/>
            <w:tcMar>
              <w:top w:w="80" w:type="dxa"/>
              <w:bottom w:w="80" w:type="dxa"/>
              <w:left w:w="80" w:type="dxa"/>
              <w:right w:w="80" w:type="dxa"/>
            </w:tcMar>
          </w:tcPr>
          <w:p>
            <w:pPr>
              <w:jc w:val="left"/>
            </w:pPr>
            <w:r>
              <w:rPr>
                <w:b/>
                <w:sz w:val="17"/>
              </w:rPr>
              <w:t>Full Dataset Benchmark Suite</w:t>
            </w:r>
          </w:p>
        </w:tc>
      </w:tr>
    </w:tbl>
    <w:p>
      <w:pPr>
        <w:spacing w:after="120"/>
      </w:pPr>
    </w:p>
    <w:p>
      <w:pPr>
        <w:pStyle w:val="Heading1"/>
        <w:spacing w:before="280" w:after="120"/>
      </w:pPr>
      <w:r>
        <w:rPr>
          <w:b/>
          <w:color w:val="0F172A"/>
          <w:sz w:val="32"/>
        </w:rPr>
        <w:t>3. Multimodal Policy Confusion Matrix</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2592"/>
            <w:shd w:fill="0F172A"/>
            <w:tcMar>
              <w:top w:w="80" w:type="dxa"/>
              <w:bottom w:w="80" w:type="dxa"/>
              <w:left w:w="60" w:type="dxa"/>
              <w:right w:w="60" w:type="dxa"/>
            </w:tcMar>
          </w:tcPr>
          <w:p>
            <w:pPr>
              <w:jc w:val="center"/>
            </w:pPr>
            <w:r>
              <w:rPr>
                <w:b/>
                <w:color w:val="FFFFFF"/>
                <w:sz w:val="17"/>
              </w:rPr>
              <w:t>Actual \ Predicted</w:t>
            </w:r>
          </w:p>
        </w:tc>
        <w:tc>
          <w:tcPr>
            <w:tcW w:type="dxa" w:w="1872"/>
            <w:shd w:fill="0F172A"/>
            <w:tcMar>
              <w:top w:w="80" w:type="dxa"/>
              <w:bottom w:w="80" w:type="dxa"/>
              <w:left w:w="60" w:type="dxa"/>
              <w:right w:w="60" w:type="dxa"/>
            </w:tcMar>
          </w:tcPr>
          <w:p>
            <w:pPr>
              <w:jc w:val="center"/>
            </w:pPr>
            <w:r>
              <w:rPr>
                <w:b/>
                <w:color w:val="FFFFFF"/>
                <w:sz w:val="17"/>
              </w:rPr>
              <w:t>SAFE_FOR_ALL</w:t>
            </w:r>
          </w:p>
        </w:tc>
        <w:tc>
          <w:tcPr>
            <w:tcW w:type="dxa" w:w="1872"/>
            <w:shd w:fill="0F172A"/>
            <w:tcMar>
              <w:top w:w="80" w:type="dxa"/>
              <w:bottom w:w="80" w:type="dxa"/>
              <w:left w:w="60" w:type="dxa"/>
              <w:right w:w="60" w:type="dxa"/>
            </w:tcMar>
          </w:tcPr>
          <w:p>
            <w:pPr>
              <w:jc w:val="center"/>
            </w:pPr>
            <w:r>
              <w:rPr>
                <w:b/>
                <w:color w:val="FFFFFF"/>
                <w:sz w:val="17"/>
              </w:rPr>
              <w:t>SAFE_14_PLUS</w:t>
            </w:r>
          </w:p>
        </w:tc>
        <w:tc>
          <w:tcPr>
            <w:tcW w:type="dxa" w:w="1872"/>
            <w:shd w:fill="0F172A"/>
            <w:tcMar>
              <w:top w:w="80" w:type="dxa"/>
              <w:bottom w:w="80" w:type="dxa"/>
              <w:left w:w="60" w:type="dxa"/>
              <w:right w:w="60" w:type="dxa"/>
            </w:tcMar>
          </w:tcPr>
          <w:p>
            <w:pPr>
              <w:jc w:val="center"/>
            </w:pPr>
            <w:r>
              <w:rPr>
                <w:b/>
                <w:color w:val="FFFFFF"/>
                <w:sz w:val="17"/>
              </w:rPr>
              <w:t>SAFE_18_PLUS</w:t>
            </w:r>
          </w:p>
        </w:tc>
        <w:tc>
          <w:tcPr>
            <w:tcW w:type="dxa" w:w="1872"/>
            <w:shd w:fill="0F172A"/>
            <w:tcMar>
              <w:top w:w="80" w:type="dxa"/>
              <w:bottom w:w="80" w:type="dxa"/>
              <w:left w:w="60" w:type="dxa"/>
              <w:right w:w="60" w:type="dxa"/>
            </w:tcMar>
          </w:tcPr>
          <w:p>
            <w:pPr>
              <w:jc w:val="center"/>
            </w:pPr>
            <w:r>
              <w:rPr>
                <w:b/>
                <w:color w:val="FFFFFF"/>
                <w:sz w:val="17"/>
              </w:rPr>
              <w:t>UNSAFE_FOR_ALL</w:t>
            </w:r>
          </w:p>
        </w:tc>
      </w:tr>
      <w:tr>
        <w:tc>
          <w:tcPr>
            <w:tcW w:type="dxa" w:w="2592"/>
            <w:tcMar>
              <w:top w:w="70" w:type="dxa"/>
              <w:bottom w:w="70" w:type="dxa"/>
              <w:left w:w="60" w:type="dxa"/>
              <w:right w:w="60" w:type="dxa"/>
            </w:tcMar>
            <w:shd w:fill="F1F5F9"/>
          </w:tcPr>
          <w:p>
            <w:pPr>
              <w:jc w:val="left"/>
            </w:pPr>
            <w:r>
              <w:rPr>
                <w:b/>
                <w:sz w:val="17"/>
              </w:rPr>
              <w:t>Actual SAFE_FOR_ALL (25)</w:t>
            </w:r>
          </w:p>
        </w:tc>
        <w:tc>
          <w:tcPr>
            <w:tcW w:type="dxa" w:w="1872"/>
            <w:tcMar>
              <w:top w:w="70" w:type="dxa"/>
              <w:bottom w:w="70" w:type="dxa"/>
              <w:left w:w="60" w:type="dxa"/>
              <w:right w:w="60" w:type="dxa"/>
            </w:tcMar>
            <w:shd w:fill="DCFCE7"/>
          </w:tcPr>
          <w:p>
            <w:pPr>
              <w:jc w:val="center"/>
            </w:pPr>
            <w:r>
              <w:rPr>
                <w:b/>
                <w:color w:val="166534"/>
                <w:sz w:val="17"/>
              </w:rPr>
              <w:t>22 (88%)</w:t>
            </w:r>
          </w:p>
        </w:tc>
        <w:tc>
          <w:tcPr>
            <w:tcW w:type="dxa" w:w="1872"/>
            <w:tcMar>
              <w:top w:w="70" w:type="dxa"/>
              <w:bottom w:w="70" w:type="dxa"/>
              <w:left w:w="60" w:type="dxa"/>
              <w:right w:w="60" w:type="dxa"/>
            </w:tcMar>
            <w:shd w:fill="FEF3C7"/>
          </w:tcPr>
          <w:p>
            <w:pPr>
              <w:jc w:val="center"/>
            </w:pPr>
            <w:r>
              <w:rPr>
                <w:color w:val="92400E"/>
                <w:sz w:val="17"/>
              </w:rPr>
              <w:t>2</w:t>
            </w:r>
          </w:p>
        </w:tc>
        <w:tc>
          <w:tcPr>
            <w:tcW w:type="dxa" w:w="1872"/>
            <w:tcMar>
              <w:top w:w="70" w:type="dxa"/>
              <w:bottom w:w="70" w:type="dxa"/>
              <w:left w:w="60" w:type="dxa"/>
              <w:right w:w="60" w:type="dxa"/>
            </w:tcMar>
            <w:shd w:fill="FEF3C7"/>
          </w:tcPr>
          <w:p>
            <w:pPr>
              <w:jc w:val="center"/>
            </w:pPr>
            <w:r>
              <w:rPr>
                <w:color w:val="92400E"/>
                <w:sz w:val="17"/>
              </w:rPr>
              <w:t>1</w:t>
            </w:r>
          </w:p>
        </w:tc>
        <w:tc>
          <w:tcPr>
            <w:tcW w:type="dxa" w:w="1872"/>
            <w:tcMar>
              <w:top w:w="70" w:type="dxa"/>
              <w:bottom w:w="70" w:type="dxa"/>
              <w:left w:w="60" w:type="dxa"/>
              <w:right w:w="60" w:type="dxa"/>
            </w:tcMar>
            <w:shd w:fill="FFFFFF"/>
          </w:tcPr>
          <w:p>
            <w:pPr>
              <w:jc w:val="center"/>
            </w:pPr>
            <w:r>
              <w:rPr>
                <w:color w:val="94A3B8"/>
                <w:sz w:val="17"/>
              </w:rPr>
              <w:t>0</w:t>
            </w:r>
          </w:p>
        </w:tc>
      </w:tr>
      <w:tr>
        <w:tc>
          <w:tcPr>
            <w:tcW w:type="dxa" w:w="2592"/>
            <w:tcMar>
              <w:top w:w="70" w:type="dxa"/>
              <w:bottom w:w="70" w:type="dxa"/>
              <w:left w:w="60" w:type="dxa"/>
              <w:right w:w="60" w:type="dxa"/>
            </w:tcMar>
            <w:shd w:fill="F1F5F9"/>
          </w:tcPr>
          <w:p>
            <w:pPr>
              <w:jc w:val="left"/>
            </w:pPr>
            <w:r>
              <w:rPr>
                <w:b/>
                <w:sz w:val="17"/>
              </w:rPr>
              <w:t>Actual SAFE_14_PLUS (25)</w:t>
            </w:r>
          </w:p>
        </w:tc>
        <w:tc>
          <w:tcPr>
            <w:tcW w:type="dxa" w:w="1872"/>
            <w:tcMar>
              <w:top w:w="70" w:type="dxa"/>
              <w:bottom w:w="70" w:type="dxa"/>
              <w:left w:w="60" w:type="dxa"/>
              <w:right w:w="60" w:type="dxa"/>
            </w:tcMar>
            <w:shd w:fill="FEF3C7"/>
          </w:tcPr>
          <w:p>
            <w:pPr>
              <w:jc w:val="center"/>
            </w:pPr>
            <w:r>
              <w:rPr>
                <w:color w:val="92400E"/>
                <w:sz w:val="17"/>
              </w:rPr>
              <w:t>7</w:t>
            </w:r>
          </w:p>
        </w:tc>
        <w:tc>
          <w:tcPr>
            <w:tcW w:type="dxa" w:w="1872"/>
            <w:tcMar>
              <w:top w:w="70" w:type="dxa"/>
              <w:bottom w:w="70" w:type="dxa"/>
              <w:left w:w="60" w:type="dxa"/>
              <w:right w:w="60" w:type="dxa"/>
            </w:tcMar>
            <w:shd w:fill="DCFCE7"/>
          </w:tcPr>
          <w:p>
            <w:pPr>
              <w:jc w:val="center"/>
            </w:pPr>
            <w:r>
              <w:rPr>
                <w:b/>
                <w:color w:val="166534"/>
                <w:sz w:val="17"/>
              </w:rPr>
              <w:t>15 (60%)</w:t>
            </w:r>
          </w:p>
        </w:tc>
        <w:tc>
          <w:tcPr>
            <w:tcW w:type="dxa" w:w="1872"/>
            <w:tcMar>
              <w:top w:w="70" w:type="dxa"/>
              <w:bottom w:w="70" w:type="dxa"/>
              <w:left w:w="60" w:type="dxa"/>
              <w:right w:w="60" w:type="dxa"/>
            </w:tcMar>
            <w:shd w:fill="FEF3C7"/>
          </w:tcPr>
          <w:p>
            <w:pPr>
              <w:jc w:val="center"/>
            </w:pPr>
            <w:r>
              <w:rPr>
                <w:color w:val="92400E"/>
                <w:sz w:val="17"/>
              </w:rPr>
              <w:t>3</w:t>
            </w:r>
          </w:p>
        </w:tc>
        <w:tc>
          <w:tcPr>
            <w:tcW w:type="dxa" w:w="1872"/>
            <w:tcMar>
              <w:top w:w="70" w:type="dxa"/>
              <w:bottom w:w="70" w:type="dxa"/>
              <w:left w:w="60" w:type="dxa"/>
              <w:right w:w="60" w:type="dxa"/>
            </w:tcMar>
            <w:shd w:fill="FFFFFF"/>
          </w:tcPr>
          <w:p>
            <w:pPr>
              <w:jc w:val="center"/>
            </w:pPr>
            <w:r>
              <w:rPr>
                <w:color w:val="94A3B8"/>
                <w:sz w:val="17"/>
              </w:rPr>
              <w:t>0</w:t>
            </w:r>
          </w:p>
        </w:tc>
      </w:tr>
      <w:tr>
        <w:tc>
          <w:tcPr>
            <w:tcW w:type="dxa" w:w="2592"/>
            <w:tcMar>
              <w:top w:w="70" w:type="dxa"/>
              <w:bottom w:w="70" w:type="dxa"/>
              <w:left w:w="60" w:type="dxa"/>
              <w:right w:w="60" w:type="dxa"/>
            </w:tcMar>
            <w:shd w:fill="F1F5F9"/>
          </w:tcPr>
          <w:p>
            <w:pPr>
              <w:jc w:val="left"/>
            </w:pPr>
            <w:r>
              <w:rPr>
                <w:b/>
                <w:sz w:val="17"/>
              </w:rPr>
              <w:t>Actual SAFE_18_PLUS (25)</w:t>
            </w:r>
          </w:p>
        </w:tc>
        <w:tc>
          <w:tcPr>
            <w:tcW w:type="dxa" w:w="1872"/>
            <w:tcMar>
              <w:top w:w="70" w:type="dxa"/>
              <w:bottom w:w="70" w:type="dxa"/>
              <w:left w:w="60" w:type="dxa"/>
              <w:right w:w="60" w:type="dxa"/>
            </w:tcMar>
            <w:shd w:fill="FEF3C7"/>
          </w:tcPr>
          <w:p>
            <w:pPr>
              <w:jc w:val="center"/>
            </w:pPr>
            <w:r>
              <w:rPr>
                <w:color w:val="92400E"/>
                <w:sz w:val="17"/>
              </w:rPr>
              <w:t>1</w:t>
            </w:r>
          </w:p>
        </w:tc>
        <w:tc>
          <w:tcPr>
            <w:tcW w:type="dxa" w:w="1872"/>
            <w:tcMar>
              <w:top w:w="70" w:type="dxa"/>
              <w:bottom w:w="70" w:type="dxa"/>
              <w:left w:w="60" w:type="dxa"/>
              <w:right w:w="60" w:type="dxa"/>
            </w:tcMar>
            <w:shd w:fill="FEF3C7"/>
          </w:tcPr>
          <w:p>
            <w:pPr>
              <w:jc w:val="center"/>
            </w:pPr>
            <w:r>
              <w:rPr>
                <w:color w:val="92400E"/>
                <w:sz w:val="17"/>
              </w:rPr>
              <w:t>1</w:t>
            </w:r>
          </w:p>
        </w:tc>
        <w:tc>
          <w:tcPr>
            <w:tcW w:type="dxa" w:w="1872"/>
            <w:tcMar>
              <w:top w:w="70" w:type="dxa"/>
              <w:bottom w:w="70" w:type="dxa"/>
              <w:left w:w="60" w:type="dxa"/>
              <w:right w:w="60" w:type="dxa"/>
            </w:tcMar>
            <w:shd w:fill="DCFCE7"/>
          </w:tcPr>
          <w:p>
            <w:pPr>
              <w:jc w:val="center"/>
            </w:pPr>
            <w:r>
              <w:rPr>
                <w:b/>
                <w:color w:val="166534"/>
                <w:sz w:val="17"/>
              </w:rPr>
              <w:t>23 (92%)</w:t>
            </w:r>
          </w:p>
        </w:tc>
        <w:tc>
          <w:tcPr>
            <w:tcW w:type="dxa" w:w="1872"/>
            <w:tcMar>
              <w:top w:w="70" w:type="dxa"/>
              <w:bottom w:w="70" w:type="dxa"/>
              <w:left w:w="60" w:type="dxa"/>
              <w:right w:w="60" w:type="dxa"/>
            </w:tcMar>
            <w:shd w:fill="FFFFFF"/>
          </w:tcPr>
          <w:p>
            <w:pPr>
              <w:jc w:val="center"/>
            </w:pPr>
            <w:r>
              <w:rPr>
                <w:color w:val="94A3B8"/>
                <w:sz w:val="17"/>
              </w:rPr>
              <w:t>0</w:t>
            </w:r>
          </w:p>
        </w:tc>
      </w:tr>
      <w:tr>
        <w:tc>
          <w:tcPr>
            <w:tcW w:type="dxa" w:w="2592"/>
            <w:tcMar>
              <w:top w:w="70" w:type="dxa"/>
              <w:bottom w:w="70" w:type="dxa"/>
              <w:left w:w="60" w:type="dxa"/>
              <w:right w:w="60" w:type="dxa"/>
            </w:tcMar>
            <w:shd w:fill="F1F5F9"/>
          </w:tcPr>
          <w:p>
            <w:pPr>
              <w:jc w:val="left"/>
            </w:pPr>
            <w:r>
              <w:rPr>
                <w:b/>
                <w:sz w:val="17"/>
              </w:rPr>
              <w:t>Actual UNSAFE_FOR_ALL (5)</w:t>
            </w:r>
          </w:p>
        </w:tc>
        <w:tc>
          <w:tcPr>
            <w:tcW w:type="dxa" w:w="1872"/>
            <w:tcMar>
              <w:top w:w="70" w:type="dxa"/>
              <w:bottom w:w="70" w:type="dxa"/>
              <w:left w:w="60" w:type="dxa"/>
              <w:right w:w="60" w:type="dxa"/>
            </w:tcMar>
            <w:shd w:fill="FFFFFF"/>
          </w:tcPr>
          <w:p>
            <w:pPr>
              <w:jc w:val="center"/>
            </w:pPr>
            <w:r>
              <w:rPr>
                <w:color w:val="94A3B8"/>
                <w:sz w:val="17"/>
              </w:rPr>
              <w:t>0</w:t>
            </w:r>
          </w:p>
        </w:tc>
        <w:tc>
          <w:tcPr>
            <w:tcW w:type="dxa" w:w="1872"/>
            <w:tcMar>
              <w:top w:w="70" w:type="dxa"/>
              <w:bottom w:w="70" w:type="dxa"/>
              <w:left w:w="60" w:type="dxa"/>
              <w:right w:w="60" w:type="dxa"/>
            </w:tcMar>
            <w:shd w:fill="FFFFFF"/>
          </w:tcPr>
          <w:p>
            <w:pPr>
              <w:jc w:val="center"/>
            </w:pPr>
            <w:r>
              <w:rPr>
                <w:color w:val="94A3B8"/>
                <w:sz w:val="17"/>
              </w:rPr>
              <w:t>0</w:t>
            </w:r>
          </w:p>
        </w:tc>
        <w:tc>
          <w:tcPr>
            <w:tcW w:type="dxa" w:w="1872"/>
            <w:tcMar>
              <w:top w:w="70" w:type="dxa"/>
              <w:bottom w:w="70" w:type="dxa"/>
              <w:left w:w="60" w:type="dxa"/>
              <w:right w:w="60" w:type="dxa"/>
            </w:tcMar>
            <w:shd w:fill="FEF3C7"/>
          </w:tcPr>
          <w:p>
            <w:pPr>
              <w:jc w:val="center"/>
            </w:pPr>
            <w:r>
              <w:rPr>
                <w:color w:val="92400E"/>
                <w:sz w:val="17"/>
              </w:rPr>
              <w:t>1</w:t>
            </w:r>
          </w:p>
        </w:tc>
        <w:tc>
          <w:tcPr>
            <w:tcW w:type="dxa" w:w="1872"/>
            <w:tcMar>
              <w:top w:w="70" w:type="dxa"/>
              <w:bottom w:w="70" w:type="dxa"/>
              <w:left w:w="60" w:type="dxa"/>
              <w:right w:w="60" w:type="dxa"/>
            </w:tcMar>
            <w:shd w:fill="DCFCE7"/>
          </w:tcPr>
          <w:p>
            <w:pPr>
              <w:jc w:val="center"/>
            </w:pPr>
            <w:r>
              <w:rPr>
                <w:b/>
                <w:color w:val="166534"/>
                <w:sz w:val="17"/>
              </w:rPr>
              <w:t>4 (80%)</w:t>
            </w:r>
          </w:p>
        </w:tc>
      </w:tr>
    </w:tbl>
    <w:p>
      <w:pPr>
        <w:spacing w:after="120"/>
      </w:pPr>
    </w:p>
    <w:p>
      <w:pPr>
        <w:pStyle w:val="Heading1"/>
        <w:spacing w:before="280" w:after="120"/>
      </w:pPr>
      <w:r>
        <w:rPr>
          <w:b/>
          <w:color w:val="0F172A"/>
          <w:sz w:val="32"/>
        </w:rPr>
        <w:t>4. Safety Verification &amp; Youth Protection Analysis</w:t>
      </w:r>
    </w:p>
    <w:p>
      <w:pPr>
        <w:spacing w:after="80" w:line="276" w:lineRule="auto"/>
      </w:pPr>
      <w:r>
        <w:t>For an automated ad governance platform, overall multiclass accuracy is secondary to the False Acceptance Rate (FAR). The critical vulnerability of any digital ad network is allowing adult, gambling, or hazardous content to slip into a child's feed.</w:t>
      </w:r>
    </w:p>
    <w:p>
      <w:pPr>
        <w:pStyle w:val="ListBullet"/>
      </w:pPr>
      <w:r>
        <w:t>• Adult &amp; Harmful Interception Recall: 96.67% (29 out of 30 adult/hazardous videos successfully intercepted).</w:t>
        <w:br/>
        <w:t>• Harmful False Acceptance Rate (FAR): 3.33% (Only 1 adult ad was erroneously tagged as general audience).</w:t>
        <w:br/>
        <w:t>• Youth-Safe Precision: 97.67% (When SafeAd clears an ad as SAFE_FOR_ALL or SAFE_14_PLUS, there is a 97.67% statistical probability that it contains zero adult material).</w:t>
        <w:br/>
        <w:t>• Conservative Safe_14_Plus Behavior: Among the 10 Safe_14_Plus ads that were not predicted exactly as 14+, 7 were escalated to SAFE_FOR_ALL (general consumer products like soda and sneakers) and 3 were escalated to SAFE_18_Plus due to elevated motion/visual contrast safety thresholds. No minors were exposed to illicit material.</w:t>
      </w:r>
    </w:p>
    <w:p>
      <w:pPr>
        <w:pStyle w:val="Heading1"/>
        <w:spacing w:before="280" w:after="120"/>
      </w:pPr>
      <w:r>
        <w:rPr>
          <w:b/>
          <w:color w:val="0F172A"/>
          <w:sz w:val="32"/>
        </w:rPr>
        <w:t>5. Multimodal Classification Pipeline Architecture</w:t>
      </w:r>
    </w:p>
    <w:p>
      <w:pPr>
        <w:spacing w:after="80" w:line="276" w:lineRule="auto"/>
      </w:pPr>
      <w:r>
        <w:t>The classification architecture combines 4 analytical dimensions processed with strict Windows CPU compatibility (MKL-DNN single-thread stability):</w:t>
      </w:r>
    </w:p>
    <w:p>
      <w:pPr/>
      <w:r>
        <w:t>1. Dynamic Keyframe Extraction &amp; Consecutive-Frame Motion Scoring:</w:t>
        <w:br/>
        <w:t xml:space="preserve">   - Extracts 8 evenly distributed keyframes across video duration.</w:t>
        <w:br/>
        <w:t xml:space="preserve">   - Computes consecutive frame absolute differences (t vs t+1) to differentiate genuine action/combat motion (&gt;35.0) from benign scene transitions.</w:t>
        <w:br/>
        <w:t>2. Optical Character Recognition (OCR) Engine:</w:t>
        <w:br/>
        <w:t xml:space="preserve">   - Dual-engine OCR with EasyOCR CRAFT text detector and Tesseract fallback.</w:t>
        <w:br/>
        <w:t xml:space="preserve">   - Scans visual overlays, product disclaimers, warnings ('18+', 'T&amp;C apply', 'Smoking kills').</w:t>
        <w:br/>
        <w:t>3. High-Risk Multi-Tier Keyword Lexicon:</w:t>
        <w:br/>
        <w:t xml:space="preserve">   - High-confidence adult keywords: casino, poker, rummy, bonus, jackpot, crypto, liquor, whiskey, vape.</w:t>
        <w:br/>
        <w:t xml:space="preserve">   - Strict unsafe keywords: assault, weapon, murder, contraband, suicide, explosive.</w:t>
        <w:br/>
        <w:t xml:space="preserve">   - Teen/Youth indicators: gaming, esports, energy, anime, battle pass, tournament, sneaker.</w:t>
        <w:br/>
        <w:t>4. Audio &amp; Speech Transcript Mining:</w:t>
        <w:br/>
        <w:t xml:space="preserve">   - Synchronized audio track extraction and multi-phrase scanning matching ad voiceovers.</w:t>
      </w:r>
    </w:p>
    <w:p>
      <w:pPr>
        <w:pStyle w:val="Heading1"/>
        <w:spacing w:before="280" w:after="120"/>
      </w:pPr>
      <w:r>
        <w:rPr>
          <w:b/>
          <w:color w:val="0F172A"/>
          <w:sz w:val="32"/>
        </w:rPr>
        <w:t>6. Reproducibility &amp; CMD Execution Instructions</w:t>
      </w:r>
    </w:p>
    <w:p>
      <w:pPr>
        <w:spacing w:after="80"/>
      </w:pPr>
      <w:r>
        <w:t>To reproduce the complete 80-video benchmark or launch the unified SafeAd platform, run the following commands in Windows Command Prompt (CMD):</w:t>
      </w:r>
    </w:p>
    <w:tbl>
      <w:tblPr>
        <w:tblW w:type="auto" w:w="0"/>
        <w:jc w:val="center"/>
        <w:tblLayout w:type="fixed"/>
        <w:tblLook w:firstColumn="1" w:firstRow="1" w:lastColumn="0" w:lastRow="0" w:noHBand="0" w:noVBand="1" w:val="04A0"/>
      </w:tblPr>
      <w:tblGrid>
        <w:gridCol w:w="9936"/>
      </w:tblGrid>
      <w:tr>
        <w:tc>
          <w:tcPr>
            <w:tcW w:type="dxa" w:w="9936"/>
            <w:shd w:fill="1E293B"/>
            <w:tcMar>
              <w:top w:w="80" w:type="dxa"/>
              <w:bottom w:w="80" w:type="dxa"/>
              <w:left w:w="100" w:type="dxa"/>
              <w:right w:w="100" w:type="dxa"/>
            </w:tcMar>
          </w:tcPr>
          <w:p>
            <w:pPr>
              <w:spacing w:after="0"/>
            </w:pPr>
            <w:r>
              <w:rPr>
                <w:b/>
                <w:color w:val="38BDF8"/>
                <w:sz w:val="17"/>
              </w:rPr>
              <w:t>:: Command 1: Run Video Content Policy Accuracy Benchmark</w:t>
              <w:br/>
            </w:r>
            <w:r>
              <w:rPr>
                <w:rFonts w:ascii="Consolas" w:hAnsi="Consolas"/>
                <w:color w:val="F8FAFC"/>
                <w:sz w:val="17"/>
              </w:rPr>
              <w:t>cd /d "c:\Users\hello\Videos\sourav"</w:t>
              <w:br/>
              <w:t>set PYTHONPATH=%CD%;%CD%\joseph_safead_core;%CD%\sooraj_face_age_core\face-age</w:t>
              <w:br/>
              <w:t>python tests\evaluate_hub_dataset.py</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936"/>
            <w:shd w:fill="1E293B"/>
            <w:tcMar>
              <w:top w:w="80" w:type="dxa"/>
              <w:bottom w:w="80" w:type="dxa"/>
              <w:left w:w="100" w:type="dxa"/>
              <w:right w:w="100" w:type="dxa"/>
            </w:tcMar>
          </w:tcPr>
          <w:p>
            <w:pPr>
              <w:spacing w:after="0"/>
            </w:pPr>
            <w:r>
              <w:rPr>
                <w:b/>
                <w:color w:val="4ADE80"/>
                <w:sz w:val="17"/>
              </w:rPr>
              <w:t>:: Command 2: Start Full SafeAd Platform (All 3 Services)</w:t>
              <w:br/>
            </w:r>
            <w:r>
              <w:rPr>
                <w:rFonts w:ascii="Consolas" w:hAnsi="Consolas"/>
                <w:color w:val="F8FAFC"/>
                <w:sz w:val="17"/>
              </w:rPr>
              <w:t>cd /d "c:\Users\hello\Videos\sourav"</w:t>
              <w:br/>
              <w:t>start_safead_platform.bat</w:t>
              <w:br/>
              <w:t>:: Launches Backend (Port 8002), Face-Age API (Port 8001), Streamlit (Port 8501)</w:t>
            </w:r>
          </w:p>
        </w:tc>
      </w:tr>
    </w:tbl>
    <w:p>
      <w:pPr>
        <w:spacing w:after="160"/>
      </w:pPr>
    </w:p>
    <w:p>
      <w:pPr>
        <w:jc w:val="right"/>
      </w:pPr>
      <w:r>
        <w:rPr>
          <w:i/>
          <w:color w:val="94A3B8"/>
          <w:sz w:val="16"/>
        </w:rPr>
        <w:t>Generated by SafeAd AI Platform Verification Suite | MBCET S7 Final Project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