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jc w:val="center"/>
      </w:pPr>
      <w:r>
        <w:drawing>
          <wp:inline xmlns:a="http://schemas.openxmlformats.org/drawingml/2006/main" xmlns:pic="http://schemas.openxmlformats.org/drawingml/2006/picture">
            <wp:extent cx="4104000" cy="2872800"/>
            <wp:docPr id="1" name="Picture 1" descr="Q2PRO-X 1.5" title="Q2PRO-X 1.5"/>
            <wp:cNvGraphicFramePr>
              <a:graphicFrameLocks noChangeAspect="1"/>
            </wp:cNvGraphicFramePr>
            <a:graphic>
              <a:graphicData uri="http://schemas.openxmlformats.org/drawingml/2006/picture">
                <pic:pic>
                  <pic:nvPicPr>
                    <pic:cNvPr id="0" name="Q2PRO-X_1.5_cover_embed.png"/>
                    <pic:cNvPicPr/>
                  </pic:nvPicPr>
                  <pic:blipFill>
                    <a:blip r:embed="rId11"/>
                    <a:stretch>
                      <a:fillRect/>
                    </a:stretch>
                  </pic:blipFill>
                  <pic:spPr>
                    <a:xfrm>
                      <a:off x="0" y="0"/>
                      <a:ext cx="4104000" cy="2872800"/>
                    </a:xfrm>
                    <a:prstGeom prst="rect"/>
                  </pic:spPr>
                </pic:pic>
              </a:graphicData>
            </a:graphic>
          </wp:inline>
        </w:drawing>
      </w:r>
    </w:p>
    <w:p>
      <w:pPr>
        <w:spacing w:before="200"/>
        <w:jc w:val="center"/>
      </w:pPr>
      <w:r>
        <w:rPr>
          <w:rFonts w:ascii="Aptos Display" w:hAnsi="Aptos Display"/>
          <w:b/>
          <w:color w:val="33A6E8"/>
          <w:sz w:val="52"/>
        </w:rPr>
        <w:t>Q2PRO-X 1.5</w:t>
      </w:r>
    </w:p>
    <w:p>
      <w:pPr>
        <w:spacing w:before="40"/>
        <w:jc w:val="center"/>
      </w:pPr>
      <w:r>
        <w:rPr>
          <w:rFonts w:ascii="Aptos Display" w:hAnsi="Aptos Display"/>
          <w:b/>
          <w:color w:val="153A5B"/>
          <w:sz w:val="38"/>
        </w:rPr>
        <w:t>Q2PRO-X 1.5 Release Notes</w:t>
      </w:r>
    </w:p>
    <w:p>
      <w:pPr>
        <w:spacing w:before="120"/>
        <w:jc w:val="center"/>
      </w:pPr>
      <w:r>
        <w:rPr>
          <w:color w:val="526373"/>
          <w:sz w:val="22"/>
        </w:rPr>
        <w:t>What the release is: features, changes and fixes</w:t>
      </w:r>
    </w:p>
    <w:p>
      <w:pPr>
        <w:spacing w:before="360"/>
        <w:jc w:val="center"/>
      </w:pPr>
      <w:r>
        <w:rPr>
          <w:b/>
          <w:color w:val="153A5B"/>
          <w:sz w:val="18"/>
        </w:rPr>
        <w:t>English edition  •  Q2PRO-X 1.5  •  August 25, 2026</w:t>
      </w:r>
    </w:p>
    <w:p>
      <w:r>
        <w:br w:type="page"/>
      </w:r>
    </w:p>
    <w:p>
      <w:pPr>
        <w:pStyle w:val="Heading1"/>
      </w:pPr>
      <w:r>
        <w:t>Contents</w:t>
      </w:r>
    </w:p>
    <w:p>
      <w:pPr>
        <w:pStyle w:val="GuideCaption"/>
        <w:jc w:val="left"/>
      </w:pPr>
      <w:r>
        <w:t>The entries are links: click one to jump to that section.</w:t>
      </w:r>
    </w:p>
    <w:p>
      <w:pPr>
        <w:pStyle w:val="GuideContents1"/>
      </w:pPr>
      <w:hyperlink w:anchor="Q2PX_S0001">
        <w:r>
          <w:rPr>
            <w:rStyle w:val="Q2PX Link"/>
          </w:rPr>
          <w:t xml:space="preserve">What Q2PRO-X 1.5 is</w:t>
        </w:r>
      </w:hyperlink>
    </w:p>
    <w:p>
      <w:pPr>
        <w:pStyle w:val="GuideContents2"/>
      </w:pPr>
      <w:hyperlink w:anchor="Q2PX_S0002">
        <w:r>
          <w:rPr>
            <w:rStyle w:val="Q2PX Link"/>
          </w:rPr>
          <w:t xml:space="preserve">The essentials in one minute</w:t>
        </w:r>
      </w:hyperlink>
    </w:p>
    <w:p>
      <w:pPr>
        <w:pStyle w:val="GuideContents1"/>
      </w:pPr>
      <w:hyperlink w:anchor="Q2PX_S0003">
        <w:r>
          <w:rPr>
            <w:rStyle w:val="Q2PX Link"/>
          </w:rPr>
          <w:t xml:space="preserve">1. Network play</w:t>
        </w:r>
      </w:hyperlink>
    </w:p>
    <w:p>
      <w:pPr>
        <w:pStyle w:val="GuideContents2"/>
      </w:pPr>
      <w:hyperlink w:anchor="Q2PX_S0004">
        <w:r>
          <w:rPr>
            <w:rStyle w:val="Q2PX Link"/>
          </w:rPr>
          <w:t xml:space="preserve">1.1. Network God</w:t>
        </w:r>
      </w:hyperlink>
    </w:p>
    <w:p>
      <w:pPr>
        <w:pStyle w:val="GuideContents2"/>
      </w:pPr>
      <w:hyperlink w:anchor="Q2PX_S0005">
        <w:r>
          <w:rPr>
            <w:rStyle w:val="Q2PX Link"/>
          </w:rPr>
          <w:t xml:space="preserve">1.2. Ping Adaptation</w:t>
        </w:r>
      </w:hyperlink>
    </w:p>
    <w:p>
      <w:pPr>
        <w:pStyle w:val="GuideContents2"/>
      </w:pPr>
      <w:hyperlink w:anchor="Q2PX_S0006">
        <w:r>
          <w:rPr>
            <w:rStyle w:val="Q2PX Link"/>
          </w:rPr>
          <w:t xml:space="preserve">1.3. Server browser, LagHax, voice and weapon prediction</w:t>
        </w:r>
      </w:hyperlink>
    </w:p>
    <w:p>
      <w:pPr>
        <w:pStyle w:val="GuideContents2"/>
      </w:pPr>
      <w:hyperlink w:anchor="Q2PX_S0007">
        <w:r>
          <w:rPr>
            <w:rStyle w:val="Q2PX Link"/>
          </w:rPr>
          <w:t xml:space="preserve">1.4. Movement view bob</w:t>
        </w:r>
      </w:hyperlink>
    </w:p>
    <w:p>
      <w:pPr>
        <w:pStyle w:val="GuideContents1"/>
      </w:pPr>
      <w:hyperlink w:anchor="Q2PX_S0008">
        <w:r>
          <w:rPr>
            <w:rStyle w:val="Q2PX Link"/>
          </w:rPr>
          <w:t xml:space="preserve">2. Match recordings and statistics</w:t>
        </w:r>
      </w:hyperlink>
    </w:p>
    <w:p>
      <w:pPr>
        <w:pStyle w:val="GuideContents2"/>
      </w:pPr>
      <w:hyperlink w:anchor="Q2PX_S0009">
        <w:r>
          <w:rPr>
            <w:rStyle w:val="Q2PX Link"/>
          </w:rPr>
          <w:t xml:space="preserve">2.1. Game statistics</w:t>
        </w:r>
      </w:hyperlink>
    </w:p>
    <w:p>
      <w:pPr>
        <w:pStyle w:val="GuideContents2"/>
      </w:pPr>
      <w:hyperlink w:anchor="Q2PX_S0010">
        <w:r>
          <w:rPr>
            <w:rStyle w:val="Q2PX Link"/>
          </w:rPr>
          <w:t xml:space="preserve">2.2. Live item timers</w:t>
        </w:r>
      </w:hyperlink>
    </w:p>
    <w:p>
      <w:pPr>
        <w:pStyle w:val="GuideContents1"/>
      </w:pPr>
      <w:hyperlink w:anchor="Q2PX_S0011">
        <w:r>
          <w:rPr>
            <w:rStyle w:val="Q2PX Link"/>
          </w:rPr>
          <w:t xml:space="preserve">3. Startup intro and preparation</w:t>
        </w:r>
      </w:hyperlink>
    </w:p>
    <w:p>
      <w:pPr>
        <w:pStyle w:val="GuideContents1"/>
      </w:pPr>
      <w:hyperlink w:anchor="Q2PX_S0012">
        <w:r>
          <w:rPr>
            <w:rStyle w:val="Q2PX Link"/>
          </w:rPr>
          <w:t xml:space="preserve">4. AVFX: sky and space</w:t>
        </w:r>
      </w:hyperlink>
    </w:p>
    <w:p>
      <w:pPr>
        <w:pStyle w:val="GuideContents2"/>
      </w:pPr>
      <w:hyperlink w:anchor="Q2PX_S0013">
        <w:r>
          <w:rPr>
            <w:rStyle w:val="Q2PX Link"/>
          </w:rPr>
          <w:t xml:space="preserve">4.1. The black hole</w:t>
        </w:r>
      </w:hyperlink>
    </w:p>
    <w:p>
      <w:pPr>
        <w:pStyle w:val="GuideContents1"/>
      </w:pPr>
      <w:hyperlink w:anchor="Q2PX_S0014">
        <w:r>
          <w:rPr>
            <w:rStyle w:val="Q2PX Link"/>
          </w:rPr>
          <w:t xml:space="preserve">5. AVFX: surfaces</w:t>
        </w:r>
      </w:hyperlink>
    </w:p>
    <w:p>
      <w:pPr>
        <w:pStyle w:val="GuideContents2"/>
      </w:pPr>
      <w:hyperlink w:anchor="Q2PX_S0015">
        <w:r>
          <w:rPr>
            <w:rStyle w:val="Q2PX Link"/>
          </w:rPr>
          <w:t xml:space="preserve">5.1. Surface objects and grass</w:t>
        </w:r>
      </w:hyperlink>
    </w:p>
    <w:p>
      <w:pPr>
        <w:pStyle w:val="GuideContents2"/>
      </w:pPr>
      <w:hyperlink w:anchor="Q2PX_S0016">
        <w:r>
          <w:rPr>
            <w:rStyle w:val="Q2PX Link"/>
          </w:rPr>
          <w:t xml:space="preserve">5.2. Living materials</w:t>
        </w:r>
      </w:hyperlink>
    </w:p>
    <w:p>
      <w:pPr>
        <w:pStyle w:val="GuideContents2"/>
      </w:pPr>
      <w:hyperlink w:anchor="Q2PX_S0017">
        <w:r>
          <w:rPr>
            <w:rStyle w:val="Q2PX Link"/>
          </w:rPr>
          <w:t xml:space="preserve">5.3. Surface coverings</w:t>
        </w:r>
      </w:hyperlink>
    </w:p>
    <w:p>
      <w:pPr>
        <w:pStyle w:val="GuideContents2"/>
      </w:pPr>
      <w:hyperlink w:anchor="Q2PX_S0018">
        <w:r>
          <w:rPr>
            <w:rStyle w:val="Q2PX Link"/>
          </w:rPr>
          <w:t xml:space="preserve">5.4. Drawing and volumetric steam</w:t>
        </w:r>
      </w:hyperlink>
    </w:p>
    <w:p>
      <w:pPr>
        <w:pStyle w:val="GuideContents1"/>
      </w:pPr>
      <w:hyperlink w:anchor="Q2PX_S0019">
        <w:r>
          <w:rPr>
            <w:rStyle w:val="Q2PX Link"/>
          </w:rPr>
          <w:t xml:space="preserve">5A. The image: HDR, post-processing and highlights</w:t>
        </w:r>
      </w:hyperlink>
    </w:p>
    <w:p>
      <w:pPr>
        <w:pStyle w:val="GuideContents1"/>
      </w:pPr>
      <w:hyperlink w:anchor="Q2PX_S0020">
        <w:r>
          <w:rPr>
            <w:rStyle w:val="Q2PX Link"/>
          </w:rPr>
          <w:t xml:space="preserve">6. Tessellation and mirror surfaces</w:t>
        </w:r>
      </w:hyperlink>
    </w:p>
    <w:p>
      <w:pPr>
        <w:pStyle w:val="GuideContents1"/>
      </w:pPr>
      <w:hyperlink w:anchor="Q2PX_S0021">
        <w:r>
          <w:rPr>
            <w:rStyle w:val="Q2PX Link"/>
          </w:rPr>
          <w:t xml:space="preserve">7. Single player</w:t>
        </w:r>
      </w:hyperlink>
    </w:p>
    <w:p>
      <w:pPr>
        <w:pStyle w:val="GuideContents1"/>
      </w:pPr>
      <w:hyperlink w:anchor="Q2PX_S0022">
        <w:r>
          <w:rPr>
            <w:rStyle w:val="Q2PX Link"/>
          </w:rPr>
          <w:t xml:space="preserve">8. Presets, the generator and the menu</w:t>
        </w:r>
      </w:hyperlink>
    </w:p>
    <w:p>
      <w:pPr>
        <w:pStyle w:val="GuideContents2"/>
      </w:pPr>
      <w:hyperlink w:anchor="Q2PX_S0023">
        <w:r>
          <w:rPr>
            <w:rStyle w:val="Q2PX Link"/>
          </w:rPr>
          <w:t xml:space="preserve">8.1. AVFX presets</w:t>
        </w:r>
      </w:hyperlink>
    </w:p>
    <w:p>
      <w:pPr>
        <w:pStyle w:val="GuideContents2"/>
      </w:pPr>
      <w:hyperlink w:anchor="Q2PX_S0024">
        <w:r>
          <w:rPr>
            <w:rStyle w:val="Q2PX Link"/>
          </w:rPr>
          <w:t xml:space="preserve">8.2. The AVFX preset generator</w:t>
        </w:r>
      </w:hyperlink>
    </w:p>
    <w:p>
      <w:pPr>
        <w:pStyle w:val="GuideContents2"/>
      </w:pPr>
      <w:hyperlink w:anchor="Q2PX_S0025">
        <w:r>
          <w:rPr>
            <w:rStyle w:val="Q2PX Link"/>
          </w:rPr>
          <w:t xml:space="preserve">8.3. The cvar browser and the menu</w:t>
        </w:r>
      </w:hyperlink>
    </w:p>
    <w:p>
      <w:pPr>
        <w:pStyle w:val="GuideContents1"/>
      </w:pPr>
      <w:hyperlink w:anchor="Q2PX_S0026">
        <w:r>
          <w:rPr>
            <w:rStyle w:val="Q2PX Link"/>
          </w:rPr>
          <w:t xml:space="preserve">9. Configs and mod profiles</w:t>
        </w:r>
      </w:hyperlink>
    </w:p>
    <w:p>
      <w:pPr>
        <w:pStyle w:val="GuideContents1"/>
      </w:pPr>
      <w:hyperlink w:anchor="Q2PX_S0027">
        <w:r>
          <w:rPr>
            <w:rStyle w:val="Q2PX Link"/>
          </w:rPr>
          <w:t xml:space="preserve">10. Lighting compatibility with older configs</w:t>
        </w:r>
      </w:hyperlink>
    </w:p>
    <w:p>
      <w:pPr>
        <w:pStyle w:val="GuideContents1"/>
      </w:pPr>
      <w:hyperlink w:anchor="Q2PX_S0028">
        <w:r>
          <w:rPr>
            <w:rStyle w:val="Q2PX Link"/>
          </w:rPr>
          <w:t xml:space="preserve">11. Performance and observability</w:t>
        </w:r>
      </w:hyperlink>
    </w:p>
    <w:p>
      <w:pPr>
        <w:pStyle w:val="GuideContents1"/>
      </w:pPr>
      <w:hyperlink w:anchor="Q2PX_S0029">
        <w:r>
          <w:rPr>
            <w:rStyle w:val="Q2PX Link"/>
          </w:rPr>
          <w:t xml:space="preserve">12. Fixes to already existing capabilities</w:t>
        </w:r>
      </w:hyperlink>
    </w:p>
    <w:p>
      <w:pPr>
        <w:pStyle w:val="GuideContents1"/>
      </w:pPr>
      <w:hyperlink w:anchor="Q2PX_S0030">
        <w:r>
          <w:rPr>
            <w:rStyle w:val="Q2PX Link"/>
          </w:rPr>
          <w:t xml:space="preserve">13. What to check first</w:t>
        </w:r>
      </w:hyperlink>
    </w:p>
    <w:p>
      <w:pPr>
        <w:pStyle w:val="GuideContents1"/>
      </w:pPr>
      <w:hyperlink w:anchor="Q2PX_S0031">
        <w:r>
          <w:rPr>
            <w:rStyle w:val="Q2PX Link"/>
          </w:rPr>
          <w:t xml:space="preserve">14. Where to read next</w:t>
        </w:r>
      </w:hyperlink>
    </w:p>
    <w:p>
      <w:pPr>
        <w:spacing w:after="0"/>
      </w:pPr>
      <w:r>
        <w:br w:type="page"/>
      </w:r>
    </w:p>
    <w:p>
      <w:bookmarkStart w:id="1" w:name="Q2PX_S0001"/>
      <w:pPr>
        <w:pStyle w:val="Heading1"/>
      </w:pPr>
      <w:r>
        <w:t>What Q2PRO-X 1.5 is</w:t>
      </w:r>
      <w:bookmarkEnd w:id="1"/>
    </w:p>
    <w:p>
      <w:pPr>
        <w:widowControl/>
      </w:pPr>
      <w:r>
        <w:t>Q2PRO-X is a Quake II client based on Q2PRO. It leaves the classic game untouched and adds a layer of its own on top: a guided menu, the extended AVFX graphics, sound work, network diagnostics, demo tools and single-player experiments.</w:t>
      </w:r>
    </w:p>
    <w:p>
      <w:pPr>
        <w:widowControl/>
      </w:pPr>
      <w:r>
        <w:t>Q2PRO-X 1.5 is not a set of patches to the previous release; it is a product in its own right. Below is what it is, and what is new in it since the previous public release.</w:t>
      </w:r>
    </w:p>
    <w:tbl>
      <w:tblPr>
        <w:tblW w:type="auto" w:w="0"/>
        <w:jc w:val="center"/>
        <w:tblLayout w:type="fixed"/>
        <w:tblLook w:firstColumn="1" w:firstRow="1" w:lastColumn="0" w:lastRow="0" w:noHBand="0" w:noVBand="1" w:val="04A0"/>
        <w:tblBorders>
          <w:top w:val="single" w:sz="8" w:space="0" w:color="8EC9E9"/>
          <w:left w:val="single" w:sz="8" w:space="0" w:color="8EC9E9"/>
          <w:bottom w:val="single" w:sz="8" w:space="0" w:color="8EC9E9"/>
          <w:right w:val="single" w:sz="8" w:space="0" w:color="8EC9E9"/>
          <w:insideH w:val="single" w:sz="8" w:space="0" w:color="8EC9E9"/>
          <w:insideV w:val="single" w:sz="8" w:space="0" w:color="8EC9E9"/>
        </w:tblBorders>
      </w:tblPr>
      <w:tblGrid>
        <w:gridCol w:w="198"/>
        <w:gridCol w:w="9184"/>
      </w:tblGrid>
      <w:tr>
        <w:trPr>
          <w:cantSplit/>
        </w:trPr>
        <w:tc>
          <w:tcPr>
            <w:tcW w:type="dxa" w:w="198"/>
            <w:shd w:fill="33A6E8"/>
            <w:tcMar>
              <w:top w:w="0" w:type="dxa"/>
              <w:start w:w="0" w:type="dxa"/>
              <w:bottom w:w="0" w:type="dxa"/>
              <w:end w:w="0" w:type="dxa"/>
            </w:tcMar>
            <w:vAlign w:val="center"/>
          </w:tcPr>
          <w:p/>
        </w:tc>
        <w:tc>
          <w:tcPr>
            <w:tcW w:type="dxa" w:w="9184"/>
            <w:shd w:fill="F2FAFE"/>
            <w:tcMar>
              <w:top w:w="110" w:type="dxa"/>
              <w:start w:w="160" w:type="dxa"/>
              <w:bottom w:w="110" w:type="dxa"/>
              <w:end w:w="160" w:type="dxa"/>
            </w:tcMar>
            <w:vAlign w:val="center"/>
          </w:tcPr>
          <w:p>
            <w:pPr>
              <w:pStyle w:val="GuideQuote"/>
            </w:pPr>
            <w:r>
              <w:rPr>
                <w:b/>
              </w:rPr>
              <w:t>Compatibility.</w:t>
            </w:r>
            <w:r>
              <w:t xml:space="preserve"> Q2PRO-X remains a client. It does not change the Quake II protocol, does not alter server rules and requires no special server. Everything described below works on ordinary servers.</w:t>
            </w:r>
          </w:p>
        </w:tc>
      </w:tr>
    </w:tbl>
    <w:p>
      <w:pPr>
        <w:spacing w:after="40"/>
      </w:pPr>
    </w:p>
    <w:p>
      <w:bookmarkStart w:id="2" w:name="Q2PX_S0002"/>
      <w:pPr>
        <w:pStyle w:val="Heading2"/>
      </w:pPr>
      <w:r>
        <w:t>The essentials in one minute</w:t>
      </w:r>
      <w:bookmarkEnd w:id="2"/>
    </w:p>
    <w:p>
      <w:pPr>
        <w:pStyle w:val="ListBullet"/>
      </w:pPr>
      <w:r>
        <w:rPr>
          <w:b/>
        </w:rPr>
        <w:t>Network God</w:t>
      </w:r>
      <w:r>
        <w:t xml:space="preserve"> — plain-language connection diagnosis: it observes, explains and, only with your permission, applies one safe change with verification and a revert.</w:t>
      </w:r>
    </w:p>
    <w:p>
      <w:pPr>
        <w:pStyle w:val="ListBullet"/>
      </w:pPr>
      <w:r>
        <w:rPr>
          <w:b/>
        </w:rPr>
        <w:t>Ping Adaptation</w:t>
      </w:r>
      <w:r>
        <w:t xml:space="preserve"> — manual and automatic modes for holding a chosen final ping.</w:t>
      </w:r>
    </w:p>
    <w:p>
      <w:pPr>
        <w:pStyle w:val="ListBullet"/>
      </w:pPr>
      <w:r>
        <w:rPr>
          <w:b/>
        </w:rPr>
        <w:t>Live item timers</w:t>
      </w:r>
      <w:r>
        <w:t xml:space="preserve"> — manual and automatic respawn countdowns with a HUD, sound and a clear permission policy.</w:t>
      </w:r>
    </w:p>
    <w:p>
      <w:pPr>
        <w:pStyle w:val="ListBullet"/>
      </w:pPr>
      <w:r>
        <w:rPr>
          <w:b/>
        </w:rPr>
        <w:t>Game statistics</w:t>
      </w:r>
      <w:r>
        <w:t xml:space="preserve"> — local analysis of your own recordings: matches, results, opponents, maps and modes.</w:t>
      </w:r>
    </w:p>
    <w:p>
      <w:pPr>
        <w:pStyle w:val="ListBullet"/>
      </w:pPr>
      <w:r>
        <w:rPr>
          <w:b/>
        </w:rPr>
        <w:t>Startup intro</w:t>
      </w:r>
      <w:r>
        <w:t xml:space="preserve"> — a presentation with localized music, logo light and personal facts from your own statistics.</w:t>
      </w:r>
    </w:p>
    <w:p>
      <w:pPr>
        <w:pStyle w:val="ListBullet"/>
      </w:pPr>
      <w:r>
        <w:rPr>
          <w:b/>
        </w:rPr>
        <w:t>Surface materials</w:t>
      </w:r>
      <w:r>
        <w:t xml:space="preserve"> — mold, brick with genuine relief, cracks, greenery, coverings, grass and wildlife.</w:t>
      </w:r>
    </w:p>
    <w:p>
      <w:pPr>
        <w:pStyle w:val="ListBullet"/>
      </w:pPr>
      <w:r>
        <w:rPr>
          <w:b/>
        </w:rPr>
        <w:t>Drawing and volumetric steam</w:t>
      </w:r>
      <w:r>
        <w:t xml:space="preserve"> — authored scenes for specific maps.</w:t>
      </w:r>
    </w:p>
    <w:p>
      <w:pPr>
        <w:pStyle w:val="ListBullet"/>
      </w:pPr>
      <w:r>
        <w:rPr>
          <w:b/>
        </w:rPr>
        <w:t>Black hole, Earth, spaceships</w:t>
      </w:r>
      <w:r>
        <w:t xml:space="preserve"> — new celestial subsystems.</w:t>
      </w:r>
    </w:p>
    <w:p>
      <w:pPr>
        <w:pStyle w:val="ListBullet"/>
      </w:pPr>
      <w:r>
        <w:rPr>
          <w:b/>
        </w:rPr>
        <w:t>Tessellation and mirror surfaces</w:t>
      </w:r>
      <w:r>
        <w:t xml:space="preserve"> — real relief in the architecture, and real mirrors.</w:t>
      </w:r>
    </w:p>
    <w:p>
      <w:pPr>
        <w:pStyle w:val="ListBullet"/>
      </w:pPr>
      <w:r>
        <w:rPr>
          <w:b/>
        </w:rPr>
        <w:t>AVFX preset generator</w:t>
      </w:r>
      <w:r>
        <w:t xml:space="preserve"> — one button, one finished scene inside the chosen budget.</w:t>
      </w:r>
    </w:p>
    <w:p>
      <w:r>
        <w:br w:type="page"/>
      </w:r>
    </w:p>
    <w:p>
      <w:r>
        <w:br w:type="page"/>
      </w:r>
    </w:p>
    <w:p>
      <w:bookmarkStart w:id="3" w:name="Q2PX_S0003"/>
      <w:pPr>
        <w:pStyle w:val="Heading1"/>
      </w:pPr>
      <w:r>
        <w:t>1. Network play</w:t>
      </w:r>
      <w:bookmarkEnd w:id="3"/>
    </w:p>
    <w:p>
      <w:bookmarkStart w:id="4" w:name="Q2PX_S0004"/>
      <w:pPr>
        <w:pStyle w:val="Heading2"/>
      </w:pPr>
      <w:r>
        <w:t>1.1. Network God</w:t>
      </w:r>
      <w:bookmarkEnd w:id="4"/>
    </w:p>
    <w:p>
      <w:pPr>
        <w:widowControl/>
      </w:pPr>
      <w:r>
        <w:t>The new optional network-diagnostics centre brings the existing LagHax, prediction and AutoPort together with the new modules: Ping Adaptation, the Jitter Shield, the Connection Guardian and the Network Lab.</w:t>
      </w:r>
    </w:p>
    <w:p>
      <w:pPr>
        <w:pStyle w:val="ListBullet"/>
      </w:pPr>
      <w:r>
        <w:t>A large bilingual overview translates technical measurements into a player's language: it shows the fact, its meaning, the recommended action, the expected result, the way to verify it and the revert. The report can be scrolled, copied and saved.</w:t>
      </w:r>
    </w:p>
    <w:p>
      <w:pPr>
        <w:pStyle w:val="ListBullet"/>
      </w:pPr>
      <w:r>
        <w:t>Optional computer observation detects background load from Steam, torrent clients, the Windows update service and other sources.</w:t>
      </w:r>
    </w:p>
    <w:p>
      <w:pPr>
        <w:pStyle w:val="ListBullet"/>
      </w:pPr>
      <w:r>
        <w:t>A compact colour panel shows the progress of the analysis, hides itself automatically after a green result and returns only for a real reason.</w:t>
      </w:r>
    </w:p>
    <w:p>
      <w:pPr>
        <w:pStyle w:val="ListBullet"/>
      </w:pPr>
      <w:r>
        <w:t xml:space="preserve">A local change to a critical network setting, and </w:t>
      </w:r>
      <w:r>
        <w:rPr>
          <w:rFonts w:ascii="Cascadia Mono" w:hAnsi="Cascadia Mono" w:eastAsia="Cascadia Mono"/>
          <w:color w:val="153A5B"/>
          <w:sz w:val="17"/>
        </w:rPr>
        <w:t>net_restart</w:t>
      </w:r>
      <w:r>
        <w:t>, start the measurement again instead of mixing the old and the new picture of the network.</w:t>
      </w:r>
    </w:p>
    <w:p>
      <w:pPr>
        <w:widowControl/>
      </w:pPr>
      <w:r>
        <w:t>Details are in the separate Network God guide.</w:t>
      </w:r>
    </w:p>
    <w:p>
      <w:bookmarkStart w:id="5" w:name="Q2PX_S0005"/>
      <w:pPr>
        <w:pStyle w:val="Heading2"/>
      </w:pPr>
      <w:r>
        <w:t>1.2. Ping Adaptation</w:t>
      </w:r>
      <w:bookmarkEnd w:id="5"/>
    </w:p>
    <w:p>
      <w:pPr>
        <w:pStyle w:val="ListBullet"/>
      </w:pPr>
      <w:r>
        <w:t>Manual mode sets the final ping you want.</w:t>
      </w:r>
    </w:p>
    <w:p>
      <w:pPr>
        <w:pStyle w:val="ListBullet"/>
      </w:pPr>
      <w:r>
        <w:t>Automatic mode follows the opponent in a duel, or the average ping of active opponents in team and free-for-all play; spectators are excluded.</w:t>
      </w:r>
    </w:p>
    <w:p>
      <w:pPr>
        <w:pStyle w:val="ListBullet"/>
      </w:pPr>
      <w:r>
        <w:t>A recomputation interval, an offset, a minimum difference and an upper limit are available.</w:t>
      </w:r>
    </w:p>
    <w:p>
      <w:pPr>
        <w:pStyle w:val="ListBullet"/>
      </w:pPr>
      <w:r>
        <w:t>The layer creates no packet loss and is compatible with LagHax, prediction and the existing movement-feel modes.</w:t>
      </w:r>
    </w:p>
    <w:p>
      <w:bookmarkStart w:id="6" w:name="Q2PX_S0006"/>
      <w:pPr>
        <w:pStyle w:val="Heading2"/>
      </w:pPr>
      <w:r>
        <w:t>1.3. Server browser, LagHax, voice and weapon prediction</w:t>
      </w:r>
      <w:bookmarkEnd w:id="6"/>
    </w:p>
    <w:p>
      <w:pPr>
        <w:pStyle w:val="ListBullet"/>
      </w:pPr>
      <w:r>
        <w:t>Favourite servers became global across all mods. Scanning shows live tabs and stops with the same button that starts it.</w:t>
      </w:r>
    </w:p>
    <w:p>
      <w:pPr>
        <w:pStyle w:val="ListBullet"/>
      </w:pPr>
      <w:r>
        <w:t>The LagHax HUD gained auto-hiding and protection against displaying a stale state.</w:t>
      </w:r>
    </w:p>
    <w:p>
      <w:pPr>
        <w:pStyle w:val="ListBullet"/>
      </w:pPr>
      <w:r>
        <w:t>Voice chat now leaves its room correctly on an ordinary quit, on Alt+F4 and on closing the window, including a fast client restart.</w:t>
      </w:r>
    </w:p>
    <w:p>
      <w:pPr>
        <w:pStyle w:val="ListBullet"/>
      </w:pPr>
      <w:r>
        <w:t>Hand-grenade prediction uses one audio cycle with the same volume for the predicted and the server part, with no doubled or truncated countdown.</w:t>
      </w:r>
    </w:p>
    <w:p>
      <w:bookmarkStart w:id="7" w:name="Q2PX_S0007"/>
      <w:pPr>
        <w:pStyle w:val="Heading2"/>
      </w:pPr>
      <w:r>
        <w:t>1.4. Movement view bob</w:t>
      </w:r>
      <w:bookmarkEnd w:id="7"/>
    </w:p>
    <w:p>
      <w:pPr>
        <w:widowControl/>
      </w:pPr>
      <w:r>
        <w:t>A new setting weakens or completely removes the camera movement caused by walking: the vertical bounce and the tilt when running and strafing. It works on every server, including someone else's. Weapon recoil, the kick from damage and landings are preserved deliberately.</w:t>
      </w:r>
    </w:p>
    <w:p>
      <w:r>
        <w:br w:type="page"/>
      </w:r>
    </w:p>
    <w:p>
      <w:r>
        <w:br w:type="page"/>
      </w:r>
    </w:p>
    <w:p>
      <w:bookmarkStart w:id="8" w:name="Q2PX_S0008"/>
      <w:pPr>
        <w:pStyle w:val="Heading1"/>
      </w:pPr>
      <w:r>
        <w:t>2. Match recordings and statistics</w:t>
      </w:r>
      <w:bookmarkEnd w:id="8"/>
    </w:p>
    <w:p>
      <w:bookmarkStart w:id="9" w:name="Q2PX_S0009"/>
      <w:pPr>
        <w:pStyle w:val="Heading2"/>
      </w:pPr>
      <w:r>
        <w:t>2.1. Game statistics</w:t>
      </w:r>
      <w:bookmarkEnd w:id="9"/>
    </w:p>
    <w:p>
      <w:pPr>
        <w:widowControl/>
      </w:pPr>
      <w:r>
        <w:t xml:space="preserve">A new section builds personal statistics from your local recording library: real matches, frags, results, opponents, maps and modes. The main format is the client's own </w:t>
      </w:r>
      <w:r>
        <w:rPr>
          <w:rFonts w:ascii="Cascadia Mono" w:hAnsi="Cascadia Mono" w:eastAsia="Cascadia Mono"/>
          <w:color w:val="153A5B"/>
          <w:sz w:val="17"/>
        </w:rPr>
        <w:t>.dm2</w:t>
      </w:r>
      <w:r>
        <w:t xml:space="preserve"> recordings; </w:t>
      </w:r>
      <w:r>
        <w:rPr>
          <w:rFonts w:ascii="Cascadia Mono" w:hAnsi="Cascadia Mono" w:eastAsia="Cascadia Mono"/>
          <w:color w:val="153A5B"/>
          <w:sz w:val="17"/>
        </w:rPr>
        <w:t>.mvd2</w:t>
      </w:r>
      <w:r>
        <w:t xml:space="preserve"> remains an additional server-side format.</w:t>
      </w:r>
    </w:p>
    <w:p>
      <w:pPr>
        <w:pStyle w:val="ListBullet"/>
      </w:pPr>
      <w:r>
        <w:t>Spectating, warmup, test recordings and sessions without participation are separated from played matches.</w:t>
      </w:r>
    </w:p>
    <w:p>
      <w:pPr>
        <w:pStyle w:val="ListBullet"/>
      </w:pPr>
      <w:r>
        <w:t>Final results are read by dedicated adapters for baseq2, OpenFFA and OpenTDM. An unproven result honestly stays unknown.</w:t>
      </w:r>
    </w:p>
    <w:p>
      <w:pPr>
        <w:pStyle w:val="ListBullet"/>
      </w:pPr>
      <w:r>
        <w:t>Manual refresh, a configurable period, a list of your own nicknames, tabs, sorting, search and details are available. Automatic collection is off by default.</w:t>
      </w:r>
    </w:p>
    <w:p>
      <w:pPr>
        <w:pStyle w:val="ListBullet"/>
      </w:pPr>
      <w:r>
        <w:t>A separate minimum-recording-size setting excludes short connections that contain no match.</w:t>
      </w:r>
    </w:p>
    <w:p>
      <w:bookmarkStart w:id="10" w:name="Q2PX_S0010"/>
      <w:pPr>
        <w:pStyle w:val="Heading2"/>
      </w:pPr>
      <w:r>
        <w:t>2.2. Live item timers</w:t>
      </w:r>
      <w:bookmarkEnd w:id="10"/>
    </w:p>
    <w:p>
      <w:pPr>
        <w:pStyle w:val="ListBullet"/>
      </w:pPr>
      <w:r>
        <w:t>Manual and automatic item respawn timers were added, with a HUD, colours, sounds, intervals and binds.</w:t>
      </w:r>
    </w:p>
    <w:p>
      <w:pPr>
        <w:pStyle w:val="ListBullet"/>
      </w:pPr>
      <w:r>
        <w:t>An automatic timer starts only after your own confirmed pickup at a permanent map spawn, and it distinguishes different instances of the same item.</w:t>
      </w:r>
    </w:p>
    <w:p>
      <w:pPr>
        <w:pStyle w:val="ListBullet"/>
      </w:pPr>
      <w:r>
        <w:t>A remote server requires permission: either a server setting or the signed trusted-server policy. Manual timers are always available.</w:t>
      </w:r>
    </w:p>
    <w:p>
      <w:pPr>
        <w:pStyle w:val="ListBullet"/>
      </w:pPr>
      <w:r>
        <w:t>Spectating, dropped weapons, items from corpses and items that stay in place never create false automatic countdowns.</w:t>
      </w:r>
    </w:p>
    <w:p>
      <w:r>
        <w:br w:type="page"/>
      </w:r>
    </w:p>
    <w:p>
      <w:bookmarkStart w:id="11" w:name="Q2PX_S0011"/>
      <w:pPr>
        <w:pStyle w:val="Heading1"/>
      </w:pPr>
      <w:r>
        <w:t>3. Startup intro and preparation</w:t>
      </w:r>
      <w:bookmarkEnd w:id="11"/>
    </w:p>
    <w:p>
      <w:pPr>
        <w:pStyle w:val="ListBullet"/>
      </w:pPr>
      <w:r>
        <w:t>A new presentation with the main menu available, a pulsing and lit logo, electrical discharges and coloured fireworks.</w:t>
      </w:r>
    </w:p>
    <w:p>
      <w:pPr>
        <w:pStyle w:val="ListBullet"/>
      </w:pPr>
      <w:r>
        <w:t>Localized music sets contain 13 Russian and 13 English tracks; on an eligible launch one track of the current language is chosen at random.</w:t>
      </w:r>
    </w:p>
    <w:p>
      <w:pPr>
        <w:pStyle w:val="ListBullet"/>
      </w:pPr>
      <w:r>
        <w:t>Launching straight into a map or a server does not start the presentation and does not delay entering the game.</w:t>
      </w:r>
    </w:p>
    <w:p>
      <w:pPr>
        <w:pStyle w:val="ListBullet"/>
      </w:pPr>
      <w:r>
        <w:t>The preparation windows on both graphics backends show honest progress, the current programs and the live final preparation.</w:t>
      </w:r>
    </w:p>
    <w:p>
      <w:pPr>
        <w:pStyle w:val="ListBullet"/>
      </w:pPr>
      <w:r>
        <w:t>Music control buttons appeared beside the main-menu logo: mute the sound and end the presentation smoothly, without changing the stored volumes.</w:t>
      </w:r>
    </w:p>
    <w:p>
      <w:pPr>
        <w:pStyle w:val="ListBullet"/>
      </w:pPr>
      <w:r>
        <w:t>The personal-fact layer shows moments from your statistics one at a time, with a constant smoothness that does not depend on the length of the music track.</w:t>
      </w:r>
    </w:p>
    <w:p>
      <w:r>
        <w:br w:type="page"/>
      </w:r>
    </w:p>
    <w:p>
      <w:r>
        <w:br w:type="page"/>
      </w:r>
    </w:p>
    <w:p>
      <w:bookmarkStart w:id="12" w:name="Q2PX_S0012"/>
      <w:pPr>
        <w:pStyle w:val="Heading1"/>
      </w:pPr>
      <w:r>
        <w:t>4. AVFX: sky and space</w:t>
      </w:r>
      <w:bookmarkEnd w:id="12"/>
    </w:p>
    <w:p>
      <w:pPr>
        <w:pStyle w:val="ListBullet"/>
      </w:pPr>
      <w:r>
        <w:t>The Earth was added, with high-resolution textures, a scale and rotation. The Earth and the Moon rotate independently around three axes.</w:t>
      </w:r>
    </w:p>
    <w:p>
      <w:pPr>
        <w:pStyle w:val="ListBullet"/>
      </w:pPr>
      <w:r>
        <w:t>Distant spaceships were added, with routes, speed, sizes, colours, manoeuvres, spatial sound and reflections.</w:t>
      </w:r>
    </w:p>
    <w:p>
      <w:pPr>
        <w:pStyle w:val="ListBullet"/>
      </w:pPr>
      <w:r>
        <w:t>The physical visibility of celestial bodies and god rays was fixed: the rays, the fog and the objects are correctly occluded by the Earth, the Moon, the clouds and the architecture.</w:t>
      </w:r>
    </w:p>
    <w:p>
      <w:pPr>
        <w:pStyle w:val="ListBullet"/>
      </w:pPr>
      <w:r>
        <w:t>The Moon and the Earth became physically opaque to the star layer: stars, constellations and planets no longer show through the dark side of the disk, and an invisible dark side no longer leaves a black silhouette.</w:t>
      </w:r>
    </w:p>
    <w:p>
      <w:bookmarkStart w:id="13" w:name="Q2PX_S0013"/>
      <w:pPr>
        <w:pStyle w:val="Heading2"/>
      </w:pPr>
      <w:r>
        <w:t>4.1. The black hole</w:t>
      </w:r>
      <w:bookmarkEnd w:id="13"/>
    </w:p>
    <w:p>
      <w:pPr>
        <w:pStyle w:val="ListBullet"/>
      </w:pPr>
      <w:r>
        <w:t>A complete, default-off black hole: lensing of the sky and the stars, an accretion disk, streams, jets, quality, scale and reflections.</w:t>
      </w:r>
    </w:p>
    <w:p>
      <w:pPr>
        <w:pStyle w:val="ListBullet"/>
      </w:pPr>
      <w:r>
        <w:t>Optional consumption of the Moon, the Earth and the Sun creates different kinds of matter: dust and rock, atmosphere, water and soil, and plasma.</w:t>
      </w:r>
    </w:p>
    <w:p>
      <w:pPr>
        <w:pStyle w:val="ListBullet"/>
      </w:pPr>
      <w:r>
        <w:t>The black hole captures flying meteors, comets, ships and falling impact meteors. Its own spatial noise and separate consumption-event sounds were added.</w:t>
      </w:r>
    </w:p>
    <w:p>
      <w:r>
        <w:br w:type="page"/>
      </w:r>
    </w:p>
    <w:p>
      <w:bookmarkStart w:id="14" w:name="Q2PX_S0014"/>
      <w:pPr>
        <w:pStyle w:val="Heading1"/>
      </w:pPr>
      <w:r>
        <w:t>5. AVFX: surfaces</w:t>
      </w:r>
      <w:bookmarkEnd w:id="14"/>
    </w:p>
    <w:p>
      <w:bookmarkStart w:id="15" w:name="Q2PX_S0015"/>
      <w:pPr>
        <w:pStyle w:val="Heading2"/>
      </w:pPr>
      <w:r>
        <w:t>5.1. Surface objects and grass</w:t>
      </w:r>
      <w:bookmarkEnd w:id="15"/>
    </w:p>
    <w:p>
      <w:pPr>
        <w:pStyle w:val="ListBullet"/>
      </w:pPr>
      <w:r>
        <w:t>A general layer of objects on level surfaces was added, together with separate grass with density up to millions of blades, quality, range, an allowed slope and geometric smoothing.</w:t>
      </w:r>
    </w:p>
    <w:p>
      <w:pPr>
        <w:pStyle w:val="ListBullet"/>
      </w:pPr>
      <w:r>
        <w:t>Grass reacts to wind and to interactions, is lit by the map, the Sun, the Moon, the flashlight, lightning and dynamic sources, and takes part in reflections.</w:t>
      </w:r>
    </w:p>
    <w:p>
      <w:bookmarkStart w:id="16" w:name="Q2PX_S0016"/>
      <w:pPr>
        <w:pStyle w:val="Heading2"/>
      </w:pPr>
      <w:r>
        <w:t>5.2. Living materials</w:t>
      </w:r>
      <w:bookmarkEnd w:id="16"/>
    </w:p>
    <w:p>
      <w:pPr>
        <w:widowControl/>
      </w:pPr>
      <w:r>
        <w:t>A new combinable material system for walls, floors, ceilings and sloped surfaces. The families are enabled independently and have quality, range, coverage, opacity and an appearance profile.</w:t>
      </w:r>
    </w:p>
    <w:p>
      <w:pPr>
        <w:pStyle w:val="ListBullet"/>
      </w:pPr>
      <w:r>
        <w:rPr>
          <w:b/>
        </w:rPr>
        <w:t>Mold</w:t>
      </w:r>
      <w:r>
        <w:t>: nine modes, colour and vertical distribution.</w:t>
      </w:r>
    </w:p>
    <w:p>
      <w:pPr>
        <w:pStyle w:val="ListBullet"/>
      </w:pPr>
      <w:r>
        <w:rPr>
          <w:b/>
        </w:rPr>
        <w:t>Wall water runoff</w:t>
      </w:r>
      <w:r>
        <w:t>: drops, rivulets, merging, motion and reflections.</w:t>
      </w:r>
    </w:p>
    <w:p>
      <w:pPr>
        <w:pStyle w:val="ListBullet"/>
      </w:pPr>
      <w:r>
        <w:rPr>
          <w:b/>
        </w:rPr>
        <w:t>Greenery</w:t>
      </w:r>
      <w:r>
        <w:t>: moss, lichen, shoots and vegetation.</w:t>
      </w:r>
    </w:p>
    <w:p>
      <w:pPr>
        <w:pStyle w:val="ListBullet"/>
      </w:pPr>
      <w:r>
        <w:rPr>
          <w:b/>
        </w:rPr>
        <w:t>Cracks</w:t>
      </w:r>
      <w:r>
        <w:t>: several natural structural profiles.</w:t>
      </w:r>
    </w:p>
    <w:p>
      <w:pPr>
        <w:pStyle w:val="ListBullet"/>
      </w:pPr>
      <w:r>
        <w:rPr>
          <w:b/>
        </w:rPr>
        <w:t>Brick</w:t>
      </w:r>
      <w:r>
        <w:t>: procedural masonry, styles, colour and genuine geometric volume.</w:t>
      </w:r>
    </w:p>
    <w:p>
      <w:pPr>
        <w:pStyle w:val="ListBullet"/>
      </w:pPr>
      <w:r>
        <w:rPr>
          <w:b/>
        </w:rPr>
        <w:t>Wildlife</w:t>
      </w:r>
      <w:r>
        <w:t>: insects, snails, tadpoles and snakes, with behaviour, sounds, hunting, reactions to weapons and interaction with grass, snow and puddles.</w:t>
      </w:r>
    </w:p>
    <w:p>
      <w:bookmarkStart w:id="17" w:name="Q2PX_S0017"/>
      <w:pPr>
        <w:pStyle w:val="Heading2"/>
      </w:pPr>
      <w:r>
        <w:t>5.3. Surface coverings</w:t>
      </w:r>
      <w:bookmarkEnd w:id="17"/>
    </w:p>
    <w:p>
      <w:pPr>
        <w:widowControl/>
      </w:pPr>
      <w:r>
        <w:t>Two independently configurable layers on one surface, with a choice of materials and ready-made combinations for walls, floors, ceilings and slopes. The effect appears on the current map with no restart.</w:t>
      </w:r>
    </w:p>
    <w:p>
      <w:bookmarkStart w:id="18" w:name="Q2PX_S0018"/>
      <w:pPr>
        <w:pStyle w:val="Heading2"/>
      </w:pPr>
      <w:r>
        <w:t>5.4. Drawing and volumetric steam</w:t>
      </w:r>
      <w:bookmarkEnd w:id="18"/>
    </w:p>
    <w:p>
      <w:pPr>
        <w:pStyle w:val="ListBullet"/>
      </w:pPr>
      <w:r>
        <w:t>A surface drawing editor: mouse, brushes, shapes, an eraser, layers, undo and redo, a palette, ordinary and contour fill, portable material sets, and storage per specific map.</w:t>
      </w:r>
    </w:p>
    <w:p>
      <w:pPr>
        <w:pStyle w:val="ListBullet"/>
      </w:pPr>
      <w:r>
        <w:t>A volumetric steam and smoke editor: sources are placed on the map's geometry, edited, erased, saved separately for every map, and included in custom AVFX presets.</w:t>
      </w:r>
    </w:p>
    <w:p>
      <w:pPr>
        <w:pStyle w:val="ListBullet"/>
      </w:pPr>
      <w:r>
        <w:t>Volumetric steam and smoke passes correctly through the physical sky while staying bounded by ordinary walls and ceilings.</w:t>
      </w:r>
    </w:p>
    <w:p>
      <w:pPr>
        <w:pStyle w:val="ListBullet"/>
      </w:pPr>
      <w:r>
        <w:t>Volumetric steam instances do not share one quality limit: adding a new shape does not alter an existing one.</w:t>
      </w:r>
    </w:p>
    <w:p>
      <w:pPr>
        <w:pStyle w:val="ListBullet"/>
      </w:pPr>
      <w:r>
        <w:t>Reflections of volumetric steam and smoke were added in mirrors, puddles and level water.</w:t>
      </w:r>
    </w:p>
    <w:p>
      <w:r>
        <w:br w:type="page"/>
      </w:r>
    </w:p>
    <w:p>
      <w:r>
        <w:br w:type="page"/>
      </w:r>
    </w:p>
    <w:p>
      <w:bookmarkStart w:id="19" w:name="Q2PX_S0019"/>
      <w:pPr>
        <w:pStyle w:val="Heading1"/>
      </w:pPr>
      <w:r>
        <w:t>5A. The image: HDR, post-processing and highlights</w:t>
      </w:r>
      <w:bookmarkEnd w:id="19"/>
    </w:p>
    <w:p>
      <w:pPr>
        <w:widowControl/>
      </w:pPr>
      <w:r>
        <w:t>These three layers exist independently of AVFX and are configured separately.</w:t>
      </w:r>
    </w:p>
    <w:p>
      <w:pPr>
        <w:pStyle w:val="ListBullet"/>
      </w:pPr>
      <w:r>
        <w:rPr>
          <w:b/>
        </w:rPr>
        <w:t>HDR</w:t>
      </w:r>
      <w:r>
        <w:t xml:space="preserve"> — the internal extended dynamic range and true HDR output to the monitor, with tone mapping, paper white, peak brightness and a separate white calibration for the EGL backend. Extended-range screenshots are saved in the JXR format.</w:t>
      </w:r>
    </w:p>
    <w:p>
      <w:pPr>
        <w:pStyle w:val="ListBullet"/>
      </w:pPr>
      <w:r>
        <w:rPr>
          <w:b/>
        </w:rPr>
        <w:t>Post-processing</w:t>
      </w:r>
      <w:r>
        <w:t xml:space="preserve"> — bloom, sharpening, colour grading, plus the style modes: pixel, CRT, film and VHS.</w:t>
      </w:r>
    </w:p>
    <w:p>
      <w:pPr>
        <w:pStyle w:val="ListBullet"/>
      </w:pPr>
      <w:r>
        <w:rPr>
          <w:b/>
        </w:rPr>
        <w:t>Visual highlights</w:t>
      </w:r>
      <w:r>
        <w:t xml:space="preserve"> — a local visual layer over the rendering: items, weapons and players with their own styles, colours and opacity. The Model parts mode colours the head, arms, torso, legs and weapon separately while preserving the skeleton, the animation and the skin path on MD5 models.</w:t>
      </w:r>
    </w:p>
    <w:p>
      <w:pPr>
        <w:pStyle w:val="ListBullet"/>
      </w:pPr>
      <w:r>
        <w:rPr>
          <w:b/>
        </w:rPr>
        <w:t>OLED protection</w:t>
      </w:r>
      <w:r>
        <w:t xml:space="preserve"> — animated black bars, idle dimming and a breathing interface opacity.</w:t>
      </w:r>
    </w:p>
    <w:p>
      <w:pPr>
        <w:pStyle w:val="ListBullet"/>
      </w:pPr>
      <w:r>
        <w:rPr>
          <w:b/>
        </w:rPr>
        <w:t>Own blood / armor</w:t>
      </w:r>
      <w:r>
        <w:t xml:space="preserve"> (</w:t>
      </w:r>
      <w:r>
        <w:rPr>
          <w:rFonts w:ascii="Cascadia Mono" w:hAnsi="Cascadia Mono" w:eastAsia="Cascadia Mono"/>
          <w:color w:val="153A5B"/>
          <w:sz w:val="17"/>
        </w:rPr>
        <w:t>cl_own_blood</w:t>
      </w:r>
      <w:r>
        <w:t>) — the local filter now hides not only the local player's blood, but also the ordinary yellow sparks, spark light, and bullet-impact smoke from hits on that player's armor. Enemy blood and world impacts remain visible; ricochet audio and AVFX reactions are preserved. Power Screen and Power Shield effects are unaffected because the standard network protocol has no reliable local-owner marker for them.</w:t>
      </w:r>
    </w:p>
    <w:p>
      <w:pPr>
        <w:widowControl/>
      </w:pPr>
      <w:r>
        <w:t>None of these layers changes server rules, hitboxes or hit registration.</w:t>
      </w:r>
    </w:p>
    <w:p>
      <w:r>
        <w:br w:type="page"/>
      </w:r>
    </w:p>
    <w:p>
      <w:bookmarkStart w:id="20" w:name="Q2PX_S0020"/>
      <w:pPr>
        <w:pStyle w:val="Heading1"/>
      </w:pPr>
      <w:r>
        <w:t>6. Tessellation and mirror surfaces</w:t>
      </w:r>
      <w:bookmarkEnd w:id="20"/>
    </w:p>
    <w:p>
      <w:pPr>
        <w:pStyle w:val="ListBullet"/>
      </w:pPr>
      <w:r>
        <w:t xml:space="preserve">Hardware tessellation of the level architecture was added for the native </w:t>
      </w:r>
      <w:r>
        <w:rPr>
          <w:rFonts w:ascii="Cascadia Mono" w:hAnsi="Cascadia Mono" w:eastAsia="Cascadia Mono"/>
          <w:color w:val="153A5B"/>
          <w:sz w:val="17"/>
        </w:rPr>
        <w:t>win32wgl</w:t>
      </w:r>
      <w:r>
        <w:t xml:space="preserve"> backend, with independent enabling for walls and floors.</w:t>
      </w:r>
    </w:p>
    <w:p>
      <w:pPr>
        <w:pStyle w:val="ListBullet"/>
      </w:pPr>
      <w:r>
        <w:t>Water and lava received their own wave tessellation and their own settings.</w:t>
      </w:r>
    </w:p>
    <w:p>
      <w:pPr>
        <w:pStyle w:val="ListBullet"/>
      </w:pPr>
      <w:r>
        <w:t>Mirror floors, slopes and walls were added, reflecting the architecture, models, grass, celestial bodies, ships, meteors, comets and materials.</w:t>
      </w:r>
    </w:p>
    <w:p>
      <w:pPr>
        <w:pStyle w:val="ListBullet"/>
      </w:pPr>
      <w:r>
        <w:t>Rain, snow, puddles, runoff, contact rings and materials follow the real tessellated relief.</w:t>
      </w:r>
    </w:p>
    <w:p>
      <w:pPr>
        <w:pStyle w:val="ListBullet"/>
      </w:pPr>
      <w:r>
        <w:rPr>
          <w:rFonts w:ascii="Cascadia Mono" w:hAnsi="Cascadia Mono" w:eastAsia="Cascadia Mono"/>
          <w:color w:val="153A5B"/>
          <w:sz w:val="17"/>
        </w:rPr>
        <w:t>win32egl</w:t>
      </w:r>
      <w:r>
        <w:t xml:space="preserve"> remains a fully supported backend, without tessellation.</w:t>
      </w:r>
    </w:p>
    <w:p>
      <w:r>
        <w:br w:type="page"/>
      </w:r>
    </w:p>
    <w:p>
      <w:bookmarkStart w:id="21" w:name="Q2PX_S0021"/>
      <w:pPr>
        <w:pStyle w:val="Heading1"/>
      </w:pPr>
      <w:r>
        <w:t>7. Single player</w:t>
      </w:r>
      <w:bookmarkEnd w:id="21"/>
    </w:p>
    <w:p>
      <w:pPr>
        <w:pStyle w:val="ListBullet"/>
      </w:pPr>
      <w:r>
        <w:t>Snakes interact with puddles, level water and grass: they create waves and a trail, part the grass, and leave blood on the real surface.</w:t>
      </w:r>
    </w:p>
    <w:p>
      <w:pPr>
        <w:pStyle w:val="ListBullet"/>
      </w:pPr>
      <w:r>
        <w:t>In local single player, snakes can attack the player and monsters, and monsters can notice snakes, attack them with ordinary weapons and answer a bite. Armor, damage, the real contact distance and the physical path are all accounted for.</w:t>
      </w:r>
    </w:p>
    <w:p>
      <w:pPr>
        <w:pStyle w:val="ListBullet"/>
      </w:pPr>
      <w:r>
        <w:t>After a fight ends, monsters safely return to their ordinary goal.</w:t>
      </w:r>
    </w:p>
    <w:p>
      <w:pPr>
        <w:pStyle w:val="ListBullet"/>
      </w:pPr>
      <w:r>
        <w:t>A Free World mode was added: idle monsters may walk the level, hear events, work around obstacles and join fights in progress.</w:t>
      </w:r>
    </w:p>
    <w:p>
      <w:r>
        <w:br w:type="page"/>
      </w:r>
    </w:p>
    <w:p>
      <w:bookmarkStart w:id="22" w:name="Q2PX_S0022"/>
      <w:pPr>
        <w:pStyle w:val="Heading1"/>
      </w:pPr>
      <w:r>
        <w:t>8. Presets, the generator and the menu</w:t>
      </w:r>
      <w:bookmarkEnd w:id="22"/>
    </w:p>
    <w:p>
      <w:bookmarkStart w:id="23" w:name="Q2PX_S0023"/>
      <w:pPr>
        <w:pStyle w:val="Heading2"/>
      </w:pPr>
      <w:r>
        <w:t>8.1. AVFX presets</w:t>
      </w:r>
      <w:bookmarkEnd w:id="23"/>
    </w:p>
    <w:p>
      <w:pPr>
        <w:pStyle w:val="ListBullet"/>
      </w:pPr>
      <w:r>
        <w:t>The shipped preset library now covers additional thematic categories, complete scenes, and resetting profiles.</w:t>
      </w:r>
    </w:p>
    <w:p>
      <w:pPr>
        <w:pStyle w:val="ListBullet"/>
      </w:pPr>
      <w:r>
        <w:t>Global and mod-dependent custom presets were added, separately for ordinary and music presets, with safe saving, names and dialogs.</w:t>
      </w:r>
    </w:p>
    <w:p>
      <w:pPr>
        <w:pStyle w:val="ListBullet"/>
      </w:pPr>
      <w:r>
        <w:t>Every shipped preset enables the global AVFX master; an ordinary preset stops the music of a music preset.</w:t>
      </w:r>
    </w:p>
    <w:p>
      <w:pPr>
        <w:pStyle w:val="ListBullet"/>
      </w:pPr>
      <w:r>
        <w:t>Every shipped preset was reconciled with the complete current schema: a full preset carries its own values for the new parameters and never inherits state from the previous one.</w:t>
      </w:r>
    </w:p>
    <w:p>
      <w:bookmarkStart w:id="24" w:name="Q2PX_S0024"/>
      <w:pPr>
        <w:pStyle w:val="Heading2"/>
      </w:pPr>
      <w:r>
        <w:t>8.2. The AVFX preset generator</w:t>
      </w:r>
      <w:bookmarkEnd w:id="24"/>
    </w:p>
    <w:p>
      <w:pPr>
        <w:widowControl/>
      </w:pPr>
      <w:r>
        <w:t>The new generator creates a finished random AVFX scene using the selected quality tier, chaos mode, coverage, and independent thematic selectors. It supports a deterministic seed, atomic apply, and a localized refusal on an impossible combination. Dedicated final Surface materials and Wildlife policies can preserve the random result, guarantee fully opaque participation, or exclude the matching family; both default to Always. A map's drawings and volumetric steam are preserved throughout.</w:t>
      </w:r>
    </w:p>
    <w:p>
      <w:bookmarkStart w:id="25" w:name="Q2PX_S0025"/>
      <w:pPr>
        <w:pStyle w:val="Heading2"/>
      </w:pPr>
      <w:r>
        <w:t>8.3. The cvar browser and the menu</w:t>
      </w:r>
      <w:bookmarkEnd w:id="25"/>
    </w:p>
    <w:p>
      <w:pPr>
        <w:pStyle w:val="ListBullet"/>
      </w:pPr>
      <w:r>
        <w:t>The cvar browser now shows registered console commands, has separate debug groups and a larger catalog capacity.</w:t>
      </w:r>
    </w:p>
    <w:p>
      <w:pPr>
        <w:pStyle w:val="ListBullet"/>
      </w:pPr>
      <w:r>
        <w:t>The large AVFX menus were split into logical pages; pages were added for the primary masters, the modes, tessellation, mirrors, sound and the interface.</w:t>
      </w:r>
    </w:p>
    <w:p>
      <w:pPr>
        <w:pStyle w:val="ListBullet"/>
      </w:pPr>
      <w:r>
        <w:t>A simplified menu profile for pure online play was added, together with a global AVFX disable across all mods that does not lose the effects' own values.</w:t>
      </w:r>
    </w:p>
    <w:p>
      <w:pPr>
        <w:pStyle w:val="ListBullet"/>
      </w:pPr>
      <w:r>
        <w:t>A bilingual weapon-renaming utility is included, which renames weapons across every menu at once, with correct case and Russian declensions.</w:t>
      </w:r>
    </w:p>
    <w:p>
      <w:r>
        <w:br w:type="page"/>
      </w:r>
    </w:p>
    <w:p>
      <w:r>
        <w:br w:type="page"/>
      </w:r>
    </w:p>
    <w:p>
      <w:bookmarkStart w:id="26" w:name="Q2PX_S0026"/>
      <w:pPr>
        <w:pStyle w:val="Heading1"/>
      </w:pPr>
      <w:r>
        <w:t>9. Configs and mod profiles</w:t>
      </w:r>
      <w:bookmarkEnd w:id="26"/>
    </w:p>
    <w:p>
      <w:pPr>
        <w:pStyle w:val="ListBullet"/>
      </w:pPr>
      <w:r>
        <w:t>Migration from legacy configs became global and add-only: it adds missing supported values and never overwrites settings and binds that are already stored.</w:t>
      </w:r>
    </w:p>
    <w:p>
      <w:pPr>
        <w:pStyle w:val="ListBullet"/>
      </w:pPr>
      <w:r>
        <w:t>The stock game configs remain immutable input sources.</w:t>
      </w:r>
    </w:p>
    <w:p>
      <w:pPr>
        <w:pStyle w:val="ListBullet"/>
      </w:pPr>
      <w:r>
        <w:t>Importable and custom profiles were added for baseq2, OpenTDM and OpenFFA, with manual loading and an optional default assignment.</w:t>
      </w:r>
    </w:p>
    <w:p>
      <w:pPr>
        <w:pStyle w:val="ListBullet"/>
      </w:pPr>
      <w:r>
        <w:t>A profile is a temporary runtime layer. On a mod change the original state is restored, and the profile's contents are never written into the managed configs.</w:t>
      </w:r>
    </w:p>
    <w:p>
      <w:pPr>
        <w:pStyle w:val="ListBullet"/>
      </w:pPr>
      <w:r>
        <w:t>Diagnostic variables were separated from user settings and no longer pollute ordinary configs.</w:t>
      </w:r>
    </w:p>
    <w:p>
      <w:pPr>
        <w:pStyle w:val="ListBullet"/>
      </w:pPr>
      <w:r>
        <w:t>The full config-write command gained a description and an optional complete mode; explicit flags always take priority.</w:t>
      </w:r>
    </w:p>
    <w:p>
      <w:r>
        <w:br w:type="page"/>
      </w:r>
    </w:p>
    <w:p>
      <w:bookmarkStart w:id="27" w:name="Q2PX_S0027"/>
      <w:pPr>
        <w:pStyle w:val="Heading1"/>
      </w:pPr>
      <w:r>
        <w:t>10. Lighting compatibility with older configs</w:t>
      </w:r>
      <w:bookmarkEnd w:id="27"/>
    </w:p>
    <w:p>
      <w:pPr>
        <w:pStyle w:val="ListBullet"/>
      </w:pPr>
      <w:r>
        <w:t>The former gamma variable keeps its compatible semantics for the gamma of wall and model textures, and no longer recolours the whole final frame. The change applies after a resource or video-mode reload, exactly as in earlier builds.</w:t>
      </w:r>
    </w:p>
    <w:p>
      <w:pPr>
        <w:pStyle w:val="ListBullet"/>
      </w:pPr>
      <w:r>
        <w:t>For deliberate live gamma of the whole frame, a separate variable was added with a neutral default; it does not inherit older values.</w:t>
      </w:r>
    </w:p>
    <w:p>
      <w:r>
        <w:br w:type="page"/>
      </w:r>
    </w:p>
    <w:p>
      <w:bookmarkStart w:id="28" w:name="Q2PX_S0028"/>
      <w:pPr>
        <w:pStyle w:val="Heading1"/>
      </w:pPr>
      <w:r>
        <w:t>11. Performance and observability</w:t>
      </w:r>
      <w:bookmarkEnd w:id="28"/>
    </w:p>
    <w:p>
      <w:pPr>
        <w:pStyle w:val="ListBullet"/>
      </w:pPr>
      <w:r>
        <w:t>A new default-off performance and budget HUD shows the active subsystems, the budgets and the available CPU and GPU metrics. Inactive sections are not counted.</w:t>
      </w:r>
    </w:p>
    <w:p>
      <w:pPr>
        <w:pStyle w:val="ListBullet"/>
      </w:pPr>
      <w:r>
        <w:t>Material shader specialization, shader preparation on both backends, puddles, mirrors, water and lava, tessellation, models in reflections and large wildlife populations were all optimized.</w:t>
      </w:r>
    </w:p>
    <w:p>
      <w:pPr>
        <w:pStyle w:val="ListBullet"/>
      </w:pPr>
      <w:r>
        <w:t>The separate AVFX state diagnostic command is preserved as an independent path.</w:t>
      </w:r>
    </w:p>
    <w:p>
      <w:r>
        <w:br w:type="page"/>
      </w:r>
    </w:p>
    <w:p>
      <w:bookmarkStart w:id="29" w:name="Q2PX_S0029"/>
      <w:pPr>
        <w:pStyle w:val="Heading1"/>
      </w:pPr>
      <w:r>
        <w:t>12. Fixes to already existing capabilities</w:t>
      </w:r>
      <w:bookmarkEnd w:id="29"/>
    </w:p>
    <w:p>
      <w:pPr>
        <w:pStyle w:val="ListBullet"/>
      </w:pPr>
      <w:r>
        <w:t>The MVD director finds the next frag in messages nested inside a per-client server print, and works independently of whether its own overlay is visible.</w:t>
      </w:r>
    </w:p>
    <w:p>
      <w:pPr>
        <w:pStyle w:val="ListBullet"/>
      </w:pPr>
      <w:r>
        <w:rPr>
          <w:rFonts w:ascii="Cascadia Mono" w:hAnsi="Cascadia Mono" w:eastAsia="Cascadia Mono"/>
          <w:color w:val="153A5B"/>
          <w:sz w:val="17"/>
        </w:rPr>
        <w:t>win32wgl</w:t>
      </w:r>
      <w:r>
        <w:t xml:space="preserve"> compatibility was improved with a 10-bit desktop and with the managed fast window-switching mode.</w:t>
      </w:r>
    </w:p>
    <w:p>
      <w:pPr>
        <w:pStyle w:val="ListBullet"/>
      </w:pPr>
      <w:r>
        <w:t>Black model textures on EGL, instability of water reflections, a long black frame after preparation and a stall on first enabling the flashlight were all eliminated.</w:t>
      </w:r>
    </w:p>
    <w:p>
      <w:pPr>
        <w:pStyle w:val="ListBullet"/>
      </w:pPr>
      <w:r>
        <w:t>Sound recovery after a Windows device change, and live application of cheats on a local server, work without a mandatory client restart.</w:t>
      </w:r>
    </w:p>
    <w:p>
      <w:pPr>
        <w:pStyle w:val="ListBullet"/>
      </w:pPr>
      <w:r>
        <w:t>Reflections of weapon-fire particles were fixed on both backends; the variants with volumetric surfaces enabled and disabled produce the same set of effects.</w:t>
      </w:r>
    </w:p>
    <w:p>
      <w:pPr>
        <w:pStyle w:val="ListBullet"/>
      </w:pPr>
      <w:r>
        <w:t>The Print Screen key, the moment a screenshot is saved and the incorrect classification of the turn rate as a cheat parameter were all fixed.</w:t>
      </w:r>
    </w:p>
    <w:p>
      <w:pPr>
        <w:pStyle w:val="ListBullet"/>
      </w:pPr>
      <w:r>
        <w:t>New AVFX systems no longer disappear when enabled in the middle of a map, and previously saved steam and smoke load without switching the master off and on.</w:t>
      </w:r>
    </w:p>
    <w:p>
      <w:pPr>
        <w:pStyle w:val="ListBullet"/>
      </w:pPr>
      <w:r>
        <w:t>The preset migrators were fixed: Russian preset names are no longer corrupted while being read.</w:t>
      </w:r>
    </w:p>
    <w:p>
      <w:pPr>
        <w:pStyle w:val="ListBullet"/>
      </w:pPr>
      <w:r>
        <w:t>Radial lines on material-bearing surfaces were eliminated: gradient computation was moved out of branching code into one analytic path.</w:t>
      </w:r>
    </w:p>
    <w:p>
      <w:pPr>
        <w:pStyle w:val="ListBullet"/>
      </w:pPr>
      <w:r>
        <w:t xml:space="preserve">Residual ghosting of the previous frame on </w:t>
      </w:r>
      <w:r>
        <w:rPr>
          <w:rFonts w:ascii="Cascadia Mono" w:hAnsi="Cascadia Mono" w:eastAsia="Cascadia Mono"/>
          <w:color w:val="153A5B"/>
          <w:sz w:val="17"/>
        </w:rPr>
        <w:t>win32wgl</w:t>
      </w:r>
      <w:r>
        <w:t xml:space="preserve"> was eliminated: the compact coverings shader now always writes an opaque world.</w:t>
      </w:r>
    </w:p>
    <w:p>
      <w:pPr>
        <w:pStyle w:val="ListBullet"/>
      </w:pPr>
      <w:r>
        <w:t>Dynamic lighting from ash embers was restored on EGL: a secondary dust lane no longer erases light sources created earlier in the same frame.</w:t>
      </w:r>
    </w:p>
    <w:p>
      <w:pPr>
        <w:pStyle w:val="ListBullet"/>
      </w:pPr>
      <w:r>
        <w:t>AVFX weapon-contact effects on water no longer use the blood palette; water now receives its own blue water visual.</w:t>
      </w:r>
    </w:p>
    <w:p>
      <w:pPr>
        <w:pStyle w:val="ListBullet"/>
      </w:pPr>
      <w:r>
        <w:t>The console resource-download line was corrected: progress-bar glyphs use the stock font, and every successful HTTP resource, including instant and parallel transfers, gets one terminal 100% display. A failed transfer is not disguised as success.</w:t>
      </w:r>
    </w:p>
    <w:p>
      <w:r>
        <w:br w:type="page"/>
      </w:r>
    </w:p>
    <w:p>
      <w:r>
        <w:br w:type="page"/>
      </w:r>
    </w:p>
    <w:p>
      <w:bookmarkStart w:id="30" w:name="Q2PX_S0030"/>
      <w:pPr>
        <w:pStyle w:val="Heading1"/>
      </w:pPr>
      <w:r>
        <w:t>13. What to check first</w:t>
      </w:r>
      <w:bookmarkEnd w:id="30"/>
    </w:p>
    <w:p>
      <w:pPr>
        <w:pStyle w:val="GuideNumbered"/>
      </w:pPr>
      <w:r>
        <w:t>1. A clean start on both graphics backends, loading older configs, and entering a map.</w:t>
      </w:r>
    </w:p>
    <w:p>
      <w:pPr>
        <w:pStyle w:val="GuideNumbered"/>
      </w:pPr>
      <w:r>
        <w:t>2. Switching between different AVFX presets in sequence, with no music, snakes, drawings or parameters inherited from the previous preset.</w:t>
      </w:r>
    </w:p>
    <w:p>
      <w:pPr>
        <w:pStyle w:val="GuideNumbered"/>
      </w:pPr>
      <w:r>
        <w:t>3. Global and mod settings surviving a restart.</w:t>
      </w:r>
    </w:p>
    <w:p>
      <w:pPr>
        <w:pStyle w:val="GuideNumbered"/>
      </w:pPr>
      <w:r>
        <w:t>4. Volumetric steam and smoke: saving, erasing, and the independence of several shapes.</w:t>
      </w:r>
    </w:p>
    <w:p>
      <w:pPr>
        <w:pStyle w:val="GuideNumbered"/>
      </w:pPr>
      <w:r>
        <w:t>5. Snakes in local single player: the fight, the water, the blood, the AI returning to ordinary behaviour, and the Free World mode.</w:t>
      </w:r>
    </w:p>
    <w:p>
      <w:pPr>
        <w:pStyle w:val="GuideNumbered"/>
      </w:pPr>
      <w:r>
        <w:t>6. Movement view bob on a local and a remote server, with recoil, damage kick and landings preserved.</w:t>
      </w:r>
    </w:p>
    <w:p>
      <w:pPr>
        <w:pStyle w:val="GuideNumbered"/>
      </w:pPr>
      <w:r>
        <w:t>7. The AVFX preset generator at different quality tiers, including its refusal on a deliberately impossible combination.</w:t>
      </w:r>
    </w:p>
    <w:p>
      <w:r>
        <w:br w:type="page"/>
      </w:r>
    </w:p>
    <w:p>
      <w:bookmarkStart w:id="31" w:name="Q2PX_S0031"/>
      <w:pPr>
        <w:pStyle w:val="Heading1"/>
      </w:pPr>
      <w:r>
        <w:t>14. Where to read next</w:t>
      </w:r>
      <w:bookmarkEnd w:id="31"/>
    </w:p>
    <w:p>
      <w:pPr>
        <w:widowControl/>
      </w:pPr>
      <w:r>
        <w:t>The complete documentation set is available in Russian and English. Start with the documentation index: it lists the current documents and the recommended reading order.</w:t>
      </w:r>
    </w:p>
    <w:sectPr w:rsidR="00FC693F" w:rsidRPr="0006063C" w:rsidSect="00034616">
      <w:headerReference w:type="default" r:id="rId9"/>
      <w:footerReference w:type="default" r:id="rId10"/>
      <w:pgSz w:w="11906" w:h="16838"/>
      <w:pgMar w:top="992" w:right="935" w:bottom="935" w:left="1049" w:header="425" w:footer="36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26373"/>
        <w:sz w:val="16"/>
      </w:rPr>
      <w:t xml:space="preserve">Q2PRO-X 1.5  •  August 25, 2026  •  Page </w:t>
    </w:r>
    <w:r>
      <w:rPr>
        <w:color w:val="526373"/>
        <w:sz w:val="16"/>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153A5B"/>
        <w:sz w:val="15"/>
      </w:rPr>
      <w:t>Q2PRO-X 1.5  •  RELEASE NOTES  •  ENGLISH EDITION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fals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10" w:line="269" w:lineRule="auto"/>
    </w:pPr>
    <w:rPr>
      <w:rFonts w:ascii="Aptos" w:hAnsi="Aptos" w:eastAsia="Aptos"/>
      <w:color w:val="1824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60" w:after="160"/>
      <w:outlineLvl w:val="0"/>
    </w:pPr>
    <w:rPr>
      <w:rFonts w:asciiTheme="majorHAnsi" w:eastAsiaTheme="majorEastAsia" w:hAnsiTheme="majorHAnsi" w:cstheme="majorBidi" w:ascii="Aptos Display" w:hAnsi="Aptos Display" w:eastAsia="Aptos Display"/>
      <w:b/>
      <w:bCs/>
      <w:i w:val="0"/>
      <w:color w:val="153A5B"/>
      <w:sz w:val="40"/>
      <w:szCs w:val="28"/>
    </w:rPr>
  </w:style>
  <w:style w:type="paragraph" w:styleId="Heading2">
    <w:name w:val="heading 2"/>
    <w:basedOn w:val="Normal"/>
    <w:next w:val="Normal"/>
    <w:link w:val="Heading2Char"/>
    <w:uiPriority w:val="9"/>
    <w:unhideWhenUsed/>
    <w:qFormat/>
    <w:rsid w:val="00FC693F"/>
    <w:pPr>
      <w:keepNext/>
      <w:keepLines/>
      <w:widowControl/>
      <w:spacing w:before="260" w:after="120"/>
      <w:outlineLvl w:val="1"/>
    </w:pPr>
    <w:rPr>
      <w:rFonts w:asciiTheme="majorHAnsi" w:eastAsiaTheme="majorEastAsia" w:hAnsiTheme="majorHAnsi" w:cstheme="majorBidi" w:ascii="Aptos Display" w:hAnsi="Aptos Display" w:eastAsia="Aptos Display"/>
      <w:b/>
      <w:bCs/>
      <w:i w:val="0"/>
      <w:color w:val="153A5B"/>
      <w:sz w:val="29"/>
      <w:szCs w:val="26"/>
    </w:rPr>
  </w:style>
  <w:style w:type="paragraph" w:styleId="Heading3">
    <w:name w:val="heading 3"/>
    <w:basedOn w:val="Normal"/>
    <w:next w:val="Normal"/>
    <w:link w:val="Heading3Char"/>
    <w:uiPriority w:val="9"/>
    <w:unhideWhenUsed/>
    <w:qFormat/>
    <w:rsid w:val="00FC693F"/>
    <w:pPr>
      <w:keepNext/>
      <w:keepLines/>
      <w:widowControl/>
      <w:spacing w:before="200" w:after="80"/>
      <w:outlineLvl w:val="2"/>
    </w:pPr>
    <w:rPr>
      <w:rFonts w:asciiTheme="majorHAnsi" w:eastAsiaTheme="majorEastAsia" w:hAnsiTheme="majorHAnsi" w:cstheme="majorBidi" w:ascii="Aptos Display" w:hAnsi="Aptos Display" w:eastAsia="Aptos Display"/>
      <w:b/>
      <w:bCs/>
      <w:i w:val="0"/>
      <w:color w:val="33A6E8"/>
      <w:sz w:val="24"/>
    </w:rPr>
  </w:style>
  <w:style w:type="paragraph" w:styleId="Heading4">
    <w:name w:val="heading 4"/>
    <w:basedOn w:val="Normal"/>
    <w:next w:val="Normal"/>
    <w:link w:val="Heading4Char"/>
    <w:uiPriority w:val="9"/>
    <w:semiHidden/>
    <w:unhideWhenUsed/>
    <w:qFormat/>
    <w:rsid w:val="00FC693F"/>
    <w:pPr>
      <w:keepNext/>
      <w:keepLines/>
      <w:widowControl/>
      <w:spacing w:before="160" w:after="60"/>
      <w:outlineLvl w:val="3"/>
    </w:pPr>
    <w:rPr>
      <w:rFonts w:asciiTheme="majorHAnsi" w:eastAsiaTheme="majorEastAsia" w:hAnsiTheme="majorHAnsi" w:cstheme="majorBidi" w:ascii="Aptos Display" w:hAnsi="Aptos Display" w:eastAsia="Aptos Display"/>
      <w:b/>
      <w:bCs/>
      <w:i w:val="0"/>
      <w:iCs/>
      <w:color w:val="153A5B"/>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after="64"/>
      <w:ind w:left="369" w:hanging="198"/>
      <w:contextualSpacing/>
    </w:pPr>
    <w:rPr>
      <w:rFonts w:ascii="Aptos" w:hAnsi="Aptos" w:eastAsia="Aptos"/>
      <w:color w:val="182433"/>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after="64"/>
      <w:ind w:left="369" w:hanging="198"/>
      <w:contextualSpacing/>
    </w:pPr>
    <w:rPr>
      <w:rFonts w:ascii="Aptos" w:hAnsi="Aptos" w:eastAsia="Aptos"/>
      <w:color w:val="182433"/>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GuideNumbered">
    <w:name w:val="Guide Numbered"/>
    <w:pPr>
      <w:widowControl/>
      <w:spacing w:after="64"/>
      <w:ind w:left="369" w:hanging="198"/>
    </w:pPr>
    <w:rPr>
      <w:rFonts w:ascii="Aptos" w:hAnsi="Aptos" w:eastAsia="Aptos"/>
      <w:color w:val="182433"/>
      <w:sz w:val="20"/>
    </w:rPr>
  </w:style>
  <w:style w:type="paragraph" w:customStyle="1" w:styleId="GuideContents1">
    <w:name w:val="Guide Contents 1"/>
    <w:pPr>
      <w:keepLines/>
      <w:spacing w:before="80" w:after="28"/>
      <w:ind w:left="0"/>
    </w:pPr>
    <w:rPr>
      <w:rFonts w:ascii="Aptos" w:hAnsi="Aptos" w:eastAsia="Aptos"/>
      <w:b/>
      <w:color w:val="182433"/>
      <w:sz w:val="21"/>
    </w:rPr>
  </w:style>
  <w:style w:type="paragraph" w:customStyle="1" w:styleId="GuideContents2">
    <w:name w:val="Guide Contents 2"/>
    <w:pPr>
      <w:keepLines/>
      <w:spacing w:before="0" w:after="28"/>
      <w:ind w:left="397"/>
    </w:pPr>
    <w:rPr>
      <w:rFonts w:ascii="Aptos" w:hAnsi="Aptos" w:eastAsia="Aptos"/>
      <w:b w:val="0"/>
      <w:color w:val="182433"/>
      <w:sz w:val="19"/>
    </w:rPr>
  </w:style>
  <w:style w:type="character" w:customStyle="1" w:styleId="Q2PXLink">
    <w:name w:val="Q2PX Link"/>
    <w:rPr>
      <w:rFonts w:ascii="Aptos" w:hAnsi="Aptos"/>
      <w:color w:val="153A5B"/>
      <w:u w:val="single"/>
    </w:rPr>
  </w:style>
  <w:style w:type="paragraph" w:customStyle="1" w:styleId="GuideCaption">
    <w:name w:val="Guide Caption"/>
    <w:pPr>
      <w:keepLines/>
      <w:spacing w:before="60" w:after="160"/>
      <w:jc w:val="center"/>
    </w:pPr>
    <w:rPr>
      <w:rFonts w:ascii="Aptos" w:hAnsi="Aptos" w:eastAsia="Aptos"/>
      <w:i/>
      <w:color w:val="526373"/>
      <w:sz w:val="17"/>
    </w:rPr>
  </w:style>
  <w:style w:type="paragraph" w:customStyle="1" w:styleId="GuideQuote">
    <w:name w:val="Guide Quote"/>
    <w:pPr>
      <w:keepLines/>
      <w:widowControl/>
      <w:spacing w:before="0" w:after="0"/>
    </w:pPr>
    <w:rPr>
      <w:rFonts w:ascii="Aptos" w:hAnsi="Aptos" w:eastAsia="Aptos"/>
      <w:color w:val="153A5B"/>
      <w:sz w:val="20"/>
    </w:rPr>
  </w:style>
  <w:style w:type="paragraph" w:customStyle="1" w:styleId="GuideCode">
    <w:name w:val="Guide Code"/>
    <w:pPr>
      <w:keepLines/>
      <w:spacing w:before="0" w:after="0"/>
      <w:ind w:left="283"/>
    </w:pPr>
    <w:rPr>
      <w:rFonts w:ascii="Cascadia Mono" w:hAnsi="Cascadia Mono" w:eastAsia="Cascadia Mono"/>
      <w:color w:val="153A5B"/>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ns1="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ns1:vector size="2" baseType="variant">
      <ns1:variant>
        <ns1:lpstr>Title</ns1:lpstr>
      </ns1:variant>
      <ns1:variant>
        <ns1:i4>1</ns1:i4>
      </ns1:variant>
    </ns1:vector>
  </HeadingPairs>
  <TitlesOfParts>
    <ns1:vector size="1" baseType="lpstr">
      <ns1:lpstr/>
    </ns1:vector>
  </TitlesOfParts>
  <Manager/>
  <Company/>
  <LinksUpToDate>true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Q2PRO-X 1.5 — Q2PRO-X 1.5 Release Notes</dc:title>
  <dc:subject>Q2PRO-X 1.5 — What the release is: features, changes and fixes</dc:subject>
  <dc:creator>Q2PRO-X project</dc:creator>
  <cp:keywords>Q2PRO-X, Q2PRO-X 1.5, Quake II, guide, August 25, 2026</cp:keywords>
  <dc:description>Q2PRO-X 1.5. English edition. Document date: August 25, 2026.</dc:description>
  <cp:lastModifiedBy>Q2PRO-X 1.5 release documentation builder</cp:lastModifiedBy>
  <cp:revision>1</cp:revision>
  <dcterms:created xsi:type="dcterms:W3CDTF">2026-08-25T12:00:00Z</dcterms:created>
  <dcterms:modified xsi:type="dcterms:W3CDTF">2026-08-25T12:00:00Z</dcterms:modified>
  <cp:category>Q2PRO-X 1.5 release documentation</cp:category>
</cp:coreProperties>
</file>