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Visual Highlights Guide</w:t>
      </w:r>
    </w:p>
    <w:p>
      <w:pPr>
        <w:spacing w:before="120"/>
        <w:jc w:val="center"/>
      </w:pPr>
      <w:r>
        <w:rPr>
          <w:color w:val="526373"/>
          <w:sz w:val="22"/>
        </w:rPr>
        <w:t>Item, weapon and player visibility: colours, rules and model parts</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The general idea</w:t>
        </w:r>
      </w:hyperlink>
    </w:p>
    <w:p>
      <w:pPr>
        <w:pStyle w:val="GuideContents2"/>
      </w:pPr>
      <w:hyperlink w:anchor="Q2PX_S0002">
        <w:r>
          <w:rPr>
            <w:rStyle w:val="Q2PX Link"/>
          </w:rPr>
          <w:t xml:space="preserve">Where the settings live</w:t>
        </w:r>
      </w:hyperlink>
    </w:p>
    <w:p>
      <w:pPr>
        <w:pStyle w:val="GuideContents1"/>
      </w:pPr>
      <w:hyperlink w:anchor="Q2PX_S0003">
        <w:r>
          <w:rPr>
            <w:rStyle w:val="Q2PX Link"/>
          </w:rPr>
          <w:t xml:space="preserve">1. Items and weapons</w:t>
        </w:r>
      </w:hyperlink>
    </w:p>
    <w:p>
      <w:pPr>
        <w:pStyle w:val="GuideContents2"/>
      </w:pPr>
      <w:hyperlink w:anchor="Q2PX_S0004">
        <w:r>
          <w:rPr>
            <w:rStyle w:val="Q2PX Link"/>
          </w:rPr>
          <w:t xml:space="preserve">1.1. The main page</w:t>
        </w:r>
      </w:hyperlink>
    </w:p>
    <w:p>
      <w:pPr>
        <w:pStyle w:val="GuideContents2"/>
      </w:pPr>
      <w:hyperlink w:anchor="Q2PX_S0005">
        <w:r>
          <w:rPr>
            <w:rStyle w:val="Q2PX Link"/>
          </w:rPr>
          <w:t xml:space="preserve">1.2. Items</w:t>
        </w:r>
      </w:hyperlink>
    </w:p>
    <w:p>
      <w:pPr>
        <w:pStyle w:val="GuideContents2"/>
      </w:pPr>
      <w:hyperlink w:anchor="Q2PX_S0006">
        <w:r>
          <w:rPr>
            <w:rStyle w:val="Q2PX Link"/>
          </w:rPr>
          <w:t xml:space="preserve">1.3. Weapons</w:t>
        </w:r>
      </w:hyperlink>
    </w:p>
    <w:p>
      <w:pPr>
        <w:pStyle w:val="GuideContents1"/>
      </w:pPr>
      <w:hyperlink w:anchor="Q2PX_S0007">
        <w:r>
          <w:rPr>
            <w:rStyle w:val="Q2PX Link"/>
          </w:rPr>
          <w:t xml:space="preserve">2. Players</w:t>
        </w:r>
      </w:hyperlink>
    </w:p>
    <w:p>
      <w:pPr>
        <w:pStyle w:val="GuideContents2"/>
      </w:pPr>
      <w:hyperlink w:anchor="Q2PX_S0008">
        <w:r>
          <w:rPr>
            <w:rStyle w:val="Q2PX Link"/>
          </w:rPr>
          <w:t xml:space="preserve">2.1. Highlight modes</w:t>
        </w:r>
      </w:hyperlink>
    </w:p>
    <w:p>
      <w:pPr>
        <w:pStyle w:val="GuideContents2"/>
      </w:pPr>
      <w:hyperlink w:anchor="Q2PX_S0009">
        <w:r>
          <w:rPr>
            <w:rStyle w:val="Q2PX Link"/>
          </w:rPr>
          <w:t xml:space="preserve">2.2. The player highlighting page</w:t>
        </w:r>
      </w:hyperlink>
    </w:p>
    <w:p>
      <w:pPr>
        <w:pStyle w:val="GuideContents2"/>
      </w:pPr>
      <w:hyperlink w:anchor="Q2PX_S0010">
        <w:r>
          <w:rPr>
            <w:rStyle w:val="Q2PX Link"/>
          </w:rPr>
          <w:t xml:space="preserve">2.3. Teams and duel</w:t>
        </w:r>
      </w:hyperlink>
    </w:p>
    <w:p>
      <w:pPr>
        <w:pStyle w:val="GuideContents1"/>
      </w:pPr>
      <w:hyperlink w:anchor="Q2PX_S0011">
        <w:r>
          <w:rPr>
            <w:rStyle w:val="Q2PX Link"/>
          </w:rPr>
          <w:t xml:space="preserve">3. Model parts</w:t>
        </w:r>
      </w:hyperlink>
    </w:p>
    <w:p>
      <w:pPr>
        <w:pStyle w:val="GuideContents2"/>
      </w:pPr>
      <w:hyperlink w:anchor="Q2PX_S0012">
        <w:r>
          <w:rPr>
            <w:rStyle w:val="Q2PX Link"/>
          </w:rPr>
          <w:t xml:space="preserve">3.1. The complete settings page</w:t>
        </w:r>
      </w:hyperlink>
    </w:p>
    <w:p>
      <w:pPr>
        <w:pStyle w:val="GuideContents2"/>
      </w:pPr>
      <w:hyperlink w:anchor="Q2PX_S0013">
        <w:r>
          <w:rPr>
            <w:rStyle w:val="Q2PX Link"/>
          </w:rPr>
          <w:t xml:space="preserve">3.2. Separate sets per model</w:t>
        </w:r>
      </w:hyperlink>
    </w:p>
    <w:p>
      <w:pPr>
        <w:pStyle w:val="GuideContents2"/>
      </w:pPr>
      <w:hyperlink w:anchor="Q2PX_S0014">
        <w:r>
          <w:rPr>
            <w:rStyle w:val="Q2PX Link"/>
          </w:rPr>
          <w:t xml:space="preserve">3.3. Tuning the body zones</w:t>
        </w:r>
      </w:hyperlink>
    </w:p>
    <w:p>
      <w:pPr>
        <w:pStyle w:val="GuideContents1"/>
      </w:pPr>
      <w:hyperlink w:anchor="Q2PX_S0015">
        <w:r>
          <w:rPr>
            <w:rStyle w:val="Q2PX Link"/>
          </w:rPr>
          <w:t xml:space="preserve">4. Commands, presets and diagnostics</w:t>
        </w:r>
      </w:hyperlink>
    </w:p>
    <w:p>
      <w:pPr>
        <w:pStyle w:val="GuideContents2"/>
      </w:pPr>
      <w:hyperlink w:anchor="Q2PX_S0016">
        <w:r>
          <w:rPr>
            <w:rStyle w:val="Q2PX Link"/>
          </w:rPr>
          <w:t xml:space="preserve">4.1. Where highlighting applies</w:t>
        </w:r>
      </w:hyperlink>
    </w:p>
    <w:p>
      <w:pPr>
        <w:pStyle w:val="GuideContents1"/>
      </w:pPr>
      <w:hyperlink w:anchor="Q2PX_S0017">
        <w:r>
          <w:rPr>
            <w:rStyle w:val="Q2PX Link"/>
          </w:rPr>
          <w:t xml:space="preserve">5. Practical recipes</w:t>
        </w:r>
      </w:hyperlink>
    </w:p>
    <w:p>
      <w:pPr>
        <w:pStyle w:val="GuideContents1"/>
      </w:pPr>
      <w:hyperlink w:anchor="Q2PX_S0018">
        <w:r>
          <w:rPr>
            <w:rStyle w:val="Q2PX Link"/>
          </w:rPr>
          <w:t xml:space="preserve">6. What highlighting does not do</w:t>
        </w:r>
      </w:hyperlink>
    </w:p>
    <w:p>
      <w:pPr>
        <w:spacing w:after="0"/>
      </w:pPr>
      <w:r>
        <w:br w:type="page"/>
      </w:r>
    </w:p>
    <w:p>
      <w:bookmarkStart w:id="1" w:name="Q2PX_S0001"/>
      <w:pPr>
        <w:pStyle w:val="Heading1"/>
      </w:pPr>
      <w:r>
        <w:t>The general idea</w:t>
      </w:r>
      <w:bookmarkEnd w:id="1"/>
    </w:p>
    <w:p>
      <w:pPr>
        <w:widowControl/>
      </w:pPr>
      <w:r>
        <w:t>Q2PRO-X highlights are a local visual layer. They change no server, no hitboxes, no damage, no movement and no network protocol. Their job is to make items, weapons and players easier to read, especially in demos, in practice, in single player and in visual presets.</w:t>
      </w:r>
    </w:p>
    <w:p>
      <w:pPr>
        <w:widowControl/>
      </w:pPr>
      <w:r>
        <w:t>To start quickly: enable the highlight layer, then configure items, weapons or players.</w:t>
      </w:r>
    </w:p>
    <w:p>
      <w:bookmarkStart w:id="2" w:name="Q2PX_S0002"/>
      <w:pPr>
        <w:pStyle w:val="Heading2"/>
      </w:pPr>
      <w:r>
        <w:t>Where the settings live</w:t>
      </w:r>
      <w:bookmarkEnd w:id="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The highlight layer, items, weapons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[[GEN:menu_path:q2prox_vis]]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Item highlighting</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[[GEN:menu_path:q2prox_vis_items]]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Weapon highlighting</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[[GEN:menu_path:q2prox_vis_weapons]]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Player highlighting</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[[GEN:menu_path:q2prox_vis_players]]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Model part colours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[[GEN:menu_path:q2prox_vis_player_parts]]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Teams and duel</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[[GEN:menu_path:q2prox_vis_player_rules]]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Visibility presets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[[GEN:menu_path:q2prox_vis_presets]]</w:t>
            </w:r>
          </w:p>
        </w:tc>
      </w:tr>
    </w:tbl>
    <w:p>
      <w:pPr>
        <w:spacing w:after="20"/>
      </w:pPr>
    </w:p>
    <w:p>
      <w:r>
        <w:br w:type="page"/>
      </w:r>
    </w:p>
    <w:p>
      <w:r>
        <w:br w:type="page"/>
      </w:r>
    </w:p>
    <w:p>
      <w:bookmarkStart w:id="3" w:name="Q2PX_S0003"/>
      <w:pPr>
        <w:pStyle w:val="Heading1"/>
      </w:pPr>
      <w:r>
        <w:t>1. Items and weapons</w:t>
      </w:r>
      <w:bookmarkEnd w:id="3"/>
    </w:p>
    <w:p>
      <w:bookmarkStart w:id="4" w:name="Q2PX_S0004"/>
      <w:pPr>
        <w:pStyle w:val="Heading2"/>
      </w:pPr>
      <w:r>
        <w:t>1.1. The main page</w:t>
      </w:r>
      <w:bookmarkEnd w:id="4"/>
    </w:p>
    <w:p>
      <w:pPr>
        <w:widowControl/>
      </w:pPr>
      <w:r>
        <w:rPr>
          <w:b/>
        </w:rPr>
        <w:t>Visibility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Graphics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cl_vis_overlay_batch</w:t>
            </w:r>
          </w:p>
        </w:tc>
        <w:tc>
          <w:tcPr>
            <w:tcW w:type="dxa" w:w="1984"/>
            <w:tcMar>
              <w:top w:w="70" w:type="dxa"/>
              <w:start w:w="90" w:type="dxa"/>
              <w:bottom w:w="70" w:type="dxa"/>
              <w:end w:w="90" w:type="dxa"/>
            </w:tcMar>
            <w:vAlign w:val="top"/>
            <w:shd w:fill="F2FAFE"/>
          </w:tcPr>
          <w:p>
            <w:pPr>
              <w:keepLines/>
              <w:widowControl/>
              <w:spacing w:after="0" w:before="0"/>
            </w:pPr>
            <w:r>
              <w:rPr>
                <w:sz w:val="16"/>
              </w:rPr>
              <w:t>Renderer path for visibility overlays. Applies immediately. [High / Performance]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Enable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all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Single-player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cl_vis_singleplayer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visibility highlights in local single-player/training.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q2prox_vis_items</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settings: style, alpha, scale, class toggles and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 settings: scale, per-weapon toggles and colours.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settings: mode, style, colours, team and duel logic.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q2prox_vis_presets</w:t>
            </w:r>
          </w:p>
        </w:tc>
        <w:tc>
          <w:tcPr>
            <w:tcW w:type="dxa" w:w="1984"/>
            <w:tcMar>
              <w:top w:w="70" w:type="dxa"/>
              <w:start w:w="90" w:type="dxa"/>
              <w:bottom w:w="70" w:type="dxa"/>
              <w:end w:w="90" w:type="dxa"/>
            </w:tcMar>
            <w:vAlign w:val="top"/>
            <w:shd w:fill="F2FAFE"/>
          </w:tcPr>
          <w:p>
            <w:pPr>
              <w:keepLines/>
              <w:widowControl/>
              <w:spacing w:after="0" w:before="0"/>
            </w:pPr>
            <w:r>
              <w:rPr>
                <w:sz w:val="16"/>
              </w:rPr>
              <w:t>Visibility preset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Visibility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item classification and visibility status.</w:t>
            </w:r>
          </w:p>
        </w:tc>
      </w:tr>
    </w:tbl>
    <w:p>
      <w:pPr>
        <w:spacing w:after="20"/>
      </w:pPr>
    </w:p>
    <w:p>
      <w:bookmarkStart w:id="5" w:name="Q2PX_S0005"/>
      <w:pPr>
        <w:pStyle w:val="Heading2"/>
      </w:pPr>
      <w:r>
        <w:t>1.2. Items</w:t>
      </w:r>
      <w:bookmarkEnd w:id="5"/>
    </w:p>
    <w:p>
      <w:pPr>
        <w:widowControl/>
      </w:pPr>
      <w:r>
        <w:t>Items have a style (off, shell, tint, shell and tint), opacity, shell opacity, shell thickness, brightness and scale. Item classes are enabled separately: health, armor, ammo, powerups and keys. Colours are configured per class.</w:t>
      </w:r>
    </w:p>
    <w:p>
      <w:pPr>
        <w:widowControl/>
      </w:pPr>
      <w:r>
        <w:rPr>
          <w:b/>
        </w:rPr>
        <w:t>Visibility / Items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w:t>
            </w:r>
          </w:p>
        </w:tc>
        <w:tc>
          <w:tcPr>
            <w:tcW w:type="dxa" w:w="1984"/>
            <w:tcMar>
              <w:top w:w="70" w:type="dxa"/>
              <w:start w:w="90" w:type="dxa"/>
              <w:bottom w:w="70" w:type="dxa"/>
              <w:end w:w="90" w:type="dxa"/>
            </w:tcMar>
            <w:vAlign w:val="top"/>
            <w:shd w:fill="F2FAFE"/>
          </w:tcPr>
          <w:p>
            <w:pPr>
              <w:keepLines/>
              <w:widowControl/>
              <w:spacing w:after="0" w:before="0"/>
            </w:pPr>
            <w:r>
              <w:rPr>
                <w:sz w:val="16"/>
              </w:rPr>
              <w:t>Toggle item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cl_vis_items_style</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item highlight overlay (tint and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item outline (shell) pass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item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item highlights; above 1 boosts saturation.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cl_vis_items_scale</w:t>
            </w:r>
          </w:p>
        </w:tc>
        <w:tc>
          <w:tcPr>
            <w:tcW w:type="dxa" w:w="1984"/>
            <w:tcMar>
              <w:top w:w="70" w:type="dxa"/>
              <w:start w:w="90" w:type="dxa"/>
              <w:bottom w:w="70" w:type="dxa"/>
              <w:end w:w="90" w:type="dxa"/>
            </w:tcMar>
            <w:vAlign w:val="top"/>
            <w:shd w:fill="F2FAFE"/>
          </w:tcPr>
          <w:p>
            <w:pPr>
              <w:keepLines/>
              <w:widowControl/>
              <w:spacing w:after="0" w:before="0"/>
            </w:pPr>
            <w:r>
              <w:rPr>
                <w:sz w:val="16"/>
              </w:rPr>
              <w:t>Enlarge pickup items so they read from range; 1 = stock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toggles...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q2prox_vis_toggles</w:t>
            </w:r>
          </w:p>
        </w:tc>
        <w:tc>
          <w:tcPr>
            <w:tcW w:type="dxa" w:w="1984"/>
            <w:tcMar>
              <w:top w:w="70" w:type="dxa"/>
              <w:start w:w="90" w:type="dxa"/>
              <w:bottom w:w="70" w:type="dxa"/>
              <w:end w:w="90" w:type="dxa"/>
            </w:tcMar>
            <w:vAlign w:val="top"/>
            <w:shd w:fill="FFFFFF"/>
          </w:tcPr>
          <w:p>
            <w:pPr>
              <w:keepLines/>
              <w:widowControl/>
              <w:spacing w:after="0" w:before="0"/>
            </w:pPr>
            <w:r>
              <w:rPr>
                <w:sz w:val="16"/>
              </w:rPr>
              <w:t>Per-class item toggles: health, armor, ammo, powerups and keys.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q2prox_vis_colors</w:t>
            </w:r>
          </w:p>
        </w:tc>
        <w:tc>
          <w:tcPr>
            <w:tcW w:type="dxa" w:w="1984"/>
            <w:tcMar>
              <w:top w:w="70" w:type="dxa"/>
              <w:start w:w="90" w:type="dxa"/>
              <w:bottom w:w="70" w:type="dxa"/>
              <w:end w:w="90" w:type="dxa"/>
            </w:tcMar>
            <w:vAlign w:val="top"/>
            <w:shd w:fill="F2FAFE"/>
          </w:tcPr>
          <w:p>
            <w:pPr>
              <w:keepLines/>
              <w:widowControl/>
              <w:spacing w:after="0" w:before="0"/>
            </w:pPr>
            <w:r>
              <w:rPr>
                <w:sz w:val="16"/>
              </w:rPr>
              <w:t>Per-class item colours.</w:t>
            </w:r>
          </w:p>
        </w:tc>
      </w:tr>
    </w:tbl>
    <w:p>
      <w:pPr>
        <w:spacing w:after="20"/>
      </w:pPr>
    </w:p>
    <w:p>
      <w:bookmarkStart w:id="6" w:name="Q2PX_S0006"/>
      <w:pPr>
        <w:pStyle w:val="Heading2"/>
      </w:pPr>
      <w:r>
        <w:t>1.3. Weapons</w:t>
      </w:r>
      <w:bookmarkEnd w:id="6"/>
    </w:p>
    <w:p>
      <w:pPr>
        <w:widowControl/>
      </w:pPr>
      <w:r>
        <w:t>Weapons have their own master switch, a scale, per-weapon toggles and per-weapon colours. Those same colours can be used as the palette for the carried weapon in model-parts mode.</w:t>
      </w:r>
    </w:p>
    <w:p>
      <w:pPr>
        <w:widowControl/>
      </w:pPr>
      <w:r>
        <w:rPr>
          <w:b/>
        </w:rPr>
        <w:t>Visibility /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Toggle weapon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cl_vis_weapons_scale</w:t>
            </w:r>
          </w:p>
        </w:tc>
        <w:tc>
          <w:tcPr>
            <w:tcW w:type="dxa" w:w="1984"/>
            <w:tcMar>
              <w:top w:w="70" w:type="dxa"/>
              <w:start w:w="90" w:type="dxa"/>
              <w:bottom w:w="70" w:type="dxa"/>
              <w:end w:w="90" w:type="dxa"/>
            </w:tcMar>
            <w:vAlign w:val="top"/>
            <w:shd w:fill="FFFFFF"/>
          </w:tcPr>
          <w:p>
            <w:pPr>
              <w:keepLines/>
              <w:widowControl/>
              <w:spacing w:after="0" w:before="0"/>
            </w:pPr>
            <w:r>
              <w:rPr>
                <w:sz w:val="16"/>
              </w:rPr>
              <w:t>Enlarge dropped weapons so they read from range; 1 = stock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q2prox_vis_weapon_toggles</w:t>
            </w:r>
          </w:p>
        </w:tc>
        <w:tc>
          <w:tcPr>
            <w:tcW w:type="dxa" w:w="1984"/>
            <w:tcMar>
              <w:top w:w="70" w:type="dxa"/>
              <w:start w:w="90" w:type="dxa"/>
              <w:bottom w:w="70" w:type="dxa"/>
              <w:end w:w="90" w:type="dxa"/>
            </w:tcMar>
            <w:vAlign w:val="top"/>
            <w:shd w:fill="F2FAFE"/>
          </w:tcPr>
          <w:p>
            <w:pPr>
              <w:keepLines/>
              <w:widowControl/>
              <w:spacing w:after="0" w:before="0"/>
            </w:pPr>
            <w:r>
              <w:rPr>
                <w:sz w:val="16"/>
              </w:rPr>
              <w:t>Per-weapon enable toggles.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q2prox_vis_weapon_colors</w:t>
            </w:r>
          </w:p>
        </w:tc>
        <w:tc>
          <w:tcPr>
            <w:tcW w:type="dxa" w:w="1984"/>
            <w:tcMar>
              <w:top w:w="70" w:type="dxa"/>
              <w:start w:w="90" w:type="dxa"/>
              <w:bottom w:w="70" w:type="dxa"/>
              <w:end w:w="90" w:type="dxa"/>
            </w:tcMar>
            <w:vAlign w:val="top"/>
            <w:shd w:fill="FFFFFF"/>
          </w:tcPr>
          <w:p>
            <w:pPr>
              <w:keepLines/>
              <w:widowControl/>
              <w:spacing w:after="0" w:before="0"/>
            </w:pPr>
            <w:r>
              <w:rPr>
                <w:sz w:val="16"/>
              </w:rPr>
              <w:t>Per-weapon colours.</w:t>
            </w:r>
          </w:p>
        </w:tc>
      </w:tr>
    </w:tbl>
    <w:p>
      <w:pPr>
        <w:spacing w:after="20"/>
      </w:pPr>
    </w:p>
    <w:p>
      <w:r>
        <w:br w:type="page"/>
      </w:r>
    </w:p>
    <w:p>
      <w:r>
        <w:br w:type="page"/>
      </w:r>
    </w:p>
    <w:p>
      <w:bookmarkStart w:id="7" w:name="Q2PX_S0007"/>
      <w:pPr>
        <w:pStyle w:val="Heading1"/>
      </w:pPr>
      <w:r>
        <w:t>2. Players</w:t>
      </w:r>
      <w:bookmarkEnd w:id="7"/>
    </w:p>
    <w:p>
      <w:bookmarkStart w:id="8" w:name="Q2PX_S0008"/>
      <w:pPr>
        <w:pStyle w:val="Heading2"/>
      </w:pPr>
      <w:r>
        <w:t>2.1. Highlight modes</w:t>
      </w:r>
      <w:bookmarkEnd w:id="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1=all / 2=random FFA / 3=duel / 4=auto / 5=team / 6=model / 7=model parts</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classification mode. 0=off; 1=all; 2=random FFA; 3=duel; 4=auto; 5=team; 6=model (old uniform colour per resolved player-model directory); 7=model parts (separate head/arms/torso/legs/weapon colours, with detailed controls in Player part colors).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Mode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Off</w:t>
            </w:r>
          </w:p>
        </w:tc>
        <w:tc>
          <w:tcPr>
            <w:tcW w:type="dxa" w:w="4961"/>
            <w:tcMar>
              <w:top w:w="70" w:type="dxa"/>
              <w:start w:w="90" w:type="dxa"/>
              <w:bottom w:w="70" w:type="dxa"/>
              <w:end w:w="90" w:type="dxa"/>
            </w:tcMar>
            <w:vAlign w:val="top"/>
            <w:shd w:fill="F2FAFE"/>
          </w:tcPr>
          <w:p>
            <w:pPr>
              <w:keepLines/>
              <w:widowControl/>
              <w:spacing w:after="0" w:before="0"/>
            </w:pPr>
            <w:r>
              <w:rPr>
                <w:sz w:val="18"/>
              </w:rPr>
              <w:t>Players are not highlighted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All</w:t>
            </w:r>
          </w:p>
        </w:tc>
        <w:tc>
          <w:tcPr>
            <w:tcW w:type="dxa" w:w="4961"/>
            <w:tcMar>
              <w:top w:w="70" w:type="dxa"/>
              <w:start w:w="90" w:type="dxa"/>
              <w:bottom w:w="70" w:type="dxa"/>
              <w:end w:w="90" w:type="dxa"/>
            </w:tcMar>
            <w:vAlign w:val="top"/>
            <w:shd w:fill="FFFFFF"/>
          </w:tcPr>
          <w:p>
            <w:pPr>
              <w:keepLines/>
              <w:widowControl/>
              <w:spacing w:after="0" w:before="0"/>
            </w:pPr>
            <w:r>
              <w:rPr>
                <w:sz w:val="18"/>
              </w:rPr>
              <w:t>One common mode for everybody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Random FFA</w:t>
            </w:r>
          </w:p>
        </w:tc>
        <w:tc>
          <w:tcPr>
            <w:tcW w:type="dxa" w:w="4961"/>
            <w:tcMar>
              <w:top w:w="70" w:type="dxa"/>
              <w:start w:w="90" w:type="dxa"/>
              <w:bottom w:w="70" w:type="dxa"/>
              <w:end w:w="90" w:type="dxa"/>
            </w:tcMar>
            <w:vAlign w:val="top"/>
            <w:shd w:fill="F2FAFE"/>
          </w:tcPr>
          <w:p>
            <w:pPr>
              <w:keepLines/>
              <w:widowControl/>
              <w:spacing w:after="0" w:before="0"/>
            </w:pPr>
            <w:r>
              <w:rPr>
                <w:sz w:val="18"/>
              </w:rPr>
              <w:t>Different colours in free-for-all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Duel</w:t>
            </w:r>
          </w:p>
        </w:tc>
        <w:tc>
          <w:tcPr>
            <w:tcW w:type="dxa" w:w="4961"/>
            <w:tcMar>
              <w:top w:w="70" w:type="dxa"/>
              <w:start w:w="90" w:type="dxa"/>
              <w:bottom w:w="70" w:type="dxa"/>
              <w:end w:w="90" w:type="dxa"/>
            </w:tcMar>
            <w:vAlign w:val="top"/>
            <w:shd w:fill="FFFFFF"/>
          </w:tcPr>
          <w:p>
            <w:pPr>
              <w:keepLines/>
              <w:widowControl/>
              <w:spacing w:after="0" w:before="0"/>
            </w:pPr>
            <w:r>
              <w:rPr>
                <w:sz w:val="18"/>
              </w:rPr>
              <w:t>Marks the duel pair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Auto</w:t>
            </w:r>
          </w:p>
        </w:tc>
        <w:tc>
          <w:tcPr>
            <w:tcW w:type="dxa" w:w="4961"/>
            <w:tcMar>
              <w:top w:w="70" w:type="dxa"/>
              <w:start w:w="90" w:type="dxa"/>
              <w:bottom w:w="70" w:type="dxa"/>
              <w:end w:w="90" w:type="dxa"/>
            </w:tcMar>
            <w:vAlign w:val="top"/>
            <w:shd w:fill="F2FAFE"/>
          </w:tcPr>
          <w:p>
            <w:pPr>
              <w:keepLines/>
              <w:widowControl/>
              <w:spacing w:after="0" w:before="0"/>
            </w:pPr>
            <w:r>
              <w:rPr>
                <w:sz w:val="18"/>
              </w:rPr>
              <w:t>Automatic logic with a safe fallback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Team</w:t>
            </w:r>
          </w:p>
        </w:tc>
        <w:tc>
          <w:tcPr>
            <w:tcW w:type="dxa" w:w="4961"/>
            <w:tcMar>
              <w:top w:w="70" w:type="dxa"/>
              <w:start w:w="90" w:type="dxa"/>
              <w:bottom w:w="70" w:type="dxa"/>
              <w:end w:w="90" w:type="dxa"/>
            </w:tcMar>
            <w:vAlign w:val="top"/>
            <w:shd w:fill="FFFFFF"/>
          </w:tcPr>
          <w:p>
            <w:pPr>
              <w:keepLines/>
              <w:widowControl/>
              <w:spacing w:after="0" w:before="0"/>
            </w:pPr>
            <w:r>
              <w:rPr>
                <w:sz w:val="18"/>
              </w:rPr>
              <w:t>Friendly and enemy colours from the team source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Model</w:t>
            </w:r>
          </w:p>
        </w:tc>
        <w:tc>
          <w:tcPr>
            <w:tcW w:type="dxa" w:w="4961"/>
            <w:tcMar>
              <w:top w:w="70" w:type="dxa"/>
              <w:start w:w="90" w:type="dxa"/>
              <w:bottom w:w="70" w:type="dxa"/>
              <w:end w:w="90" w:type="dxa"/>
            </w:tcMar>
            <w:vAlign w:val="top"/>
            <w:shd w:fill="F2FAFE"/>
          </w:tcPr>
          <w:p>
            <w:pPr>
              <w:keepLines/>
              <w:widowControl/>
              <w:spacing w:after="0" w:before="0"/>
            </w:pPr>
            <w:r>
              <w:rPr>
                <w:sz w:val="18"/>
              </w:rPr>
              <w:t>A uniform colour per model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Model parts</w:t>
            </w:r>
          </w:p>
        </w:tc>
        <w:tc>
          <w:tcPr>
            <w:tcW w:type="dxa" w:w="4961"/>
            <w:tcMar>
              <w:top w:w="70" w:type="dxa"/>
              <w:start w:w="90" w:type="dxa"/>
              <w:bottom w:w="70" w:type="dxa"/>
              <w:end w:w="90" w:type="dxa"/>
            </w:tcMar>
            <w:vAlign w:val="top"/>
            <w:shd w:fill="FFFFFF"/>
          </w:tcPr>
          <w:p>
            <w:pPr>
              <w:keepLines/>
              <w:widowControl/>
              <w:spacing w:after="0" w:before="0"/>
            </w:pPr>
            <w:r>
              <w:rPr>
                <w:sz w:val="18"/>
              </w:rPr>
              <w:t>Separate colours for head, arms, torso, legs and weapon</w:t>
            </w:r>
          </w:p>
        </w:tc>
      </w:tr>
    </w:tbl>
    <w:p>
      <w:pPr>
        <w:spacing w:after="20"/>
      </w:pPr>
    </w:p>
    <w:p>
      <w:pPr>
        <w:widowControl/>
      </w:pPr>
      <w:r>
        <w:t>The player style also has off, shell, tint and shell-and-tint variants, opacity, shell opacity and thickness, scale and brightness.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Player scale</w:t>
            </w:r>
            <w:r>
              <w:t xml:space="preserve"> applies only in single player or while watching </w:t>
            </w:r>
            <w:r>
              <w:rPr>
                <w:rFonts w:ascii="Cascadia Mono" w:hAnsi="Cascadia Mono" w:eastAsia="Cascadia Mono"/>
                <w:color w:val="153A5B"/>
                <w:sz w:val="17"/>
              </w:rPr>
              <w:t>.dm2</w:t>
            </w:r>
            <w:r>
              <w:t xml:space="preserve"> and </w:t>
            </w:r>
            <w:r>
              <w:rPr>
                <w:rFonts w:ascii="Cascadia Mono" w:hAnsi="Cascadia Mono" w:eastAsia="Cascadia Mono"/>
                <w:color w:val="153A5B"/>
                <w:sz w:val="17"/>
              </w:rPr>
              <w:t>.mvd2</w:t>
            </w:r>
            <w:r>
              <w:t xml:space="preserve"> recordings. On a live server the model keeps its standard size.</w:t>
            </w:r>
          </w:p>
        </w:tc>
      </w:tr>
    </w:tbl>
    <w:p>
      <w:pPr>
        <w:spacing w:after="40"/>
      </w:pPr>
    </w:p>
    <w:p>
      <w:bookmarkStart w:id="9" w:name="Q2PX_S0009"/>
      <w:pPr>
        <w:pStyle w:val="Heading2"/>
      </w:pPr>
      <w:r>
        <w:t>2.2. The player highlighting page</w:t>
      </w:r>
      <w:bookmarkEnd w:id="9"/>
    </w:p>
    <w:p>
      <w:pPr>
        <w:widowControl/>
      </w:pPr>
      <w:r>
        <w:rPr>
          <w:b/>
        </w:rPr>
        <w:t>Visibility / Players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Toggle player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Skins &amp;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2FAFE"/>
          </w:tcPr>
          <w:p>
            <w:pPr>
              <w:keepLines/>
              <w:widowControl/>
              <w:spacing w:after="0" w:before="0"/>
            </w:pPr>
            <w:r>
              <w:rPr>
                <w:sz w:val="16"/>
              </w:rPr>
              <w:t>Open skin/model override and player setup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cl_vis_players_mode</w:t>
            </w:r>
          </w:p>
        </w:tc>
        <w:tc>
          <w:tcPr>
            <w:tcW w:type="dxa" w:w="1984"/>
            <w:tcMar>
              <w:top w:w="70" w:type="dxa"/>
              <w:start w:w="90" w:type="dxa"/>
              <w:bottom w:w="70" w:type="dxa"/>
              <w:end w:w="90" w:type="dxa"/>
            </w:tcMar>
            <w:vAlign w:val="top"/>
            <w:shd w:fill="FFFFFF"/>
          </w:tcPr>
          <w:p>
            <w:pPr>
              <w:keepLines/>
              <w:widowControl/>
              <w:spacing w:after="0" w:before="0"/>
            </w:pPr>
            <w:r>
              <w:rPr>
                <w:sz w:val="16"/>
              </w:rPr>
              <w:t>off/all/random FFA/duel/auto/team/model/model parts. Model = old uniform per-model colour. Model parts = separate head/arms/torso/legs/weapon colours. Applies immediately. [off / all / random FFA / duel / auto / team / model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q2prox_vis_player_model_colors</w:t>
            </w:r>
          </w:p>
        </w:tc>
        <w:tc>
          <w:tcPr>
            <w:tcW w:type="dxa" w:w="1984"/>
            <w:tcMar>
              <w:top w:w="70" w:type="dxa"/>
              <w:start w:w="90" w:type="dxa"/>
              <w:bottom w:w="70" w:type="dxa"/>
              <w:end w:w="90" w:type="dxa"/>
            </w:tcMar>
            <w:vAlign w:val="top"/>
            <w:shd w:fill="F2FAFE"/>
          </w:tcPr>
          <w:p>
            <w:pPr>
              <w:keepLines/>
              <w:widowControl/>
              <w:spacing w:after="0" w:before="0"/>
            </w:pPr>
            <w:r>
              <w:rPr>
                <w:sz w:val="16"/>
              </w:rPr>
              <w:t>Old uniform per-model colours for Player mode =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part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w:t>
            </w:r>
          </w:p>
        </w:tc>
        <w:tc>
          <w:tcPr>
            <w:tcW w:type="dxa" w:w="1984"/>
            <w:tcMar>
              <w:top w:w="70" w:type="dxa"/>
              <w:start w:w="90" w:type="dxa"/>
              <w:bottom w:w="70" w:type="dxa"/>
              <w:end w:w="90" w:type="dxa"/>
            </w:tcMar>
            <w:vAlign w:val="top"/>
            <w:shd w:fill="FFFFFF"/>
          </w:tcPr>
          <w:p>
            <w:pPr>
              <w:keepLines/>
              <w:widowControl/>
              <w:spacing w:after="0" w:before="0"/>
            </w:pPr>
            <w:r>
              <w:rPr>
                <w:sz w:val="16"/>
              </w:rPr>
              <w:t>Body-part colours for Player mode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cl_vis_players_style</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cl_vis_players_alpha</w:t>
            </w:r>
          </w:p>
        </w:tc>
        <w:tc>
          <w:tcPr>
            <w:tcW w:type="dxa" w:w="1984"/>
            <w:tcMar>
              <w:top w:w="70" w:type="dxa"/>
              <w:start w:w="90" w:type="dxa"/>
              <w:bottom w:w="70" w:type="dxa"/>
              <w:end w:w="90" w:type="dxa"/>
            </w:tcMar>
            <w:vAlign w:val="top"/>
            <w:shd w:fill="F2FAFE"/>
          </w:tcPr>
          <w:p>
            <w:pPr>
              <w:keepLines/>
              <w:widowControl/>
              <w:spacing w:after="0" w:before="0"/>
            </w:pPr>
            <w:r>
              <w:rPr>
                <w:sz w:val="16"/>
              </w:rPr>
              <w:t>Whole-player tint alpha. In Model+parts mode the part tint can replace this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player outline (shell) pass.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player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cl_vis_players_scale</w:t>
            </w:r>
          </w:p>
        </w:tc>
        <w:tc>
          <w:tcPr>
            <w:tcW w:type="dxa" w:w="1984"/>
            <w:tcMar>
              <w:top w:w="70" w:type="dxa"/>
              <w:start w:w="90" w:type="dxa"/>
              <w:bottom w:w="70" w:type="dxa"/>
              <w:end w:w="90" w:type="dxa"/>
            </w:tcMar>
            <w:vAlign w:val="top"/>
            <w:shd w:fill="FFFFFF"/>
          </w:tcPr>
          <w:p>
            <w:pPr>
              <w:keepLines/>
              <w:widowControl/>
              <w:spacing w:after="0" w:before="0"/>
            </w:pPr>
            <w:r>
              <w:rPr>
                <w:sz w:val="16"/>
              </w:rPr>
              <w:t>Player model size. Applied ONLY in single-player or during .dm2/.mvd2 demo playback. Stock size on a live deathmatch server. Range 0.1..5.0,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player highlights; above 1 adds an emissive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Highlight self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cl_vis_players_self</w:t>
            </w:r>
          </w:p>
        </w:tc>
        <w:tc>
          <w:tcPr>
            <w:tcW w:type="dxa" w:w="1984"/>
            <w:tcMar>
              <w:top w:w="70" w:type="dxa"/>
              <w:start w:w="90" w:type="dxa"/>
              <w:bottom w:w="70" w:type="dxa"/>
              <w:end w:w="90" w:type="dxa"/>
            </w:tcMar>
            <w:vAlign w:val="top"/>
            <w:shd w:fill="FFFFFF"/>
          </w:tcPr>
          <w:p>
            <w:pPr>
              <w:keepLines/>
              <w:widowControl/>
              <w:spacing w:after="0" w:before="0"/>
            </w:pPr>
            <w:r>
              <w:rPr>
                <w:sz w:val="16"/>
              </w:rPr>
              <w:t>Also highlight yourself (visible only in third-person/chasecam).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Rules</w:t>
            </w:r>
          </w:p>
        </w:tc>
        <w:tc>
          <w:tcPr>
            <w:tcW w:type="dxa" w:w="1984"/>
            <w:tcMar>
              <w:top w:w="70" w:type="dxa"/>
              <w:start w:w="90" w:type="dxa"/>
              <w:bottom w:w="70" w:type="dxa"/>
              <w:end w:w="90" w:type="dxa"/>
            </w:tcMar>
            <w:vAlign w:val="top"/>
            <w:shd w:fill="FFFFFF"/>
          </w:tcPr>
          <w:p>
            <w:pPr>
              <w:keepLines/>
              <w:widowControl/>
              <w:spacing w:after="0" w:before="0"/>
            </w:pPr>
            <w:r>
              <w:rPr>
                <w:sz w:val="16"/>
              </w:rPr>
              <w:t>Teams and duel...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q2prox_vis_player_rules</w:t>
            </w:r>
          </w:p>
        </w:tc>
        <w:tc>
          <w:tcPr>
            <w:tcW w:type="dxa" w:w="1984"/>
            <w:tcMar>
              <w:top w:w="70" w:type="dxa"/>
              <w:start w:w="90" w:type="dxa"/>
              <w:bottom w:w="70" w:type="dxa"/>
              <w:end w:w="90" w:type="dxa"/>
            </w:tcMar>
            <w:vAlign w:val="top"/>
            <w:shd w:fill="FFFFFF"/>
          </w:tcPr>
          <w:p>
            <w:pPr>
              <w:keepLines/>
              <w:widowControl/>
              <w:spacing w:after="0" w:before="0"/>
            </w:pPr>
            <w:r>
              <w:rPr>
                <w:sz w:val="16"/>
              </w:rPr>
              <w:t>Team, duel and auto-mode rules.</w:t>
            </w:r>
          </w:p>
        </w:tc>
      </w:tr>
    </w:tbl>
    <w:p>
      <w:pPr>
        <w:spacing w:after="20"/>
      </w:pPr>
    </w:p>
    <w:p>
      <w:bookmarkStart w:id="10" w:name="Q2PX_S0010"/>
      <w:pPr>
        <w:pStyle w:val="Heading2"/>
      </w:pPr>
      <w:r>
        <w:t>2.3. Teams and duel</w:t>
      </w:r>
      <w:bookmarkEnd w:id="10"/>
    </w:p>
    <w:p>
      <w:pPr>
        <w:widowControl/>
      </w:pPr>
      <w:r>
        <w:rPr>
          <w:b/>
        </w:rPr>
        <w:t>Visibility / Teams and Duel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 fallback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cl_vis_players_auto_fallback</w:t>
            </w:r>
          </w:p>
        </w:tc>
        <w:tc>
          <w:tcPr>
            <w:tcW w:type="dxa" w:w="1984"/>
            <w:tcMar>
              <w:top w:w="70" w:type="dxa"/>
              <w:start w:w="90" w:type="dxa"/>
              <w:bottom w:w="70" w:type="dxa"/>
              <w:end w:w="90" w:type="dxa"/>
            </w:tcMar>
            <w:vAlign w:val="top"/>
            <w:shd w:fill="F2FAFE"/>
          </w:tcPr>
          <w:p>
            <w:pPr>
              <w:keepLines/>
              <w:widowControl/>
              <w:spacing w:after="0" w:before="0"/>
            </w:pPr>
            <w:r>
              <w:rPr>
                <w:sz w:val="16"/>
              </w:rPr>
              <w:t>Auto-mode fallback when team/duel can't be resolved (default Random FFA). Applies immediately. [all / Random FFA]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Duel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cl_vis_players_duel_hold_ms</w:t>
            </w:r>
          </w:p>
        </w:tc>
        <w:tc>
          <w:tcPr>
            <w:tcW w:type="dxa" w:w="1984"/>
            <w:tcMar>
              <w:top w:w="70" w:type="dxa"/>
              <w:start w:w="90" w:type="dxa"/>
              <w:bottom w:w="70" w:type="dxa"/>
              <w:end w:w="90" w:type="dxa"/>
            </w:tcMar>
            <w:vAlign w:val="top"/>
            <w:shd w:fill="FFFFFF"/>
          </w:tcPr>
          <w:p>
            <w:pPr>
              <w:keepLines/>
              <w:widowControl/>
              <w:spacing w:after="0" w:before="0"/>
            </w:pPr>
            <w:r>
              <w:rPr>
                <w:sz w:val="16"/>
              </w:rPr>
              <w:t>How long a detected duel pair stays locked, in 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cl_vis_players_team_source</w:t>
            </w:r>
          </w:p>
        </w:tc>
        <w:tc>
          <w:tcPr>
            <w:tcW w:type="dxa" w:w="1984"/>
            <w:tcMar>
              <w:top w:w="70" w:type="dxa"/>
              <w:start w:w="90" w:type="dxa"/>
              <w:bottom w:w="70" w:type="dxa"/>
              <w:end w:w="90" w:type="dxa"/>
            </w:tcMar>
            <w:vAlign w:val="top"/>
            <w:shd w:fill="F2FAFE"/>
          </w:tcPr>
          <w:p>
            <w:pPr>
              <w:keepLines/>
              <w:widowControl/>
              <w:spacing w:after="0" w:before="0"/>
            </w:pPr>
            <w:r>
              <w:rPr>
                <w:sz w:val="16"/>
              </w:rPr>
              <w:t>Team detection source: off, auto (skin-based), or OpenTDM. Applies immediately. [off / auto / opentdm]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Team fallback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cl_vis_players_team_fallback</w:t>
            </w:r>
          </w:p>
        </w:tc>
        <w:tc>
          <w:tcPr>
            <w:tcW w:type="dxa" w:w="1984"/>
            <w:tcMar>
              <w:top w:w="70" w:type="dxa"/>
              <w:start w:w="90" w:type="dxa"/>
              <w:bottom w:w="70" w:type="dxa"/>
              <w:end w:w="90" w:type="dxa"/>
            </w:tcMar>
            <w:vAlign w:val="top"/>
            <w:shd w:fill="FFFFFF"/>
          </w:tcPr>
          <w:p>
            <w:pPr>
              <w:keepLines/>
              <w:widowControl/>
              <w:spacing w:after="0" w:before="0"/>
            </w:pPr>
            <w:r>
              <w:rPr>
                <w:sz w:val="16"/>
              </w:rPr>
              <w:t>Team-mode fallback when a side can't be resolved (default Duel). Applies immediately. [all / Random FFA / duel]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cl_vis_players_team_hold_ms</w:t>
            </w:r>
          </w:p>
        </w:tc>
        <w:tc>
          <w:tcPr>
            <w:tcW w:type="dxa" w:w="1984"/>
            <w:tcMar>
              <w:top w:w="70" w:type="dxa"/>
              <w:start w:w="90" w:type="dxa"/>
              <w:bottom w:w="70" w:type="dxa"/>
              <w:end w:w="90" w:type="dxa"/>
            </w:tcMar>
            <w:vAlign w:val="top"/>
            <w:shd w:fill="F2FAFE"/>
          </w:tcPr>
          <w:p>
            <w:pPr>
              <w:keepLines/>
              <w:widowControl/>
              <w:spacing w:after="0" w:before="0"/>
            </w:pPr>
            <w:r>
              <w:rPr>
                <w:sz w:val="16"/>
              </w:rPr>
              <w:t>How long a team assignment stays held if data goes stale, in 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Friendly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cl_vis_players_team_friendly_color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for teammates in Team mode.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Enemy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cl_vis_players_team_enemy_color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for enemies in Team mode. Applies immediately. [Dark / Grey / Brown / Dark red / Red / Orange / Gold / Yellow / Green-yellow / Green / Lime / Pure green / Mint / Cyan / Sky / Aqua / Blue / Azure / Magenta / Violet / White]</w:t>
            </w:r>
          </w:p>
        </w:tc>
      </w:tr>
    </w:tbl>
    <w:p>
      <w:pPr>
        <w:spacing w:after="20"/>
      </w:pPr>
    </w:p>
    <w:p>
      <w:r>
        <w:br w:type="page"/>
      </w:r>
    </w:p>
    <w:p>
      <w:r>
        <w:br w:type="page"/>
      </w:r>
    </w:p>
    <w:p>
      <w:bookmarkStart w:id="11" w:name="Q2PX_S0011"/>
      <w:pPr>
        <w:pStyle w:val="Heading1"/>
      </w:pPr>
      <w:r>
        <w:t>3. Model parts</w:t>
      </w:r>
      <w:bookmarkEnd w:id="11"/>
    </w:p>
    <w:p>
      <w:pPr>
        <w:widowControl/>
      </w:pPr>
      <w:r>
        <w:t>The Model parts mode colours parts of the model on the fly: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Part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cl_vis_player_parts_head_color</w:t>
            </w:r>
          </w:p>
        </w:tc>
        <w:tc>
          <w:tcPr>
            <w:tcW w:type="dxa" w:w="4961"/>
            <w:tcMar>
              <w:top w:w="70" w:type="dxa"/>
              <w:start w:w="90" w:type="dxa"/>
              <w:bottom w:w="70" w:type="dxa"/>
              <w:end w:w="90" w:type="dxa"/>
            </w:tcMar>
            <w:vAlign w:val="top"/>
            <w:shd w:fill="F2FAFE"/>
          </w:tcPr>
          <w:p>
            <w:pPr>
              <w:keepLines/>
              <w:widowControl/>
              <w:spacing w:after="0" w:before="0"/>
            </w:pPr>
            <w:r>
              <w:rPr>
                <w:sz w:val="18"/>
              </w:rPr>
              <w:t>Head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cl_vis_player_parts_arms_color</w:t>
            </w:r>
          </w:p>
        </w:tc>
        <w:tc>
          <w:tcPr>
            <w:tcW w:type="dxa" w:w="4961"/>
            <w:tcMar>
              <w:top w:w="70" w:type="dxa"/>
              <w:start w:w="90" w:type="dxa"/>
              <w:bottom w:w="70" w:type="dxa"/>
              <w:end w:w="90" w:type="dxa"/>
            </w:tcMar>
            <w:vAlign w:val="top"/>
            <w:shd w:fill="FFFFFF"/>
          </w:tcPr>
          <w:p>
            <w:pPr>
              <w:keepLines/>
              <w:widowControl/>
              <w:spacing w:after="0" w:before="0"/>
            </w:pPr>
            <w:r>
              <w:rPr>
                <w:sz w:val="18"/>
              </w:rPr>
              <w:t>Arms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cl_vis_player_parts_torso_color</w:t>
            </w:r>
          </w:p>
        </w:tc>
        <w:tc>
          <w:tcPr>
            <w:tcW w:type="dxa" w:w="4961"/>
            <w:tcMar>
              <w:top w:w="70" w:type="dxa"/>
              <w:start w:w="90" w:type="dxa"/>
              <w:bottom w:w="70" w:type="dxa"/>
              <w:end w:w="90" w:type="dxa"/>
            </w:tcMar>
            <w:vAlign w:val="top"/>
            <w:shd w:fill="F2FAFE"/>
          </w:tcPr>
          <w:p>
            <w:pPr>
              <w:keepLines/>
              <w:widowControl/>
              <w:spacing w:after="0" w:before="0"/>
            </w:pPr>
            <w:r>
              <w:rPr>
                <w:sz w:val="18"/>
              </w:rPr>
              <w:t>Torso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cl_vis_player_parts_legs_color</w:t>
            </w:r>
          </w:p>
        </w:tc>
        <w:tc>
          <w:tcPr>
            <w:tcW w:type="dxa" w:w="4961"/>
            <w:tcMar>
              <w:top w:w="70" w:type="dxa"/>
              <w:start w:w="90" w:type="dxa"/>
              <w:bottom w:w="70" w:type="dxa"/>
              <w:end w:w="90" w:type="dxa"/>
            </w:tcMar>
            <w:vAlign w:val="top"/>
            <w:shd w:fill="FFFFFF"/>
          </w:tcPr>
          <w:p>
            <w:pPr>
              <w:keepLines/>
              <w:widowControl/>
              <w:spacing w:after="0" w:before="0"/>
            </w:pPr>
            <w:r>
              <w:rPr>
                <w:sz w:val="18"/>
              </w:rPr>
              <w:t>Legs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cl_vis_player_parts_weapon_color</w:t>
            </w:r>
          </w:p>
        </w:tc>
        <w:tc>
          <w:tcPr>
            <w:tcW w:type="dxa" w:w="4961"/>
            <w:tcMar>
              <w:top w:w="70" w:type="dxa"/>
              <w:start w:w="90" w:type="dxa"/>
              <w:bottom w:w="70" w:type="dxa"/>
              <w:end w:w="90" w:type="dxa"/>
            </w:tcMar>
            <w:vAlign w:val="top"/>
            <w:shd w:fill="F2FAFE"/>
          </w:tcPr>
          <w:p>
            <w:pPr>
              <w:keepLines/>
              <w:widowControl/>
              <w:spacing w:after="0" w:before="0"/>
            </w:pPr>
            <w:r>
              <w:rPr>
                <w:sz w:val="18"/>
              </w:rPr>
              <w:t>The carried weapon</w:t>
            </w:r>
          </w:p>
        </w:tc>
      </w:tr>
    </w:tbl>
    <w:p>
      <w:pPr>
        <w:spacing w:after="20"/>
      </w:pPr>
    </w:p>
    <w:p>
      <w:pPr>
        <w:widowControl/>
      </w:pPr>
      <w:r>
        <w:t>Both model paths are supported — MD2 and MD5. For MD5 the skeleton, the animation and the skin path are preserved: Q2PRO-X never falls back to MD2 for the sake of a highlight.</w:t>
      </w:r>
    </w:p>
    <w:p>
      <w:bookmarkStart w:id="12" w:name="Q2PX_S0012"/>
      <w:pPr>
        <w:pStyle w:val="Heading2"/>
      </w:pPr>
      <w:r>
        <w:t>3.1. The complete settings page</w:t>
      </w:r>
      <w:bookmarkEnd w:id="12"/>
    </w:p>
    <w:p>
      <w:pPr>
        <w:widowControl/>
      </w:pPr>
      <w:r>
        <w:rPr>
          <w:b/>
        </w:rPr>
        <w:t>Player Part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Color 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cl_vis_player_parts_source</w:t>
            </w:r>
          </w:p>
        </w:tc>
        <w:tc>
          <w:tcPr>
            <w:tcW w:type="dxa" w:w="1984"/>
            <w:tcMar>
              <w:top w:w="70" w:type="dxa"/>
              <w:start w:w="90" w:type="dxa"/>
              <w:bottom w:w="70" w:type="dxa"/>
              <w:end w:w="90" w:type="dxa"/>
            </w:tcMar>
            <w:vAlign w:val="top"/>
            <w:shd w:fill="FFFFFF"/>
          </w:tcPr>
          <w:p>
            <w:pPr>
              <w:keepLines/>
              <w:widowControl/>
              <w:spacing w:after="0" w:before="0"/>
            </w:pPr>
            <w:r>
              <w:rPr>
                <w:sz w:val="16"/>
              </w:rPr>
              <w:t>Use one shared color set, or separate colors for male/female/cyborg. Applies immediately. [Global / Per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Weapon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cl_vis_player_parts_weapon_source</w:t>
            </w:r>
          </w:p>
        </w:tc>
        <w:tc>
          <w:tcPr>
            <w:tcW w:type="dxa" w:w="1984"/>
            <w:tcMar>
              <w:top w:w="70" w:type="dxa"/>
              <w:start w:w="90" w:type="dxa"/>
              <w:bottom w:w="70" w:type="dxa"/>
              <w:end w:w="90" w:type="dxa"/>
            </w:tcMar>
            <w:vAlign w:val="top"/>
            <w:shd w:fill="F2FAFE"/>
          </w:tcPr>
          <w:p>
            <w:pPr>
              <w:keepLines/>
              <w:widowControl/>
              <w:spacing w:after="0" w:before="0"/>
            </w:pPr>
            <w:r>
              <w:rPr>
                <w:sz w:val="16"/>
              </w:rPr>
              <w:t>Carried weapon colour source. Weapon palette uses the existing weapon-highlight colours. Custom uses the shared weapon colour below. Explicit per-model weapon colours override the palette. Applies immediately. [Weapon palette / Custom]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cl_vis_player_parts_alpha</w:t>
            </w:r>
          </w:p>
        </w:tc>
        <w:tc>
          <w:tcPr>
            <w:tcW w:type="dxa" w:w="1984"/>
            <w:tcMar>
              <w:top w:w="70" w:type="dxa"/>
              <w:start w:w="90" w:type="dxa"/>
              <w:bottom w:w="70" w:type="dxa"/>
              <w:end w:w="90" w:type="dxa"/>
            </w:tcMar>
            <w:vAlign w:val="top"/>
            <w:shd w:fill="FFFFFF"/>
          </w:tcPr>
          <w:p>
            <w:pPr>
              <w:keepLines/>
              <w:widowControl/>
              <w:spacing w:after="0" w:before="0"/>
            </w:pPr>
            <w:r>
              <w:rPr>
                <w:sz w:val="16"/>
              </w:rPr>
              <w:t>Overall alpha of the part tint overlay.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Fullbright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cl_vis_player_parts_fullbright</w:t>
            </w:r>
          </w:p>
        </w:tc>
        <w:tc>
          <w:tcPr>
            <w:tcW w:type="dxa" w:w="1984"/>
            <w:tcMar>
              <w:top w:w="70" w:type="dxa"/>
              <w:start w:w="90" w:type="dxa"/>
              <w:bottom w:w="70" w:type="dxa"/>
              <w:end w:w="90" w:type="dxa"/>
            </w:tcMar>
            <w:vAlign w:val="top"/>
            <w:shd w:fill="F2FAFE"/>
          </w:tcPr>
          <w:p>
            <w:pPr>
              <w:keepLines/>
              <w:widowControl/>
              <w:spacing w:after="0" w:before="0"/>
            </w:pPr>
            <w:r>
              <w:rPr>
                <w:sz w:val="16"/>
              </w:rPr>
              <w:t>Use raw part colours without multiplying by the skin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Replace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cl_vis_player_parts_replace_tint</w:t>
            </w:r>
          </w:p>
        </w:tc>
        <w:tc>
          <w:tcPr>
            <w:tcW w:type="dxa" w:w="1984"/>
            <w:tcMar>
              <w:top w:w="70" w:type="dxa"/>
              <w:start w:w="90" w:type="dxa"/>
              <w:bottom w:w="70" w:type="dxa"/>
              <w:end w:w="90" w:type="dxa"/>
            </w:tcMar>
            <w:vAlign w:val="top"/>
            <w:shd w:fill="FFFFFF"/>
          </w:tcPr>
          <w:p>
            <w:pPr>
              <w:keepLines/>
              <w:widowControl/>
              <w:spacing w:after="0" w:before="0"/>
            </w:pPr>
            <w:r>
              <w:rPr>
                <w:sz w:val="16"/>
              </w:rPr>
              <w:t>Replace the legacy whole-player tint with part tint instead of stacking both.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Head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cl_vis_player_parts_head_color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head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Arms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cl_vis_player_parts_arms_color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arms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Torso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cl_vis_player_parts_torso_color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torso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Legs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cl_vis_player_parts_legs_color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legs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Carried weapon custom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Head start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cl_vis_player_parts_head_start</w:t>
            </w:r>
          </w:p>
        </w:tc>
        <w:tc>
          <w:tcPr>
            <w:tcW w:type="dxa" w:w="1984"/>
            <w:tcMar>
              <w:top w:w="70" w:type="dxa"/>
              <w:start w:w="90" w:type="dxa"/>
              <w:bottom w:w="70" w:type="dxa"/>
              <w:end w:w="90" w:type="dxa"/>
            </w:tcMar>
            <w:vAlign w:val="top"/>
            <w:shd w:fill="FFFFFF"/>
          </w:tcPr>
          <w:p>
            <w:pPr>
              <w:keepLines/>
              <w:widowControl/>
              <w:spacing w:after="0" w:before="0"/>
            </w:pPr>
            <w:r>
              <w:rPr>
                <w:sz w:val="16"/>
              </w:rPr>
              <w:t>Normalized height where the head zone starts. Raise this if head colour leaks onto shoulders.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Border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cl_vis_player_parts_softness</w:t>
            </w:r>
          </w:p>
        </w:tc>
        <w:tc>
          <w:tcPr>
            <w:tcW w:type="dxa" w:w="1984"/>
            <w:tcMar>
              <w:top w:w="70" w:type="dxa"/>
              <w:start w:w="90" w:type="dxa"/>
              <w:bottom w:w="70" w:type="dxa"/>
              <w:end w:w="90" w:type="dxa"/>
            </w:tcMar>
            <w:vAlign w:val="top"/>
            <w:shd w:fill="F2FAFE"/>
          </w:tcPr>
          <w:p>
            <w:pPr>
              <w:keepLines/>
              <w:widowControl/>
              <w:spacing w:after="0" w:before="0"/>
            </w:pPr>
            <w:r>
              <w:rPr>
                <w:sz w:val="16"/>
              </w:rPr>
              <w:t>Softness of head/torso/legs transitions. Lower values make cleaner borders.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Legs 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cl_vis_player_parts_legs_end</w:t>
            </w:r>
          </w:p>
        </w:tc>
        <w:tc>
          <w:tcPr>
            <w:tcW w:type="dxa" w:w="1984"/>
            <w:tcMar>
              <w:top w:w="70" w:type="dxa"/>
              <w:start w:w="90" w:type="dxa"/>
              <w:bottom w:w="70" w:type="dxa"/>
              <w:end w:w="90" w:type="dxa"/>
            </w:tcMar>
            <w:vAlign w:val="top"/>
            <w:shd w:fill="FFFFFF"/>
          </w:tcPr>
          <w:p>
            <w:pPr>
              <w:keepLines/>
              <w:widowControl/>
              <w:spacing w:after="0" w:before="0"/>
            </w:pPr>
            <w:r>
              <w:rPr>
                <w:sz w:val="16"/>
              </w:rPr>
              <w:t>Normalized top of the legs zone.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Model male...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q2prox_vis_player_parts_male</w:t>
            </w:r>
          </w:p>
        </w:tc>
        <w:tc>
          <w:tcPr>
            <w:tcW w:type="dxa" w:w="1984"/>
            <w:tcMar>
              <w:top w:w="70" w:type="dxa"/>
              <w:start w:w="90" w:type="dxa"/>
              <w:bottom w:w="70" w:type="dxa"/>
              <w:end w:w="90" w:type="dxa"/>
            </w:tcMar>
            <w:vAlign w:val="top"/>
            <w:shd w:fill="FFFFFF"/>
          </w:tcPr>
          <w:p>
            <w:pPr>
              <w:keepLines/>
              <w:widowControl/>
              <w:spacing w:after="0" w:before="0"/>
            </w:pPr>
            <w:r>
              <w:rPr>
                <w:sz w:val="16"/>
              </w:rPr>
              <w:t>Separate part colours for the male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Model female...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q2prox_vis_player_parts_female</w:t>
            </w:r>
          </w:p>
        </w:tc>
        <w:tc>
          <w:tcPr>
            <w:tcW w:type="dxa" w:w="1984"/>
            <w:tcMar>
              <w:top w:w="70" w:type="dxa"/>
              <w:start w:w="90" w:type="dxa"/>
              <w:bottom w:w="70" w:type="dxa"/>
              <w:end w:w="90" w:type="dxa"/>
            </w:tcMar>
            <w:vAlign w:val="top"/>
            <w:shd w:fill="F2FAFE"/>
          </w:tcPr>
          <w:p>
            <w:pPr>
              <w:keepLines/>
              <w:widowControl/>
              <w:spacing w:after="0" w:before="0"/>
            </w:pPr>
            <w:r>
              <w:rPr>
                <w:sz w:val="16"/>
              </w:rPr>
              <w:t>Separate part colours for the female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Model cyborg...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q2prox_vis_player_parts_cyborg</w:t>
            </w:r>
          </w:p>
        </w:tc>
        <w:tc>
          <w:tcPr>
            <w:tcW w:type="dxa" w:w="1984"/>
            <w:tcMar>
              <w:top w:w="70" w:type="dxa"/>
              <w:start w:w="90" w:type="dxa"/>
              <w:bottom w:w="70" w:type="dxa"/>
              <w:end w:w="90" w:type="dxa"/>
            </w:tcMar>
            <w:vAlign w:val="top"/>
            <w:shd w:fill="FFFFFF"/>
          </w:tcPr>
          <w:p>
            <w:pPr>
              <w:keepLines/>
              <w:widowControl/>
              <w:spacing w:after="0" w:before="0"/>
            </w:pPr>
            <w:r>
              <w:rPr>
                <w:sz w:val="16"/>
              </w:rPr>
              <w:t>Separate part colours for the cyborg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reset cl_vis_player_parts_source; reset cl_vis_player_parts_weapon_source; reset cl_vis_player_parts_alpha; reset cl_vis_player_parts_brightness; reset cl_vis_player_parts_fullbright; reset cl_vis_player_parts_replace_tint; reset cl_vis_player_parts_debug; reset cl_vis_player_parts_head_color; reset cl_vis_player_parts_arms_color; reset cl_vis_player_parts_torso_color; reset cl_vis_player_parts_legs_color; reset cl_vis_player_parts_weapon_color; reset cl_vis_player_parts_head_start; reset cl_vis_player_parts_softness; reset cl_vis_player_parts_legs_end</w:t>
            </w:r>
          </w:p>
        </w:tc>
        <w:tc>
          <w:tcPr>
            <w:tcW w:type="dxa" w:w="1984"/>
            <w:tcMar>
              <w:top w:w="70" w:type="dxa"/>
              <w:start w:w="90" w:type="dxa"/>
              <w:bottom w:w="70" w:type="dxa"/>
              <w:end w:w="90" w:type="dxa"/>
            </w:tcMar>
            <w:vAlign w:val="top"/>
            <w:shd w:fill="F2FAFE"/>
          </w:tcPr>
          <w:p>
            <w:pPr>
              <w:keepLines/>
              <w:widowControl/>
              <w:spacing w:after="0" w:before="0"/>
            </w:pPr>
            <w:r>
              <w:rPr>
                <w:sz w:val="16"/>
              </w:rPr>
              <w:t>Reset this menu to defaults and refresh visible values immediately.</w:t>
            </w:r>
          </w:p>
        </w:tc>
      </w:tr>
    </w:tbl>
    <w:p>
      <w:pPr>
        <w:spacing w:after="20"/>
      </w:pPr>
    </w:p>
    <w:p>
      <w:bookmarkStart w:id="13" w:name="Q2PX_S0013"/>
      <w:pPr>
        <w:pStyle w:val="Heading2"/>
      </w:pPr>
      <w:r>
        <w:t>3.2. Separate sets per model</w:t>
      </w:r>
      <w:bookmarkEnd w:id="13"/>
    </w:p>
    <w:p>
      <w:pPr>
        <w:widowControl/>
      </w:pPr>
      <w:r>
        <w:t>The colour set can be shared, or separate for the male, female and cyborg models. Each of the three models has its own part-colour page.</w:t>
      </w:r>
    </w:p>
    <w:p>
      <w:bookmarkStart w:id="14" w:name="Q2PX_S0014"/>
      <w:pPr>
        <w:pStyle w:val="Heading2"/>
      </w:pPr>
      <w:r>
        <w:t>3.3. Tuning the body zones</w:t>
      </w:r>
      <w:bookmarkEnd w:id="14"/>
    </w:p>
    <w:p>
      <w:pPr>
        <w:widowControl/>
      </w:pPr>
      <w:r>
        <w:t>Three sliders solve the most common problem — one zone's colour spilling into its neighbour:</w:t>
      </w:r>
    </w:p>
    <w:p>
      <w:pPr>
        <w:pStyle w:val="ListBullet"/>
      </w:pPr>
      <w:r>
        <w:t xml:space="preserve">if the head colour spills onto the shoulders, </w:t>
      </w:r>
      <w:r>
        <w:rPr>
          <w:b/>
        </w:rPr>
        <w:t>raise the head start</w:t>
      </w:r>
      <w:r>
        <w:t>;</w:t>
      </w:r>
    </w:p>
    <w:p>
      <w:pPr>
        <w:pStyle w:val="ListBullet"/>
      </w:pPr>
      <w:r>
        <w:t xml:space="preserve">if the legs reach into the torso, </w:t>
      </w:r>
      <w:r>
        <w:rPr>
          <w:b/>
        </w:rPr>
        <w:t>lower the legs end</w:t>
      </w:r>
      <w:r>
        <w:t>;</w:t>
      </w:r>
    </w:p>
    <w:p>
      <w:pPr>
        <w:pStyle w:val="ListBullet"/>
      </w:pPr>
      <w:r>
        <w:t xml:space="preserve">if the boundaries are too blurred, </w:t>
      </w:r>
      <w:r>
        <w:rPr>
          <w:b/>
        </w:rPr>
        <w:t>reduce the boundary softness</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cl_vis_player_parts_head_start</w:t>
            </w:r>
          </w:p>
        </w:tc>
        <w:tc>
          <w:tcPr>
            <w:tcW w:type="dxa" w:w="3307"/>
            <w:tcMar>
              <w:top w:w="70" w:type="dxa"/>
              <w:start w:w="90" w:type="dxa"/>
              <w:bottom w:w="70" w:type="dxa"/>
              <w:end w:w="90" w:type="dxa"/>
            </w:tcMar>
            <w:vAlign w:val="top"/>
            <w:shd w:fill="F2FAFE"/>
          </w:tcPr>
          <w:p>
            <w:pPr>
              <w:keepLines/>
              <w:widowControl/>
              <w:spacing w:after="0" w:before="0"/>
            </w:pPr>
            <w:r>
              <w:rPr>
                <w:sz w:val="18"/>
              </w:rPr>
              <w:t>default 0.86 / range 0.60..0.98</w:t>
            </w:r>
          </w:p>
        </w:tc>
        <w:tc>
          <w:tcPr>
            <w:tcW w:type="dxa" w:w="3307"/>
            <w:tcMar>
              <w:top w:w="70" w:type="dxa"/>
              <w:start w:w="90" w:type="dxa"/>
              <w:bottom w:w="70" w:type="dxa"/>
              <w:end w:w="90" w:type="dxa"/>
            </w:tcMar>
            <w:vAlign w:val="top"/>
            <w:shd w:fill="F2FAFE"/>
          </w:tcPr>
          <w:p>
            <w:pPr>
              <w:keepLines/>
              <w:widowControl/>
              <w:spacing w:after="0" w:before="0"/>
            </w:pPr>
            <w:r>
              <w:rPr>
                <w:sz w:val="18"/>
              </w:rPr>
              <w:t>Normalized height where the head tint starts. Increase this when the head colour leaks onto shoulders; decrease it if the lower head/neck is not coloured enough. Default 0.86 is tighter than the first Phase-A prototype.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0.035 / range 0.005..0.20</w:t>
            </w:r>
          </w:p>
        </w:tc>
        <w:tc>
          <w:tcPr>
            <w:tcW w:type="dxa" w:w="3307"/>
            <w:tcMar>
              <w:top w:w="70" w:type="dxa"/>
              <w:start w:w="90" w:type="dxa"/>
              <w:bottom w:w="70" w:type="dxa"/>
              <w:end w:w="90" w:type="dxa"/>
            </w:tcMar>
            <w:vAlign w:val="top"/>
            <w:shd w:fill="FFFFFF"/>
          </w:tcPr>
          <w:p>
            <w:pPr>
              <w:keepLines/>
              <w:widowControl/>
              <w:spacing w:after="0" w:before="0"/>
            </w:pPr>
            <w:r>
              <w:rPr>
                <w:sz w:val="18"/>
              </w:rPr>
              <w:t>Soft transition width for head/torso/legs classifier. Smaller values produce cleaner borders; larger values blend colours more gradually. Default 0.035 reduces head colour bleed on shoulders.</w:t>
            </w:r>
          </w:p>
        </w:tc>
      </w:tr>
    </w:tbl>
    <w:p>
      <w:pPr>
        <w:spacing w:after="20"/>
      </w:pPr>
    </w:p>
    <w:p>
      <w:r>
        <w:br w:type="page"/>
      </w:r>
    </w:p>
    <w:p>
      <w:r>
        <w:br w:type="page"/>
      </w:r>
    </w:p>
    <w:p>
      <w:bookmarkStart w:id="15" w:name="Q2PX_S0015"/>
      <w:pPr>
        <w:pStyle w:val="Heading1"/>
      </w:pPr>
      <w:r>
        <w:t>4. Commands, presets and diagnostics</w:t>
      </w:r>
      <w:bookmarkEnd w:id="15"/>
    </w:p>
    <w:p>
      <w:pPr>
        <w:pStyle w:val="ListBullet"/>
      </w:pPr>
      <w:r>
        <w:rPr>
          <w:rFonts w:ascii="Cascadia Mono" w:hAnsi="Cascadia Mono" w:eastAsia="Cascadia Mono"/>
          <w:color w:val="153A5B"/>
          <w:sz w:val="17"/>
        </w:rPr>
        <w:t>cl_vis_items_info</w:t>
      </w:r>
      <w:r>
        <w:t xml:space="preserve"> prints the item classification and the current state of the visibility layer.</w:t>
      </w:r>
    </w:p>
    <w:p>
      <w:pPr>
        <w:pStyle w:val="ListBullet"/>
      </w:pPr>
      <w:r>
        <w:t>The visibility presets are collected on their own page and give you ready-made profiles.</w:t>
      </w:r>
    </w:p>
    <w:p>
      <w:pPr>
        <w:pStyle w:val="ListBullet"/>
      </w:pPr>
      <w:r>
        <w:t>For a clean competitive look, keep highlights and AVFX separate: choose the AVFX preset first, then apply a visibility preset or configure it by hand.</w:t>
      </w:r>
    </w:p>
    <w:p>
      <w:pPr>
        <w:widowControl/>
      </w:pPr>
      <w:r>
        <w:rPr>
          <w:b/>
        </w:rPr>
        <w:t>Q2PRO-X / Visual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Highlights + Visuals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q2pro-x/visual_presets/v_p_v_u.cfg</w:t>
            </w:r>
          </w:p>
        </w:tc>
        <w:tc>
          <w:tcPr>
            <w:tcW w:type="dxa" w:w="1984"/>
            <w:tcMar>
              <w:top w:w="70" w:type="dxa"/>
              <w:start w:w="90" w:type="dxa"/>
              <w:bottom w:w="70" w:type="dxa"/>
              <w:end w:w="90" w:type="dxa"/>
            </w:tcMar>
            <w:vAlign w:val="top"/>
            <w:shd w:fill="F2FAFE"/>
          </w:tcPr>
          <w:p>
            <w:pPr>
              <w:keepLines/>
              <w:widowControl/>
              <w:spacing w:after="0" w:before="0"/>
            </w:pPr>
            <w:r>
              <w:rPr>
                <w:sz w:val="16"/>
              </w:rPr>
              <w:t>Current visual highlights, weapon FX and Visual FX menu values. The AVFX global master is enabled and old runtime weather state is cleared.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Rain + Storm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q2pro-x/visual_presets/v_p_v_rs_u.cfg</w:t>
            </w:r>
          </w:p>
        </w:tc>
        <w:tc>
          <w:tcPr>
            <w:tcW w:type="dxa" w:w="1984"/>
            <w:tcMar>
              <w:top w:w="70" w:type="dxa"/>
              <w:start w:w="90" w:type="dxa"/>
              <w:bottom w:w="70" w:type="dxa"/>
              <w:end w:w="90" w:type="dxa"/>
            </w:tcMar>
            <w:vAlign w:val="top"/>
            <w:shd w:fill="FFFFFF"/>
          </w:tcPr>
          <w:p>
            <w:pPr>
              <w:keepLines/>
              <w:widowControl/>
              <w:spacing w:after="0" w:before="0"/>
            </w:pPr>
            <w:r>
              <w:rPr>
                <w:sz w:val="16"/>
              </w:rPr>
              <w:t>Rain+Storm Ultra AVFX plus current visibility highlights, weapon FX and Visual FX menu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q2pro-x/visual_presets/v_p_v_s_u.cfg</w:t>
            </w:r>
          </w:p>
        </w:tc>
        <w:tc>
          <w:tcPr>
            <w:tcW w:type="dxa" w:w="1984"/>
            <w:tcMar>
              <w:top w:w="70" w:type="dxa"/>
              <w:start w:w="90" w:type="dxa"/>
              <w:bottom w:w="70" w:type="dxa"/>
              <w:end w:w="90" w:type="dxa"/>
            </w:tcMar>
            <w:vAlign w:val="top"/>
            <w:shd w:fill="F2FAFE"/>
          </w:tcPr>
          <w:p>
            <w:pPr>
              <w:keepLines/>
              <w:widowControl/>
              <w:spacing w:after="0" w:before="0"/>
            </w:pPr>
            <w:r>
              <w:rPr>
                <w:sz w:val="16"/>
              </w:rPr>
              <w:t>Snow Ultra AVFX plus current visibility highlights, weapon FX and Visual FX menu values.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Default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q2pro-x/visual_presets/v_p_def.cfg</w:t>
            </w:r>
          </w:p>
        </w:tc>
        <w:tc>
          <w:tcPr>
            <w:tcW w:type="dxa" w:w="1984"/>
            <w:tcMar>
              <w:top w:w="70" w:type="dxa"/>
              <w:start w:w="90" w:type="dxa"/>
              <w:bottom w:w="70" w:type="dxa"/>
              <w:end w:w="90" w:type="dxa"/>
            </w:tcMar>
            <w:vAlign w:val="top"/>
            <w:shd w:fill="FFFFFF"/>
          </w:tcPr>
          <w:p>
            <w:pPr>
              <w:keepLines/>
              <w:widowControl/>
              <w:spacing w:after="0" w:before="0"/>
            </w:pPr>
            <w:r>
              <w:rPr>
                <w:sz w:val="16"/>
              </w:rPr>
              <w:t>Reset AVFX, highlights, weapon FX and Visual FX menu values to defaults. The AVFX global master remains enabled; highlight masters are disabled.</w:t>
            </w:r>
          </w:p>
        </w:tc>
      </w:tr>
    </w:tbl>
    <w:p>
      <w:pPr>
        <w:spacing w:after="20"/>
      </w:pPr>
    </w:p>
    <w:p>
      <w:bookmarkStart w:id="16" w:name="Q2PX_S0016"/>
      <w:pPr>
        <w:pStyle w:val="Heading2"/>
      </w:pPr>
      <w:r>
        <w:t>4.1. Where highlighting applies</w:t>
      </w:r>
      <w:bookmarkEnd w:id="1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0=multiplayer only / 1=also 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Also apply the visibility layer in singleplayer. When off, the highlight system only activates in multiplayer maps (</w:t>
            </w:r>
            <w:r>
              <w:rPr>
                <w:rFonts w:ascii="Cascadia Mono" w:hAnsi="Cascadia Mono" w:eastAsia="Cascadia Mono"/>
                <w:color w:val="153A5B"/>
                <w:sz w:val="17"/>
              </w:rPr>
              <w:t>cl.maxclients &gt; 1</w:t>
            </w:r>
            <w:r>
              <w:rPr>
                <w:sz w:val="18"/>
              </w:rPr>
              <w:t>) since most classic SP players dislike shell overlays on AI.</w:t>
            </w:r>
          </w:p>
        </w:tc>
      </w:tr>
    </w:tbl>
    <w:p>
      <w:pPr>
        <w:spacing w:after="20"/>
      </w:pPr>
    </w:p>
    <w:p>
      <w:pPr>
        <w:widowControl/>
      </w:pPr>
      <w:r>
        <w:t>By default the layer is aimed at online play and at watching recordings. A separate setting permits it in single player as well.</w:t>
      </w:r>
    </w:p>
    <w:p>
      <w:r>
        <w:br w:type="page"/>
      </w:r>
    </w:p>
    <w:p>
      <w:bookmarkStart w:id="17" w:name="Q2PX_S0017"/>
      <w:pPr>
        <w:pStyle w:val="Heading1"/>
      </w:pPr>
      <w:r>
        <w:t>5. Practical recipes</w:t>
      </w:r>
      <w:bookmarkEnd w:id="1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Demo analysis</w:t>
            </w:r>
          </w:p>
        </w:tc>
        <w:tc>
          <w:tcPr>
            <w:tcW w:type="dxa" w:w="4961"/>
            <w:tcMar>
              <w:top w:w="70" w:type="dxa"/>
              <w:start w:w="90" w:type="dxa"/>
              <w:bottom w:w="70" w:type="dxa"/>
              <w:end w:w="90" w:type="dxa"/>
            </w:tcMar>
            <w:vAlign w:val="top"/>
            <w:shd w:fill="F2FAFE"/>
          </w:tcPr>
          <w:p>
            <w:pPr>
              <w:keepLines/>
              <w:widowControl/>
              <w:spacing w:after="0" w:before="0"/>
            </w:pPr>
            <w:r>
              <w:rPr>
                <w:sz w:val="18"/>
              </w:rPr>
              <w:t>Model parts mode, brightness 1.5–2.5, shell-and-tint style, moderate opacity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Single player</w:t>
            </w:r>
          </w:p>
        </w:tc>
        <w:tc>
          <w:tcPr>
            <w:tcW w:type="dxa" w:w="4961"/>
            <w:tcMar>
              <w:top w:w="70" w:type="dxa"/>
              <w:start w:w="90" w:type="dxa"/>
              <w:bottom w:w="70" w:type="dxa"/>
              <w:end w:w="90" w:type="dxa"/>
            </w:tcMar>
            <w:vAlign w:val="top"/>
            <w:shd w:fill="FFFFFF"/>
          </w:tcPr>
          <w:p>
            <w:pPr>
              <w:keepLines/>
              <w:widowControl/>
              <w:spacing w:after="0" w:before="0"/>
            </w:pPr>
            <w:r>
              <w:rPr>
                <w:sz w:val="18"/>
              </w:rPr>
              <w:t>Item scale 1.3–1.8, weapon scale 1.2–1.5, permit the layer in single player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 good-looking showcase</w:t>
            </w:r>
          </w:p>
        </w:tc>
        <w:tc>
          <w:tcPr>
            <w:tcW w:type="dxa" w:w="4961"/>
            <w:tcMar>
              <w:top w:w="70" w:type="dxa"/>
              <w:start w:w="90" w:type="dxa"/>
              <w:bottom w:w="70" w:type="dxa"/>
              <w:end w:w="90" w:type="dxa"/>
            </w:tcMar>
            <w:vAlign w:val="top"/>
            <w:shd w:fill="F2FAFE"/>
          </w:tcPr>
          <w:p>
            <w:pPr>
              <w:keepLines/>
              <w:widowControl/>
              <w:spacing w:after="0" w:before="0"/>
            </w:pPr>
            <w:r>
              <w:rPr>
                <w:sz w:val="18"/>
              </w:rPr>
              <w:t>Part tint with pure colours off, so the skin texture is preserved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Maximum readability</w:t>
            </w:r>
          </w:p>
        </w:tc>
        <w:tc>
          <w:tcPr>
            <w:tcW w:type="dxa" w:w="4961"/>
            <w:tcMar>
              <w:top w:w="70" w:type="dxa"/>
              <w:start w:w="90" w:type="dxa"/>
              <w:bottom w:w="70" w:type="dxa"/>
              <w:end w:w="90" w:type="dxa"/>
            </w:tcMar>
            <w:vAlign w:val="top"/>
            <w:shd w:fill="FFFFFF"/>
          </w:tcPr>
          <w:p>
            <w:pPr>
              <w:keepLines/>
              <w:widowControl/>
              <w:spacing w:after="0" w:before="0"/>
            </w:pPr>
            <w:r>
              <w:rPr>
                <w:sz w:val="18"/>
              </w:rPr>
              <w:t>Pure colours on, tint replacement on, bright head, torso and leg colours</w:t>
            </w:r>
          </w:p>
        </w:tc>
      </w:tr>
    </w:tbl>
    <w:p>
      <w:pPr>
        <w:spacing w:after="20"/>
      </w:pPr>
    </w:p>
    <w:p>
      <w:r>
        <w:br w:type="page"/>
      </w:r>
    </w:p>
    <w:p>
      <w:bookmarkStart w:id="18" w:name="Q2PX_S0018"/>
      <w:pPr>
        <w:pStyle w:val="Heading1"/>
      </w:pPr>
      <w:r>
        <w:t>6. What highlighting does not do</w:t>
      </w:r>
      <w:bookmarkEnd w:id="18"/>
    </w:p>
    <w:p>
      <w:pPr>
        <w:pStyle w:val="ListBullet"/>
      </w:pPr>
      <w:r>
        <w:t>It does not change hitboxes and does not affect hit registration.</w:t>
      </w:r>
    </w:p>
    <w:p>
      <w:pPr>
        <w:pStyle w:val="ListBullet"/>
      </w:pPr>
      <w:r>
        <w:t>It does not show players through walls and reveals no hidden entities.</w:t>
      </w:r>
    </w:p>
    <w:p>
      <w:pPr>
        <w:pStyle w:val="ListBullet"/>
      </w:pPr>
      <w:r>
        <w:t>It does not change server rules and needs no server support.</w:t>
      </w:r>
    </w:p>
    <w:p>
      <w:pPr>
        <w:pStyle w:val="ListBullet"/>
      </w:pPr>
      <w:r>
        <w:t>It does not replace models or skins: it only colours what is already drawn.</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VISUAL HIGHLIGHTS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Visual Highlights Guide</dc:title>
  <dc:subject>Q2PRO-X 1.5 — Item, weapon and player visibility: colours, rules and model parts</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