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Cvars and Cvar Browser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How variables work, where they are saved, and how to use the browser</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 3 reference coverage</w:t>
        </w:r>
      </w:hyperlink>
    </w:p>
    <w:p>
      <w:pPr>
        <w:pStyle w:val="GuideContents1"/>
      </w:pPr>
      <w:hyperlink w:anchor="Q2PX_S0002">
        <w:r>
          <w:rPr>
            <w:rStyle w:val="Q2PX Link"/>
          </w:rPr>
          <w:t xml:space="preserve">Variables, configs and the cvar browser</w:t>
        </w:r>
      </w:hyperlink>
    </w:p>
    <w:p>
      <w:pPr>
        <w:pStyle w:val="GuideContents1"/>
      </w:pPr>
      <w:hyperlink w:anchor="Q2PX_S0003">
        <w:r>
          <w:rPr>
            <w:rStyle w:val="Q2PX Link"/>
          </w:rPr>
          <w:t xml:space="preserve">1. What a variable is</w:t>
        </w:r>
      </w:hyperlink>
    </w:p>
    <w:p>
      <w:pPr>
        <w:pStyle w:val="GuideContents1"/>
      </w:pPr>
      <w:hyperlink w:anchor="Q2PX_S0004">
        <w:r>
          <w:rPr>
            <w:rStyle w:val="Q2PX Link"/>
          </w:rPr>
          <w:t xml:space="preserve">2. The four places settings are saved</w:t>
        </w:r>
      </w:hyperlink>
    </w:p>
    <w:p>
      <w:pPr>
        <w:pStyle w:val="GuideContents2"/>
      </w:pPr>
      <w:hyperlink w:anchor="Q2PX_S0005">
        <w:r>
          <w:rPr>
            <w:rStyle w:val="Q2PX Link"/>
          </w:rPr>
          <w:t xml:space="preserve">2.1. Global settings</w:t>
        </w:r>
      </w:hyperlink>
    </w:p>
    <w:p>
      <w:pPr>
        <w:pStyle w:val="GuideContents2"/>
      </w:pPr>
      <w:hyperlink w:anchor="Q2PX_S0006">
        <w:r>
          <w:rPr>
            <w:rStyle w:val="Q2PX Link"/>
          </w:rPr>
          <w:t xml:space="preserve">2.2. Local settings of the base game</w:t>
        </w:r>
      </w:hyperlink>
    </w:p>
    <w:p>
      <w:pPr>
        <w:pStyle w:val="GuideContents2"/>
      </w:pPr>
      <w:hyperlink w:anchor="Q2PX_S0007">
        <w:r>
          <w:rPr>
            <w:rStyle w:val="Q2PX Link"/>
          </w:rPr>
          <w:t xml:space="preserve">2.3. Mod-dependent settings</w:t>
        </w:r>
      </w:hyperlink>
    </w:p>
    <w:p>
      <w:pPr>
        <w:pStyle w:val="GuideContents2"/>
      </w:pPr>
      <w:hyperlink w:anchor="Q2PX_S0008">
        <w:r>
          <w:rPr>
            <w:rStyle w:val="Q2PX Link"/>
          </w:rPr>
          <w:t xml:space="preserve">2.4. The demo visual profile</w:t>
        </w:r>
      </w:hyperlink>
    </w:p>
    <w:p>
      <w:pPr>
        <w:pStyle w:val="GuideContents1"/>
      </w:pPr>
      <w:hyperlink w:anchor="Q2PX_S0009">
        <w:r>
          <w:rPr>
            <w:rStyle w:val="Q2PX Link"/>
          </w:rPr>
          <w:t xml:space="preserve">3. Why the release ships no ready-made user config</w:t>
        </w:r>
      </w:hyperlink>
    </w:p>
    <w:p>
      <w:pPr>
        <w:pStyle w:val="GuideContents1"/>
      </w:pPr>
      <w:hyperlink w:anchor="Q2PX_S0010">
        <w:r>
          <w:rPr>
            <w:rStyle w:val="Q2PX Link"/>
          </w:rPr>
          <w:t xml:space="preserve">4. Schema migration</w:t>
        </w:r>
      </w:hyperlink>
    </w:p>
    <w:p>
      <w:pPr>
        <w:pStyle w:val="GuideContents1"/>
      </w:pPr>
      <w:hyperlink w:anchor="Q2PX_S0011">
        <w:r>
          <w:rPr>
            <w:rStyle w:val="Q2PX Link"/>
          </w:rPr>
          <w:t xml:space="preserve">5. Save and reset commands</w:t>
        </w:r>
      </w:hyperlink>
    </w:p>
    <w:p>
      <w:pPr>
        <w:pStyle w:val="GuideContents2"/>
      </w:pPr>
      <w:hyperlink w:anchor="Q2PX_S0012">
        <w:r>
          <w:rPr>
            <w:rStyle w:val="Q2PX Link"/>
          </w:rPr>
          <w:t xml:space="preserve">5.1. Autosave</w:t>
        </w:r>
      </w:hyperlink>
    </w:p>
    <w:p>
      <w:pPr>
        <w:pStyle w:val="GuideContents2"/>
      </w:pPr>
      <w:hyperlink w:anchor="Q2PX_S0013">
        <w:r>
          <w:rPr>
            <w:rStyle w:val="Q2PX Link"/>
          </w:rPr>
          <w:t xml:space="preserve">5.2. Full config write</w:t>
        </w:r>
      </w:hyperlink>
    </w:p>
    <w:p>
      <w:pPr>
        <w:pStyle w:val="GuideContents2"/>
      </w:pPr>
      <w:hyperlink w:anchor="Q2PX_S0014">
        <w:r>
          <w:rPr>
            <w:rStyle w:val="Q2PX Link"/>
          </w:rPr>
          <w:t xml:space="preserve">5.3. Why not to clean configs by hand</w:t>
        </w:r>
      </w:hyperlink>
    </w:p>
    <w:p>
      <w:pPr>
        <w:pStyle w:val="GuideContents1"/>
      </w:pPr>
      <w:hyperlink w:anchor="Q2PX_S0015">
        <w:r>
          <w:rPr>
            <w:rStyle w:val="Q2PX Link"/>
          </w:rPr>
          <w:t xml:space="preserve">6. The cvar browser</w:t>
        </w:r>
      </w:hyperlink>
    </w:p>
    <w:p>
      <w:pPr>
        <w:pStyle w:val="GuideContents2"/>
      </w:pPr>
      <w:hyperlink w:anchor="Q2PX_S0016">
        <w:r>
          <w:rPr>
            <w:rStyle w:val="Q2PX Link"/>
          </w:rPr>
          <w:t xml:space="preserve">6.1. The browser's own settings</w:t>
        </w:r>
      </w:hyperlink>
    </w:p>
    <w:p>
      <w:pPr>
        <w:pStyle w:val="GuideContents2"/>
      </w:pPr>
      <w:hyperlink w:anchor="Q2PX_S0017">
        <w:r>
          <w:rPr>
            <w:rStyle w:val="Q2PX Link"/>
          </w:rPr>
          <w:t xml:space="preserve">6.2. Tabs</w:t>
        </w:r>
      </w:hyperlink>
    </w:p>
    <w:p>
      <w:pPr>
        <w:pStyle w:val="GuideContents2"/>
      </w:pPr>
      <w:hyperlink w:anchor="Q2PX_S0018">
        <w:r>
          <w:rPr>
            <w:rStyle w:val="Q2PX Link"/>
          </w:rPr>
          <w:t xml:space="preserve">6.3. What the window can do</w:t>
        </w:r>
      </w:hyperlink>
    </w:p>
    <w:p>
      <w:pPr>
        <w:pStyle w:val="GuideContents2"/>
      </w:pPr>
      <w:hyperlink w:anchor="Q2PX_S0019">
        <w:r>
          <w:rPr>
            <w:rStyle w:val="Q2PX Link"/>
          </w:rPr>
          <w:t xml:space="preserve">6.4. Favourites</w:t>
        </w:r>
      </w:hyperlink>
    </w:p>
    <w:p>
      <w:pPr>
        <w:pStyle w:val="GuideContents2"/>
      </w:pPr>
      <w:hyperlink w:anchor="Q2PX_S0020">
        <w:r>
          <w:rPr>
            <w:rStyle w:val="Q2PX Link"/>
          </w:rPr>
          <w:t xml:space="preserve">6.5. The Commands tab</w:t>
        </w:r>
      </w:hyperlink>
    </w:p>
    <w:p>
      <w:pPr>
        <w:pStyle w:val="GuideContents2"/>
      </w:pPr>
      <w:hyperlink w:anchor="Q2PX_S0021">
        <w:r>
          <w:rPr>
            <w:rStyle w:val="Q2PX Link"/>
          </w:rPr>
          <w:t xml:space="preserve">6.6. Search</w:t>
        </w:r>
      </w:hyperlink>
    </w:p>
    <w:p>
      <w:pPr>
        <w:pStyle w:val="GuideContents1"/>
      </w:pPr>
      <w:hyperlink w:anchor="Q2PX_S0022">
        <w:r>
          <w:rPr>
            <w:rStyle w:val="Q2PX Link"/>
          </w:rPr>
          <w:t xml:space="preserve">7. The browser's language and appearance</w:t>
        </w:r>
      </w:hyperlink>
    </w:p>
    <w:p>
      <w:pPr>
        <w:pStyle w:val="GuideContents1"/>
      </w:pPr>
      <w:hyperlink w:anchor="Q2PX_S0023">
        <w:r>
          <w:rPr>
            <w:rStyle w:val="Q2PX Link"/>
          </w:rPr>
          <w:t xml:space="preserve">8. Short recipes</w:t>
        </w:r>
      </w:hyperlink>
    </w:p>
    <w:p>
      <w:pPr>
        <w:pStyle w:val="GuideContents2"/>
      </w:pPr>
      <w:hyperlink w:anchor="Q2PX_S0024">
        <w:r>
          <w:rPr>
            <w:rStyle w:val="Q2PX Link"/>
          </w:rPr>
          <w:t xml:space="preserve">Save everything before quitting</w:t>
        </w:r>
      </w:hyperlink>
    </w:p>
    <w:p>
      <w:pPr>
        <w:pStyle w:val="GuideContents2"/>
      </w:pPr>
      <w:hyperlink w:anchor="Q2PX_S0025">
        <w:r>
          <w:rPr>
            <w:rStyle w:val="Q2PX Link"/>
          </w:rPr>
          <w:t xml:space="preserve">Reset the demo visuals only</w:t>
        </w:r>
      </w:hyperlink>
    </w:p>
    <w:p>
      <w:pPr>
        <w:pStyle w:val="GuideContents2"/>
      </w:pPr>
      <w:hyperlink w:anchor="Q2PX_S0026">
        <w:r>
          <w:rPr>
            <w:rStyle w:val="Q2PX Link"/>
          </w:rPr>
          <w:t xml:space="preserve">Find every demo variable</w:t>
        </w:r>
      </w:hyperlink>
    </w:p>
    <w:p>
      <w:pPr>
        <w:pStyle w:val="GuideContents2"/>
      </w:pPr>
      <w:hyperlink w:anchor="Q2PX_S0027">
        <w:r>
          <w:rPr>
            <w:rStyle w:val="Q2PX Link"/>
          </w:rPr>
          <w:t xml:space="preserve">Work out why a value is not saved</w:t>
        </w:r>
      </w:hyperlink>
    </w:p>
    <w:p>
      <w:pPr>
        <w:pStyle w:val="GuideContents1"/>
      </w:pPr>
      <w:hyperlink w:anchor="Q2PX_S0028">
        <w:r>
          <w:rPr>
            <w:rStyle w:val="Q2PX Link"/>
          </w:rPr>
          <w:t xml:space="preserve">9. The printed reference</w:t>
        </w:r>
      </w:hyperlink>
    </w:p>
    <w:p>
      <w:pPr>
        <w:pStyle w:val="GuideContents1"/>
      </w:pPr>
      <w:hyperlink w:anchor="Q2PX_S0029">
        <w:r>
          <w:rPr>
            <w:rStyle w:val="Q2PX Link"/>
          </w:rPr>
          <w:t xml:space="preserve">Command and menu help in Beta 5</w:t>
        </w:r>
      </w:hyperlink>
    </w:p>
    <w:p>
      <w:pPr>
        <w:spacing w:after="0"/>
      </w:pPr>
      <w:r>
        <w:br w:type="page"/>
      </w:r>
    </w:p>
    <w:p>
      <w:bookmarkStart w:id="1" w:name="Q2PX_S0001"/>
      <w:pPr>
        <w:pStyle w:val="Heading1"/>
      </w:pPr>
      <w:r>
        <w:t>Beta 3 reference coverage</w:t>
      </w:r>
      <w:bookmarkEnd w:id="1"/>
    </w:p>
    <w:p>
      <w:pPr>
        <w:widowControl/>
      </w:pPr>
      <w:r>
        <w:t>Added 106 missing RU/EN entries covering health ambient, part/item highlights, volume categories and window mode. Search exposes current descriptions and value hints. Diagnostic variables and ambient status are not ordinary saved gameplay settings.</w:t>
      </w:r>
    </w:p>
    <w:p>
      <w:r>
        <w:br w:type="page"/>
      </w:r>
    </w:p>
    <w:p>
      <w:r>
        <w:br w:type="page"/>
      </w:r>
    </w:p>
    <w:p>
      <w:bookmarkStart w:id="2" w:name="Q2PX_S0002"/>
      <w:pPr>
        <w:pStyle w:val="Heading1"/>
      </w:pPr>
      <w:r>
        <w:t>Variables, configs and the cvar browser</w:t>
      </w:r>
      <w:bookmarkEnd w:id="2"/>
    </w:p>
    <w:p>
      <w:pPr>
        <w:widowControl/>
      </w:pPr>
      <w:r>
        <w:t>This document explains how variables work in Q2PRO-X, what scopes they have, how settings are saved, and how the built-in cvar browser is used.</w:t>
      </w:r>
    </w:p>
    <w:p>
      <w:r>
        <w:br w:type="page"/>
      </w:r>
    </w:p>
    <w:p>
      <w:bookmarkStart w:id="3" w:name="Q2PX_S0003"/>
      <w:pPr>
        <w:pStyle w:val="Heading1"/>
      </w:pPr>
      <w:r>
        <w:t>1. What a variable is</w:t>
      </w:r>
      <w:bookmarkEnd w:id="3"/>
    </w:p>
    <w:p>
      <w:pPr>
        <w:widowControl/>
      </w:pPr>
      <w:r>
        <w:t>A variable (</w:t>
      </w:r>
      <w:r>
        <w:rPr>
          <w:rFonts w:ascii="Cascadia Mono" w:hAnsi="Cascadia Mono" w:eastAsia="Cascadia Mono"/>
          <w:color w:val="153A5B"/>
          <w:sz w:val="17"/>
        </w:rPr>
        <w:t>cvar</w:t>
      </w:r>
      <w:r>
        <w:t>) is a named engine setting you can:</w:t>
      </w:r>
    </w:p>
    <w:p>
      <w:pPr>
        <w:pStyle w:val="ListBullet"/>
      </w:pPr>
      <w:r>
        <w:t>read in the console;</w:t>
      </w:r>
    </w:p>
    <w:p>
      <w:pPr>
        <w:pStyle w:val="ListBullet"/>
      </w:pPr>
      <w:r>
        <w:t>change in the console;</w:t>
      </w:r>
    </w:p>
    <w:p>
      <w:pPr>
        <w:pStyle w:val="ListBullet"/>
      </w:pPr>
      <w:r>
        <w:t>change in the menu;</w:t>
      </w:r>
    </w:p>
    <w:p>
      <w:pPr>
        <w:pStyle w:val="ListBullet"/>
      </w:pPr>
      <w:r>
        <w:t>save to a settings file;</w:t>
      </w:r>
    </w:p>
    <w:p>
      <w:pPr>
        <w:pStyle w:val="ListBullet"/>
      </w:pPr>
      <w:r>
        <w:t>use as state for the interface and for runtime logic.</w:t>
      </w:r>
    </w:p>
    <w:p>
      <w:pPr>
        <w:widowControl/>
      </w:pPr>
      <w:r>
        <w:t xml:space="preserve">Examples: </w:t>
      </w:r>
      <w:r>
        <w:rPr>
          <w:rFonts w:ascii="Cascadia Mono" w:hAnsi="Cascadia Mono" w:eastAsia="Cascadia Mono"/>
          <w:color w:val="153A5B"/>
          <w:sz w:val="17"/>
        </w:rPr>
        <w:t>sensitivity</w:t>
      </w:r>
      <w:r>
        <w:t xml:space="preserve">, </w:t>
      </w:r>
      <w:r>
        <w:rPr>
          <w:rFonts w:ascii="Cascadia Mono" w:hAnsi="Cascadia Mono" w:eastAsia="Cascadia Mono"/>
          <w:color w:val="153A5B"/>
          <w:sz w:val="17"/>
        </w:rPr>
        <w:t>vid_driver</w:t>
      </w:r>
      <w:r>
        <w:t xml:space="preserve">, </w:t>
      </w:r>
      <w:r>
        <w:rPr>
          <w:rFonts w:ascii="Cascadia Mono" w:hAnsi="Cascadia Mono" w:eastAsia="Cascadia Mono"/>
          <w:color w:val="153A5B"/>
          <w:sz w:val="17"/>
        </w:rPr>
        <w:t>cl_vis_enable</w:t>
      </w:r>
      <w:r>
        <w:t xml:space="preserve">, </w:t>
      </w:r>
      <w:r>
        <w:rPr>
          <w:rFonts w:ascii="Cascadia Mono" w:hAnsi="Cascadia Mono" w:eastAsia="Cascadia Mono"/>
          <w:color w:val="153A5B"/>
          <w:sz w:val="17"/>
        </w:rPr>
        <w:t>cl_avfx</w:t>
      </w:r>
      <w:r>
        <w:t xml:space="preserve">, </w:t>
      </w:r>
      <w:r>
        <w:rPr>
          <w:rFonts w:ascii="Cascadia Mono" w:hAnsi="Cascadia Mono" w:eastAsia="Cascadia Mono"/>
          <w:color w:val="153A5B"/>
          <w:sz w:val="17"/>
        </w:rPr>
        <w:t>cl_it</w:t>
      </w:r>
      <w:r>
        <w:t>.</w:t>
      </w:r>
    </w:p>
    <w:p>
      <w:pPr>
        <w:widowControl/>
      </w:pPr>
      <w:r>
        <w:t xml:space="preserve">Most Q2PRO-X user variables have a clear </w:t>
      </w:r>
      <w:r>
        <w:rPr>
          <w:b/>
        </w:rPr>
        <w:t>scope</w:t>
      </w:r>
      <w:r>
        <w:t>, so a setting is saved where it belongs.</w:t>
      </w:r>
    </w:p>
    <w:p>
      <w:r>
        <w:br w:type="page"/>
      </w:r>
    </w:p>
    <w:p>
      <w:r>
        <w:br w:type="page"/>
      </w:r>
    </w:p>
    <w:p>
      <w:bookmarkStart w:id="4" w:name="Q2PX_S0004"/>
      <w:pPr>
        <w:pStyle w:val="Heading1"/>
      </w:pPr>
      <w:r>
        <w:t>2. The four places settings are saved</w:t>
      </w:r>
      <w:bookmarkEnd w:id="4"/>
    </w:p>
    <w:p>
      <w:bookmarkStart w:id="5" w:name="Q2PX_S0005"/>
      <w:pPr>
        <w:pStyle w:val="Heading2"/>
      </w:pPr>
      <w:r>
        <w:t>2.1. Global settings</w:t>
      </w:r>
      <w:bookmarkEnd w:id="5"/>
    </w:p>
    <w:p>
      <w:pPr>
        <w:pStyle w:val="GuideCode"/>
      </w:pPr>
      <w:r>
        <w:t>baseq2\q2pro-x\q2pro-x.cfg</w:t>
      </w:r>
    </w:p>
    <w:p>
      <w:pPr>
        <w:spacing w:after="20"/>
      </w:pPr>
    </w:p>
    <w:p>
      <w:pPr>
        <w:widowControl/>
      </w:pPr>
      <w:r>
        <w:t>These are the things that are normally the same everywhere:</w:t>
      </w:r>
    </w:p>
    <w:p>
      <w:pPr>
        <w:pStyle w:val="ListBullet"/>
      </w:pPr>
      <w:r>
        <w:t>the menu and the interface;</w:t>
      </w:r>
    </w:p>
    <w:p>
      <w:pPr>
        <w:pStyle w:val="ListBullet"/>
      </w:pPr>
      <w:r>
        <w:t>language and typography;</w:t>
      </w:r>
    </w:p>
    <w:p>
      <w:pPr>
        <w:pStyle w:val="ListBullet"/>
      </w:pPr>
      <w:r>
        <w:t>mouse and zoom;</w:t>
      </w:r>
    </w:p>
    <w:p>
      <w:pPr>
        <w:pStyle w:val="ListBullet"/>
      </w:pPr>
      <w:r>
        <w:t>the video backend;</w:t>
      </w:r>
    </w:p>
    <w:p>
      <w:pPr>
        <w:pStyle w:val="ListBullet"/>
      </w:pPr>
      <w:r>
        <w:t>voice chat;</w:t>
      </w:r>
    </w:p>
    <w:p>
      <w:pPr>
        <w:pStyle w:val="ListBullet"/>
      </w:pPr>
      <w:r>
        <w:t>the server browser;</w:t>
      </w:r>
    </w:p>
    <w:p>
      <w:pPr>
        <w:pStyle w:val="ListBullet"/>
      </w:pPr>
      <w:r>
        <w:t>the general demo browser and player settings;</w:t>
      </w:r>
    </w:p>
    <w:p>
      <w:pPr>
        <w:pStyle w:val="ListBullet"/>
      </w:pPr>
      <w:r>
        <w:t>the cvar reference;</w:t>
      </w:r>
    </w:p>
    <w:p>
      <w:pPr>
        <w:pStyle w:val="ListBullet"/>
      </w:pPr>
      <w:r>
        <w:t>the network tools.</w:t>
      </w:r>
    </w:p>
    <w:p>
      <w:pPr>
        <w:widowControl/>
      </w:pPr>
      <w:r>
        <w:t xml:space="preserve">In the menu such rows carry the </w:t>
      </w:r>
      <w:r>
        <w:rPr>
          <w:b/>
        </w:rPr>
        <w:t>(G)</w:t>
      </w:r>
      <w:r>
        <w:t xml:space="preserve"> badge.</w:t>
      </w:r>
    </w:p>
    <w:p>
      <w:bookmarkStart w:id="6" w:name="Q2PX_S0006"/>
      <w:pPr>
        <w:pStyle w:val="Heading2"/>
      </w:pPr>
      <w:r>
        <w:t>2.2. Local settings of the base game</w:t>
      </w:r>
      <w:bookmarkEnd w:id="6"/>
    </w:p>
    <w:p>
      <w:pPr>
        <w:pStyle w:val="GuideCode"/>
      </w:pPr>
      <w:r>
        <w:t>baseq2\q2pro-x\q2pro-x.local.cfg</w:t>
      </w:r>
    </w:p>
    <w:p>
      <w:pPr>
        <w:spacing w:after="20"/>
      </w:pPr>
    </w:p>
    <w:p>
      <w:pPr>
        <w:widowControl/>
      </w:pPr>
      <w:r>
        <w:t>This holds the client's local settings while the base game is active: the visual layer, the highlights, the colours, a large part of the render profile, and the local binds.</w:t>
      </w:r>
    </w:p>
    <w:p>
      <w:bookmarkStart w:id="7" w:name="Q2PX_S0007"/>
      <w:pPr>
        <w:pStyle w:val="Heading2"/>
      </w:pPr>
      <w:r>
        <w:t>2.3. Mod-dependent settings</w:t>
      </w:r>
      <w:bookmarkEnd w:id="7"/>
    </w:p>
    <w:p>
      <w:pPr>
        <w:pStyle w:val="GuideCode"/>
      </w:pPr>
      <w:r>
        <w:t>&lt;mod folder&gt;\q2pro-x\q2pro-x.cfg</w:t>
      </w:r>
    </w:p>
    <w:p>
      <w:pPr>
        <w:spacing w:after="20"/>
      </w:pPr>
    </w:p>
    <w:p>
      <w:pPr>
        <w:widowControl/>
      </w:pPr>
      <w:r>
        <w:t xml:space="preserve">The same local settings while a mod is active. That is how one visual profile can differ between mods. In the menu such rows carry the </w:t>
      </w:r>
      <w:r>
        <w:rPr>
          <w:b/>
        </w:rPr>
        <w:t>(M)</w:t>
      </w:r>
      <w:r>
        <w:t xml:space="preserve"> badge.</w:t>
      </w:r>
    </w:p>
    <w:p>
      <w:bookmarkStart w:id="8" w:name="Q2PX_S0008"/>
      <w:pPr>
        <w:pStyle w:val="Heading2"/>
      </w:pPr>
      <w:r>
        <w:t>2.4. The demo visual profile</w:t>
      </w:r>
      <w:bookmarkEnd w:id="8"/>
    </w:p>
    <w:p>
      <w:pPr>
        <w:pStyle w:val="GuideCode"/>
      </w:pPr>
      <w:r>
        <w:t>baseq2\q2pro-x\demo_visual\q2pro-x.demo.cfg</w:t>
      </w:r>
    </w:p>
    <w:p>
      <w:pPr>
        <w:spacing w:after="20"/>
      </w:pPr>
    </w:p>
    <w:p>
      <w:pPr>
        <w:widowControl/>
      </w:pPr>
      <w:r>
        <w:t xml:space="preserve">While </w:t>
      </w:r>
      <w:r>
        <w:rPr>
          <w:rFonts w:ascii="Cascadia Mono" w:hAnsi="Cascadia Mono" w:eastAsia="Cascadia Mono"/>
          <w:color w:val="153A5B"/>
          <w:sz w:val="17"/>
        </w:rPr>
        <w:t>.dm2</w:t>
      </w:r>
      <w:r>
        <w:t xml:space="preserve"> and </w:t>
      </w:r>
      <w:r>
        <w:rPr>
          <w:rFonts w:ascii="Cascadia Mono" w:hAnsi="Cascadia Mono" w:eastAsia="Cascadia Mono"/>
          <w:color w:val="153A5B"/>
          <w:sz w:val="17"/>
        </w:rPr>
        <w:t>.mvd2</w:t>
      </w:r>
      <w:r>
        <w:t xml:space="preserve"> recordings are being watched, the local visual settings are written into one shared profile instead of the mod folder. That is what makes recordings from different mods look the same.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 simple rule.</w:t>
            </w:r>
            <w:r>
              <w:t xml:space="preserve"> Mouse, sound, voice, network and interface are global. A mod's visuals, highlights and appearance are local. Those same visual settings while watching a recording go into the demo profile.</w:t>
            </w:r>
          </w:p>
        </w:tc>
      </w:tr>
    </w:tbl>
    <w:p>
      <w:pPr>
        <w:spacing w:after="40"/>
      </w:pPr>
    </w:p>
    <w:p>
      <w:r>
        <w:br w:type="page"/>
      </w:r>
    </w:p>
    <w:p>
      <w:r>
        <w:br w:type="page"/>
      </w:r>
    </w:p>
    <w:p>
      <w:bookmarkStart w:id="9" w:name="Q2PX_S0009"/>
      <w:pPr>
        <w:pStyle w:val="Heading1"/>
      </w:pPr>
      <w:r>
        <w:t>3. Why the release ships no ready-made user config</w:t>
      </w:r>
      <w:bookmarkEnd w:id="9"/>
    </w:p>
    <w:p>
      <w:pPr>
        <w:widowControl/>
      </w:pPr>
      <w:r>
        <w:t xml:space="preserve">The release package does not place a user </w:t>
      </w:r>
      <w:r>
        <w:rPr>
          <w:rFonts w:ascii="Cascadia Mono" w:hAnsi="Cascadia Mono" w:eastAsia="Cascadia Mono"/>
          <w:color w:val="153A5B"/>
          <w:sz w:val="17"/>
        </w:rPr>
        <w:t>q2pro-x.cfg</w:t>
      </w:r>
      <w:r>
        <w:t xml:space="preserve"> in </w:t>
      </w:r>
      <w:r>
        <w:rPr>
          <w:rFonts w:ascii="Cascadia Mono" w:hAnsi="Cascadia Mono" w:eastAsia="Cascadia Mono"/>
          <w:color w:val="153A5B"/>
          <w:sz w:val="17"/>
        </w:rPr>
        <w:t>baseq2</w:t>
      </w:r>
      <w:r>
        <w:t>. That is deliberate:</w:t>
      </w:r>
    </w:p>
    <w:p>
      <w:pPr>
        <w:pStyle w:val="ListBullet"/>
      </w:pPr>
      <w:r>
        <w:t>so an existing user config is never overwritten;</w:t>
      </w:r>
    </w:p>
    <w:p>
      <w:pPr>
        <w:pStyle w:val="ListBullet"/>
      </w:pPr>
      <w:r>
        <w:t>so no foreign local state or demo profile is brought along;</w:t>
      </w:r>
    </w:p>
    <w:p>
      <w:pPr>
        <w:pStyle w:val="ListBullet"/>
      </w:pPr>
      <w:r>
        <w:t>so the package is never mixed with a personal profile;</w:t>
      </w:r>
    </w:p>
    <w:p>
      <w:pPr>
        <w:pStyle w:val="ListBullet"/>
      </w:pPr>
      <w:r>
        <w:t>so the engine can create a clean file on the first save.</w:t>
      </w:r>
    </w:p>
    <w:p>
      <w:pPr>
        <w:widowControl/>
      </w:pPr>
      <w:r>
        <w:t>If the file is absent, Q2PRO-X starts from its built-in defaults and creates its own files when settings are saved.</w:t>
      </w:r>
    </w:p>
    <w:p>
      <w:r>
        <w:br w:type="page"/>
      </w:r>
    </w:p>
    <w:p>
      <w:bookmarkStart w:id="10" w:name="Q2PX_S0010"/>
      <w:pPr>
        <w:pStyle w:val="Heading1"/>
      </w:pPr>
      <w:r>
        <w:t>4. Schema migration</w:t>
      </w:r>
      <w:bookmarkEnd w:id="10"/>
    </w:p>
    <w:p>
      <w:pPr>
        <w:widowControl/>
      </w:pPr>
      <w:r>
        <w:t xml:space="preserve">The internal marker </w:t>
      </w:r>
      <w:r>
        <w:rPr>
          <w:rFonts w:ascii="Cascadia Mono" w:hAnsi="Cascadia Mono" w:eastAsia="Cascadia Mono"/>
          <w:color w:val="153A5B"/>
          <w:sz w:val="17"/>
        </w:rPr>
        <w:t>cl_q2prox_cfg_version</w:t>
      </w:r>
      <w:r>
        <w:t xml:space="preserve"> records which settings schema has already been applied to your profile.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cl_q2prox_cfg_version</w:t>
            </w:r>
          </w:p>
        </w:tc>
        <w:tc>
          <w:tcPr>
            <w:tcW w:type="dxa" w:w="3307"/>
            <w:tcMar>
              <w:top w:w="70" w:type="dxa"/>
              <w:start w:w="90" w:type="dxa"/>
              <w:bottom w:w="70" w:type="dxa"/>
              <w:end w:w="90" w:type="dxa"/>
            </w:tcMar>
            <w:vAlign w:val="top"/>
            <w:shd w:fill="F2FAFE"/>
          </w:tcPr>
          <w:p>
            <w:pPr>
              <w:keepLines/>
              <w:widowControl/>
              <w:spacing w:after="0" w:before="0"/>
            </w:pPr>
            <w:r>
              <w:rPr>
                <w:sz w:val="18"/>
              </w:rPr>
              <w:t>internal schema marker (0=pre-1.2 / 1.2=onboarding / 1.5=startup menu / 1.51=exact fullscreen default / 1.52=safe GLOBAL migration / 1.53=complete GL coverage)</w:t>
            </w:r>
          </w:p>
        </w:tc>
        <w:tc>
          <w:tcPr>
            <w:tcW w:type="dxa" w:w="3307"/>
            <w:tcMar>
              <w:top w:w="70" w:type="dxa"/>
              <w:start w:w="90" w:type="dxa"/>
              <w:bottom w:w="70" w:type="dxa"/>
              <w:end w:w="90" w:type="dxa"/>
            </w:tcMar>
            <w:vAlign w:val="top"/>
            <w:shd w:fill="F2FAFE"/>
          </w:tcPr>
          <w:p>
            <w:pPr>
              <w:keepLines/>
              <w:widowControl/>
              <w:spacing w:after="0" w:before="0"/>
            </w:pPr>
            <w:r>
              <w:rPr>
                <w:sz w:val="18"/>
              </w:rPr>
              <w:t>Internal Q2PRO-X GLOBAL config schema marker, read from the physical baseq2/q2pro-x/q2pro-x.cfg rather than from the live cvar so a legacy config cannot spoof completion. Tracks which version-gated migrations were applied exactly once. Missing/0 receives the 1.2 onboarding preset; 1.5 enables the idle-start main menu; 1.51 migrates the former serialized desktop-fullscreen automatic margin to the new exact-size default; 1.52 completes safe add-only GLOBAL ownership migration; 1.53 extends the audited GL coverage to previously omitted user preferences such as gl_bloom_sigma. Existing records always win. The marker advances only after the GLOBAL target has been written and validated, and a newer marker from a future build is never downgraded. Not a user preference and not exposed in the config menu.</w:t>
            </w:r>
          </w:p>
        </w:tc>
      </w:tr>
    </w:tbl>
    <w:p>
      <w:pPr>
        <w:spacing w:after="20"/>
      </w:pPr>
    </w:p>
    <w:p>
      <w:pPr>
        <w:widowControl/>
      </w:pPr>
      <w:r>
        <w:t>If the marker is absent or older than the current one, the engine applies only the safe recommended settings and writes the new marker. The migration does not repeat on the next launch.</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 xml:space="preserve">This is </w:t>
            </w:r>
            <w:r>
              <w:rPr>
                <w:b/>
              </w:rPr>
              <w:t>not</w:t>
            </w:r>
            <w:r>
              <w:t xml:space="preserve"> a full reset. Your sensitivity, sound, voice, mouse, zoom and other settings are not reset.</w:t>
            </w:r>
          </w:p>
        </w:tc>
      </w:tr>
    </w:tbl>
    <w:p>
      <w:pPr>
        <w:spacing w:after="40"/>
      </w:pPr>
    </w:p>
    <w:p>
      <w:pPr>
        <w:widowControl/>
      </w:pPr>
      <w:r>
        <w:t xml:space="preserve">Migration from legacy configs is strictly </w:t>
      </w:r>
      <w:r>
        <w:rPr>
          <w:b/>
        </w:rPr>
        <w:t>add-only</w:t>
      </w:r>
      <w:r>
        <w:t>: it adds missing supported values and never overwrites settings and binds that are already stored. The stock game configs remain immutable input sources.</w:t>
      </w:r>
    </w:p>
    <w:p>
      <w:r>
        <w:br w:type="page"/>
      </w:r>
    </w:p>
    <w:p>
      <w:r>
        <w:br w:type="page"/>
      </w:r>
    </w:p>
    <w:p>
      <w:bookmarkStart w:id="11" w:name="Q2PX_S0011"/>
      <w:pPr>
        <w:pStyle w:val="Heading1"/>
      </w:pPr>
      <w:r>
        <w:t>5. Save and reset commands</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w:t>
            </w:r>
          </w:p>
        </w:tc>
        <w:tc>
          <w:tcPr>
            <w:tcW w:type="dxa" w:w="4961"/>
            <w:tcMar>
              <w:top w:w="70" w:type="dxa"/>
              <w:start w:w="90" w:type="dxa"/>
              <w:bottom w:w="70" w:type="dxa"/>
              <w:end w:w="90" w:type="dxa"/>
            </w:tcMar>
            <w:vAlign w:val="top"/>
            <w:shd w:fill="F2FAFE"/>
          </w:tcPr>
          <w:p>
            <w:pPr>
              <w:keepLines/>
              <w:widowControl/>
              <w:spacing w:after="0" w:before="0"/>
            </w:pPr>
            <w:r>
              <w:rPr>
                <w:sz w:val="18"/>
              </w:rPr>
              <w:t>Save the global and the local profiles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q2prox_cfg_save_global</w:t>
            </w:r>
          </w:p>
        </w:tc>
        <w:tc>
          <w:tcPr>
            <w:tcW w:type="dxa" w:w="4961"/>
            <w:tcMar>
              <w:top w:w="70" w:type="dxa"/>
              <w:start w:w="90" w:type="dxa"/>
              <w:bottom w:w="70" w:type="dxa"/>
              <w:end w:w="90" w:type="dxa"/>
            </w:tcMar>
            <w:vAlign w:val="top"/>
            <w:shd w:fill="FFFFFF"/>
          </w:tcPr>
          <w:p>
            <w:pPr>
              <w:keepLines/>
              <w:widowControl/>
              <w:spacing w:after="0" w:before="0"/>
            </w:pPr>
            <w:r>
              <w:rPr>
                <w:sz w:val="18"/>
              </w:rPr>
              <w:t>Save the global profile only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q2prox_cfg_save_local</w:t>
            </w:r>
          </w:p>
        </w:tc>
        <w:tc>
          <w:tcPr>
            <w:tcW w:type="dxa" w:w="4961"/>
            <w:tcMar>
              <w:top w:w="70" w:type="dxa"/>
              <w:start w:w="90" w:type="dxa"/>
              <w:bottom w:w="70" w:type="dxa"/>
              <w:end w:w="90" w:type="dxa"/>
            </w:tcMar>
            <w:vAlign w:val="top"/>
            <w:shd w:fill="F2FAFE"/>
          </w:tcPr>
          <w:p>
            <w:pPr>
              <w:keepLines/>
              <w:widowControl/>
              <w:spacing w:after="0" w:before="0"/>
            </w:pPr>
            <w:r>
              <w:rPr>
                <w:sz w:val="18"/>
              </w:rPr>
              <w:t>Save the local profile — or, while a recording is playing, the demo profile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q2prox_cfg_save_demo_visual</w:t>
            </w:r>
          </w:p>
        </w:tc>
        <w:tc>
          <w:tcPr>
            <w:tcW w:type="dxa" w:w="4961"/>
            <w:tcMar>
              <w:top w:w="70" w:type="dxa"/>
              <w:start w:w="90" w:type="dxa"/>
              <w:bottom w:w="70" w:type="dxa"/>
              <w:end w:w="90" w:type="dxa"/>
            </w:tcMar>
            <w:vAlign w:val="top"/>
            <w:shd w:fill="FFFFFF"/>
          </w:tcPr>
          <w:p>
            <w:pPr>
              <w:keepLines/>
              <w:widowControl/>
              <w:spacing w:after="0" w:before="0"/>
            </w:pPr>
            <w:r>
              <w:rPr>
                <w:sz w:val="18"/>
              </w:rPr>
              <w:t>Save the demo profile explicitly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w:t>
            </w:r>
          </w:p>
        </w:tc>
        <w:tc>
          <w:tcPr>
            <w:tcW w:type="dxa" w:w="4961"/>
            <w:tcMar>
              <w:top w:w="70" w:type="dxa"/>
              <w:start w:w="90" w:type="dxa"/>
              <w:bottom w:w="70" w:type="dxa"/>
              <w:end w:w="90" w:type="dxa"/>
            </w:tcMar>
            <w:vAlign w:val="top"/>
            <w:shd w:fill="F2FAFE"/>
          </w:tcPr>
          <w:p>
            <w:pPr>
              <w:keepLines/>
              <w:widowControl/>
              <w:spacing w:after="0" w:before="0"/>
            </w:pPr>
            <w:r>
              <w:rPr>
                <w:sz w:val="18"/>
              </w:rPr>
              <w:t>Reset every Q2PRO-X setting</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q2prox_cfg_defaults_global</w:t>
            </w:r>
          </w:p>
        </w:tc>
        <w:tc>
          <w:tcPr>
            <w:tcW w:type="dxa" w:w="4961"/>
            <w:tcMar>
              <w:top w:w="70" w:type="dxa"/>
              <w:start w:w="90" w:type="dxa"/>
              <w:bottom w:w="70" w:type="dxa"/>
              <w:end w:w="90" w:type="dxa"/>
            </w:tcMar>
            <w:vAlign w:val="top"/>
            <w:shd w:fill="FFFFFF"/>
          </w:tcPr>
          <w:p>
            <w:pPr>
              <w:keepLines/>
              <w:widowControl/>
              <w:spacing w:after="0" w:before="0"/>
            </w:pPr>
            <w:r>
              <w:rPr>
                <w:sz w:val="18"/>
              </w:rPr>
              <w:t>Reset the global scope only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q2prox_cfg_defaults_local</w:t>
            </w:r>
          </w:p>
        </w:tc>
        <w:tc>
          <w:tcPr>
            <w:tcW w:type="dxa" w:w="4961"/>
            <w:tcMar>
              <w:top w:w="70" w:type="dxa"/>
              <w:start w:w="90" w:type="dxa"/>
              <w:bottom w:w="70" w:type="dxa"/>
              <w:end w:w="90" w:type="dxa"/>
            </w:tcMar>
            <w:vAlign w:val="top"/>
            <w:shd w:fill="F2FAFE"/>
          </w:tcPr>
          <w:p>
            <w:pPr>
              <w:keepLines/>
              <w:widowControl/>
              <w:spacing w:after="0" w:before="0"/>
            </w:pPr>
            <w:r>
              <w:rPr>
                <w:sz w:val="18"/>
              </w:rPr>
              <w:t>Reset the local scope; during playback, only the demo visual variables, with binds preserved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q2prox_cfg_defaults_demo_visual</w:t>
            </w:r>
          </w:p>
        </w:tc>
        <w:tc>
          <w:tcPr>
            <w:tcW w:type="dxa" w:w="4961"/>
            <w:tcMar>
              <w:top w:w="70" w:type="dxa"/>
              <w:start w:w="90" w:type="dxa"/>
              <w:bottom w:w="70" w:type="dxa"/>
              <w:end w:w="90" w:type="dxa"/>
            </w:tcMar>
            <w:vAlign w:val="top"/>
            <w:shd w:fill="FFFFFF"/>
          </w:tcPr>
          <w:p>
            <w:pPr>
              <w:keepLines/>
              <w:widowControl/>
              <w:spacing w:after="0" w:before="0"/>
            </w:pPr>
            <w:r>
              <w:rPr>
                <w:sz w:val="18"/>
              </w:rPr>
              <w:t>Reset the demo visual variables only</w:t>
            </w:r>
          </w:p>
        </w:tc>
      </w:tr>
    </w:tbl>
    <w:p>
      <w:pPr>
        <w:spacing w:after="20"/>
      </w:pPr>
    </w:p>
    <w:p>
      <w:bookmarkStart w:id="12" w:name="Q2PX_S0012"/>
      <w:pPr>
        <w:pStyle w:val="Heading2"/>
      </w:pPr>
      <w:r>
        <w:t>5.1. Autosave</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cl_q2prox_cfg_autosave</w:t>
            </w:r>
          </w:p>
        </w:tc>
        <w:tc>
          <w:tcPr>
            <w:tcW w:type="dxa" w:w="3307"/>
            <w:tcMar>
              <w:top w:w="70" w:type="dxa"/>
              <w:start w:w="90" w:type="dxa"/>
              <w:bottom w:w="70" w:type="dxa"/>
              <w:end w:w="90" w:type="dxa"/>
            </w:tcMar>
            <w:vAlign w:val="top"/>
            <w:shd w:fill="F2FAFE"/>
          </w:tcPr>
          <w:p>
            <w:pPr>
              <w:keepLines/>
              <w:widowControl/>
              <w:spacing w:after="0" w:before="0"/>
            </w:pPr>
            <w:r>
              <w:rPr>
                <w:sz w:val="18"/>
              </w:rPr>
              <w:t>0=no autosave / 1=autosave on every change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Autosave Q2PRO-X config on menu / console changes. When on, any adjustment that flips a CVAR_Q2PROXCFG_GLOBAL or CVAR_Q2PROXCFG_LOCAL cvar is written after a 500 ms debounce to the correct target. Post-2026-04-25 storage split: GLOBAL cvars go to </w:t>
            </w:r>
            <w:r>
              <w:rPr>
                <w:rFonts w:ascii="Cascadia Mono" w:hAnsi="Cascadia Mono" w:eastAsia="Cascadia Mono"/>
                <w:color w:val="153A5B"/>
                <w:sz w:val="17"/>
              </w:rPr>
              <w:t>baseq2/q2pro-x/q2pro-x.cfg</w:t>
            </w:r>
            <w:r>
              <w:rPr>
                <w:sz w:val="18"/>
              </w:rPr>
              <w:t xml:space="preserve"> (GLOBAL-only now); LOCAL cvars go to </w:t>
            </w:r>
            <w:r>
              <w:rPr>
                <w:rFonts w:ascii="Cascadia Mono" w:hAnsi="Cascadia Mono" w:eastAsia="Cascadia Mono"/>
                <w:color w:val="153A5B"/>
                <w:sz w:val="17"/>
              </w:rPr>
              <w:t>&lt;gamedir&gt;/q2pro-x/q2pro-x.cfg</w:t>
            </w:r>
            <w:r>
              <w:rPr>
                <w:sz w:val="18"/>
              </w:rPr>
              <w:t xml:space="preserve"> when a mod is active, to </w:t>
            </w:r>
            <w:r>
              <w:rPr>
                <w:rFonts w:ascii="Cascadia Mono" w:hAnsi="Cascadia Mono" w:eastAsia="Cascadia Mono"/>
                <w:color w:val="153A5B"/>
                <w:sz w:val="17"/>
              </w:rPr>
              <w:t>baseq2/q2pro-x/q2pro-x.local.cfg</w:t>
            </w:r>
            <w:r>
              <w:rPr>
                <w:sz w:val="18"/>
              </w:rPr>
              <w:t xml:space="preserve"> when </w:t>
            </w:r>
            <w:r>
              <w:rPr>
                <w:rFonts w:ascii="Cascadia Mono" w:hAnsi="Cascadia Mono" w:eastAsia="Cascadia Mono"/>
                <w:color w:val="153A5B"/>
                <w:sz w:val="17"/>
              </w:rPr>
              <w:t>fs_game</w:t>
            </w:r>
            <w:r>
              <w:rPr>
                <w:sz w:val="18"/>
              </w:rPr>
              <w:t xml:space="preserve"> is empty, or to </w:t>
            </w:r>
            <w:r>
              <w:rPr>
                <w:rFonts w:ascii="Cascadia Mono" w:hAnsi="Cascadia Mono" w:eastAsia="Cascadia Mono"/>
                <w:color w:val="153A5B"/>
                <w:sz w:val="17"/>
              </w:rPr>
              <w:t>baseq2/q2pro-x/demo_visual/q2pro-x.demo.cfg</w:t>
            </w:r>
            <w:r>
              <w:rPr>
                <w:sz w:val="18"/>
              </w:rPr>
              <w:t xml:space="preserve"> while a .dm2/.mvd2 demo is playing. Every save goes through the atomic pipeline: write to </w:t>
            </w:r>
            <w:r>
              <w:rPr>
                <w:rFonts w:ascii="Cascadia Mono" w:hAnsi="Cascadia Mono" w:eastAsia="Cascadia Mono"/>
                <w:color w:val="153A5B"/>
                <w:sz w:val="17"/>
              </w:rPr>
              <w:t>.tmp</w:t>
            </w:r>
            <w:r>
              <w:rPr>
                <w:sz w:val="18"/>
              </w:rPr>
              <w:t xml:space="preserve">, validate, rotate backups under </w:t>
            </w:r>
            <w:r>
              <w:rPr>
                <w:rFonts w:ascii="Cascadia Mono" w:hAnsi="Cascadia Mono" w:eastAsia="Cascadia Mono"/>
                <w:color w:val="153A5B"/>
                <w:sz w:val="17"/>
              </w:rPr>
              <w:t>backups/</w:t>
            </w:r>
            <w:r>
              <w:rPr>
                <w:sz w:val="18"/>
              </w:rPr>
              <w:t xml:space="preserve"> (</w:t>
            </w:r>
            <w:r>
              <w:rPr>
                <w:rFonts w:ascii="Cascadia Mono" w:hAnsi="Cascadia Mono" w:eastAsia="Cascadia Mono"/>
                <w:color w:val="153A5B"/>
                <w:sz w:val="17"/>
              </w:rPr>
              <w:t>.bak</w:t>
            </w:r>
            <w:r>
              <w:rPr>
                <w:sz w:val="18"/>
              </w:rPr>
              <w:t>/</w:t>
            </w:r>
            <w:r>
              <w:rPr>
                <w:rFonts w:ascii="Cascadia Mono" w:hAnsi="Cascadia Mono" w:eastAsia="Cascadia Mono"/>
                <w:color w:val="153A5B"/>
                <w:sz w:val="17"/>
              </w:rPr>
              <w:t>.bak.2</w:t>
            </w:r>
            <w:r>
              <w:rPr>
                <w:sz w:val="18"/>
              </w:rPr>
              <w:t>/</w:t>
            </w:r>
            <w:r>
              <w:rPr>
                <w:rFonts w:ascii="Cascadia Mono" w:hAnsi="Cascadia Mono" w:eastAsia="Cascadia Mono"/>
                <w:color w:val="153A5B"/>
                <w:sz w:val="17"/>
              </w:rPr>
              <w:t>.bak.3</w:t>
            </w:r>
            <w:r>
              <w:rPr>
                <w:sz w:val="18"/>
              </w:rPr>
              <w:t xml:space="preserve">), replace. Automatic writes additionally reject candidates that look like mass-reset / mass-bind-loss stamps (rejected candidates are kept under </w:t>
            </w:r>
            <w:r>
              <w:rPr>
                <w:rFonts w:ascii="Cascadia Mono" w:hAnsi="Cascadia Mono" w:eastAsia="Cascadia Mono"/>
                <w:color w:val="153A5B"/>
                <w:sz w:val="17"/>
              </w:rPr>
              <w:t>rejected/</w:t>
            </w:r>
            <w:r>
              <w:rPr>
                <w:sz w:val="18"/>
              </w:rPr>
              <w:t xml:space="preserve"> as </w:t>
            </w:r>
            <w:r>
              <w:rPr>
                <w:rFonts w:ascii="Cascadia Mono" w:hAnsi="Cascadia Mono" w:eastAsia="Cascadia Mono"/>
                <w:color w:val="153A5B"/>
                <w:sz w:val="17"/>
              </w:rPr>
              <w:t>*.rejected-&lt;ts&gt;</w:t>
            </w:r>
            <w:r>
              <w:rPr>
                <w:sz w:val="18"/>
              </w:rPr>
              <w:t xml:space="preserve"> for diagnosis); explicit </w:t>
            </w:r>
            <w:r>
              <w:rPr>
                <w:rFonts w:ascii="Cascadia Mono" w:hAnsi="Cascadia Mono" w:eastAsia="Cascadia Mono"/>
                <w:color w:val="153A5B"/>
                <w:sz w:val="17"/>
              </w:rPr>
              <w:t>q2prox_cfg_defaults_*</w:t>
            </w:r>
            <w:r>
              <w:rPr>
                <w:sz w:val="18"/>
              </w:rPr>
              <w:t xml:space="preserve"> commands bypass that guard.</w:t>
            </w:r>
          </w:p>
        </w:tc>
      </w:tr>
    </w:tbl>
    <w:p>
      <w:pPr>
        <w:spacing w:after="20"/>
      </w:pPr>
    </w:p>
    <w:p>
      <w:bookmarkStart w:id="13" w:name="Q2PX_S0013"/>
      <w:pPr>
        <w:pStyle w:val="Heading2"/>
      </w:pPr>
      <w:r>
        <w:t>5.2. Full config write</w:t>
      </w:r>
      <w:bookmarkEnd w:id="13"/>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cl_writeconfig_full</w:t>
            </w:r>
          </w:p>
        </w:tc>
        <w:tc>
          <w:tcPr>
            <w:tcW w:type="dxa" w:w="3307"/>
            <w:tcMar>
              <w:top w:w="70" w:type="dxa"/>
              <w:start w:w="90" w:type="dxa"/>
              <w:bottom w:w="70" w:type="dxa"/>
              <w:end w:w="90" w:type="dxa"/>
            </w:tcMar>
            <w:vAlign w:val="top"/>
            <w:shd w:fill="F2FAFE"/>
          </w:tcPr>
          <w:p>
            <w:pPr>
              <w:keepLines/>
              <w:widowControl/>
              <w:spacing w:after="0" w:before="0"/>
            </w:pPr>
            <w:r>
              <w:rPr>
                <w:sz w:val="18"/>
              </w:rPr>
              <w:t>0=bindings + archived cvars (default) / 1=same as -b -m -a (bindings + aliases + all modified cvars)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Controls what a bare </w:t>
            </w:r>
            <w:r>
              <w:rPr>
                <w:rFonts w:ascii="Cascadia Mono" w:hAnsi="Cascadia Mono" w:eastAsia="Cascadia Mono"/>
                <w:color w:val="153A5B"/>
                <w:sz w:val="17"/>
              </w:rPr>
              <w:t>writeconfig &lt;filename&gt;</w:t>
            </w:r>
            <w:r>
              <w:rPr>
                <w:sz w:val="18"/>
              </w:rPr>
              <w:t xml:space="preserve"> writes when you give it no content flags. 0 (default) keeps the historical meaning: key bindings plus archived cvars. 1 makes the flagless form save everything the explicit </w:t>
            </w:r>
            <w:r>
              <w:rPr>
                <w:rFonts w:ascii="Cascadia Mono" w:hAnsi="Cascadia Mono" w:eastAsia="Cascadia Mono"/>
                <w:color w:val="153A5B"/>
                <w:sz w:val="17"/>
              </w:rPr>
              <w:t>-b -m -a</w:t>
            </w:r>
            <w:r>
              <w:rPr>
                <w:sz w:val="18"/>
              </w:rPr>
              <w:t xml:space="preserve"> form saves — all key bindings, all your command aliases, and every eligible cvar whose current (or latched) value differs from its default, including Q2PRO-X global (G) and mod-local (M) settings. Explicit flags are never touched: if you type -a, -b, -c or -m yourself, exactly that selection is written and this setting is ignored; -h still only prints help. The destination stays configs/&lt;filename&gt;.cfg and the config-readonly barrier still applies first. Note this is a manual legacy-style CFG export and NOT a replacement for Q2PRO-X global/local preset saving, which has its own storage. Saved to the global Q2PRO-X config, shared across all mods.</w:t>
            </w:r>
          </w:p>
        </w:tc>
      </w:tr>
    </w:tbl>
    <w:p>
      <w:pPr>
        <w:spacing w:after="20"/>
      </w:pPr>
    </w:p>
    <w:p>
      <w:pPr>
        <w:widowControl/>
      </w:pPr>
      <w:r>
        <w:t>Explicit flags on the config-write command always take priority over this setting.</w:t>
      </w:r>
    </w:p>
    <w:p>
      <w:bookmarkStart w:id="14" w:name="Q2PX_S0014"/>
      <w:pPr>
        <w:pStyle w:val="Heading2"/>
      </w:pPr>
      <w:r>
        <w:t>5.3. Why not to clean configs by hand</w:t>
      </w:r>
      <w:bookmarkEnd w:id="14"/>
    </w:p>
    <w:p>
      <w:pPr>
        <w:widowControl/>
      </w:pPr>
      <w:r>
        <w:t>Q2PRO-X does not overwrite existing values with a mass reset on an ordinary start. If something looks wrong, first:</w:t>
      </w:r>
    </w:p>
    <w:p>
      <w:pPr>
        <w:pStyle w:val="GuideNumbered"/>
      </w:pPr>
      <w:r>
        <w:t>1. open the corresponding menu page;</w:t>
      </w:r>
    </w:p>
    <w:p>
      <w:pPr>
        <w:pStyle w:val="GuideNumbered"/>
      </w:pPr>
      <w:r>
        <w:t>2. check the value in the cvar reference;</w:t>
      </w:r>
    </w:p>
    <w:p>
      <w:pPr>
        <w:pStyle w:val="GuideNumbered"/>
      </w:pPr>
      <w:r>
        <w:t>3. use a scope-specific reset instead of deleting the whole directory.</w:t>
      </w:r>
    </w:p>
    <w:p>
      <w:pPr>
        <w:widowControl/>
      </w:pPr>
      <w:r>
        <w:t>Deleting the configs completely is only justified when you genuinely want to start from a clean profile.</w:t>
      </w:r>
    </w:p>
    <w:p>
      <w:r>
        <w:br w:type="page"/>
      </w:r>
    </w:p>
    <w:p>
      <w:r>
        <w:br w:type="page"/>
      </w:r>
    </w:p>
    <w:p>
      <w:bookmarkStart w:id="15" w:name="Q2PX_S0015"/>
      <w:pPr>
        <w:pStyle w:val="Heading1"/>
      </w:pPr>
      <w:r>
        <w:t>6. The cvar browser</w:t>
      </w:r>
      <w:bookmarkEnd w:id="15"/>
    </w:p>
    <w:p>
      <w:pPr>
        <w:widowControl/>
      </w:pPr>
      <w:r>
        <w:t>The cvar browser is the built-in window for searching, describing and editing settings.</w:t>
      </w:r>
    </w:p>
    <w:p>
      <w:pPr>
        <w:widowControl/>
      </w:pPr>
      <w:r>
        <w:t>It opens in three ways:</w:t>
      </w:r>
    </w:p>
    <w:p>
      <w:pPr>
        <w:pStyle w:val="ListBullet"/>
      </w:pPr>
      <w:r>
        <w:t>from the Open the cvar reference… row in the help menu;</w:t>
      </w:r>
    </w:p>
    <w:p>
      <w:pPr>
        <w:pStyle w:val="ListBullet"/>
      </w:pPr>
      <w:r>
        <w:t>from the toggle key you assign;</w:t>
      </w:r>
    </w:p>
    <w:p>
      <w:pPr>
        <w:pStyle w:val="ListBullet"/>
      </w:pPr>
      <w:r>
        <w:t xml:space="preserve">with the </w:t>
      </w:r>
      <w:r>
        <w:rPr>
          <w:rFonts w:ascii="Cascadia Mono" w:hAnsi="Cascadia Mono" w:eastAsia="Cascadia Mono"/>
          <w:color w:val="153A5B"/>
          <w:sz w:val="17"/>
        </w:rPr>
        <w:t>cvar_help</w:t>
      </w:r>
      <w:r>
        <w:t xml:space="preserve"> console command.</w:t>
      </w:r>
    </w:p>
    <w:p>
      <w:bookmarkStart w:id="16" w:name="Q2PX_S0016"/>
      <w:pPr>
        <w:pStyle w:val="Heading2"/>
      </w:pPr>
      <w:r>
        <w:t>6.1. The browser's own settings</w:t>
      </w:r>
      <w:bookmarkEnd w:id="16"/>
    </w:p>
    <w:p>
      <w:pPr>
        <w:widowControl/>
      </w:pPr>
      <w:r>
        <w:t>Menu path: Main menu → Help / About Q2PRO-X → Cvar Browser</w:t>
      </w:r>
    </w:p>
    <w:p>
      <w:pPr>
        <w:widowControl/>
      </w:pPr>
      <w:r>
        <w:rPr>
          <w:b/>
        </w:rPr>
        <w:t>Cvar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cl_cvar_browser_alpha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cvar browser overlay background.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cl_cvar_browser_scale</w:t>
            </w:r>
          </w:p>
        </w:tc>
        <w:tc>
          <w:tcPr>
            <w:tcW w:type="dxa" w:w="1984"/>
            <w:tcMar>
              <w:top w:w="70" w:type="dxa"/>
              <w:start w:w="90" w:type="dxa"/>
              <w:bottom w:w="70" w:type="dxa"/>
              <w:end w:w="90" w:type="dxa"/>
            </w:tcMar>
            <w:vAlign w:val="top"/>
            <w:shd w:fill="FFFFFF"/>
          </w:tcPr>
          <w:p>
            <w:pPr>
              <w:keepLines/>
              <w:widowControl/>
              <w:spacing w:after="0" w:before="0"/>
            </w:pPr>
            <w:r>
              <w:rPr>
                <w:sz w:val="16"/>
              </w:rPr>
              <w:t>Font / UI scale of the cvar browser overlay;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cl_cvar_browser_remember_tab</w:t>
            </w:r>
          </w:p>
        </w:tc>
        <w:tc>
          <w:tcPr>
            <w:tcW w:type="dxa" w:w="1984"/>
            <w:tcMar>
              <w:top w:w="70" w:type="dxa"/>
              <w:start w:w="90" w:type="dxa"/>
              <w:bottom w:w="70" w:type="dxa"/>
              <w:end w:w="90" w:type="dxa"/>
            </w:tcMar>
            <w:vAlign w:val="top"/>
            <w:shd w:fill="F2FAFE"/>
          </w:tcPr>
          <w:p>
            <w:pPr>
              <w:keepLines/>
              <w:widowControl/>
              <w:spacing w:after="0" w:before="0"/>
            </w:pPr>
            <w:r>
              <w:rPr>
                <w:sz w:val="16"/>
              </w:rPr>
              <w:t>Restore the last opened tab of the cvar browser on the next session.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Open cvar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cvar_help</w:t>
            </w:r>
          </w:p>
        </w:tc>
        <w:tc>
          <w:tcPr>
            <w:tcW w:type="dxa" w:w="1984"/>
            <w:tcMar>
              <w:top w:w="70" w:type="dxa"/>
              <w:start w:w="90" w:type="dxa"/>
              <w:bottom w:w="70" w:type="dxa"/>
              <w:end w:w="90" w:type="dxa"/>
            </w:tcMar>
            <w:vAlign w:val="top"/>
            <w:shd w:fill="FFFFFF"/>
          </w:tcPr>
          <w:p>
            <w:pPr>
              <w:keepLines/>
              <w:widowControl/>
              <w:spacing w:after="0" w:before="0"/>
            </w:pPr>
            <w:r>
              <w:rPr>
                <w:sz w:val="16"/>
              </w:rPr>
              <w:t>Open the modern cvar reference browser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cvar browser overlay.</w:t>
            </w:r>
          </w:p>
        </w:tc>
      </w:tr>
    </w:tbl>
    <w:p>
      <w:pPr>
        <w:spacing w:after="20"/>
      </w:pPr>
    </w:p>
    <w:p>
      <w:bookmarkStart w:id="17" w:name="Q2PX_S0017"/>
      <w:pPr>
        <w:pStyle w:val="Heading2"/>
      </w:pPr>
      <w:r>
        <w:t>6.2. Tabs</w:t>
      </w:r>
      <w:bookmarkEnd w:id="1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Tab</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shows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All</w:t>
            </w:r>
          </w:p>
        </w:tc>
        <w:tc>
          <w:tcPr>
            <w:tcW w:type="dxa" w:w="4961"/>
            <w:tcMar>
              <w:top w:w="70" w:type="dxa"/>
              <w:start w:w="90" w:type="dxa"/>
              <w:bottom w:w="70" w:type="dxa"/>
              <w:end w:w="90" w:type="dxa"/>
            </w:tcMar>
            <w:vAlign w:val="top"/>
            <w:shd w:fill="F2FAFE"/>
          </w:tcPr>
          <w:p>
            <w:pPr>
              <w:keepLines/>
              <w:widowControl/>
              <w:spacing w:after="0" w:before="0"/>
            </w:pPr>
            <w:r>
              <w:rPr>
                <w:sz w:val="18"/>
              </w:rPr>
              <w:t>Every variable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Favorites</w:t>
            </w:r>
          </w:p>
        </w:tc>
        <w:tc>
          <w:tcPr>
            <w:tcW w:type="dxa" w:w="4961"/>
            <w:tcMar>
              <w:top w:w="70" w:type="dxa"/>
              <w:start w:w="90" w:type="dxa"/>
              <w:bottom w:w="70" w:type="dxa"/>
              <w:end w:w="90" w:type="dxa"/>
            </w:tcMar>
            <w:vAlign w:val="top"/>
            <w:shd w:fill="FFFFFF"/>
          </w:tcPr>
          <w:p>
            <w:pPr>
              <w:keepLines/>
              <w:widowControl/>
              <w:spacing w:after="0" w:before="0"/>
            </w:pPr>
            <w:r>
              <w:rPr>
                <w:sz w:val="18"/>
              </w:rPr>
              <w:t>Your personal list of frequently used ones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Commands</w:t>
            </w:r>
          </w:p>
        </w:tc>
        <w:tc>
          <w:tcPr>
            <w:tcW w:type="dxa" w:w="4961"/>
            <w:tcMar>
              <w:top w:w="70" w:type="dxa"/>
              <w:start w:w="90" w:type="dxa"/>
              <w:bottom w:w="70" w:type="dxa"/>
              <w:end w:w="90" w:type="dxa"/>
            </w:tcMar>
            <w:vAlign w:val="top"/>
            <w:shd w:fill="F2FAFE"/>
          </w:tcPr>
          <w:p>
            <w:pPr>
              <w:keepLines/>
              <w:widowControl/>
              <w:spacing w:after="0" w:before="0"/>
            </w:pPr>
            <w:r>
              <w:rPr>
                <w:sz w:val="18"/>
              </w:rPr>
              <w:t>The registered console commands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Demo</w:t>
            </w:r>
          </w:p>
        </w:tc>
        <w:tc>
          <w:tcPr>
            <w:tcW w:type="dxa" w:w="4961"/>
            <w:tcMar>
              <w:top w:w="70" w:type="dxa"/>
              <w:start w:w="90" w:type="dxa"/>
              <w:bottom w:w="70" w:type="dxa"/>
              <w:end w:w="90" w:type="dxa"/>
            </w:tcMar>
            <w:vAlign w:val="top"/>
            <w:shd w:fill="FFFFFF"/>
          </w:tcPr>
          <w:p>
            <w:pPr>
              <w:keepLines/>
              <w:widowControl/>
              <w:spacing w:after="0" w:before="0"/>
            </w:pPr>
            <w:r>
              <w:rPr>
                <w:sz w:val="18"/>
              </w:rPr>
              <w:t>Everything relating to recordings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Visual</w:t>
            </w:r>
          </w:p>
        </w:tc>
        <w:tc>
          <w:tcPr>
            <w:tcW w:type="dxa" w:w="4961"/>
            <w:tcMar>
              <w:top w:w="70" w:type="dxa"/>
              <w:start w:w="90" w:type="dxa"/>
              <w:bottom w:w="70" w:type="dxa"/>
              <w:end w:w="90" w:type="dxa"/>
            </w:tcMar>
            <w:vAlign w:val="top"/>
            <w:shd w:fill="F2FAFE"/>
          </w:tcPr>
          <w:p>
            <w:pPr>
              <w:keepLines/>
              <w:widowControl/>
              <w:spacing w:after="0" w:before="0"/>
            </w:pPr>
            <w:r>
              <w:rPr>
                <w:sz w:val="18"/>
              </w:rPr>
              <w:t>Video, renderer, effects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Audio</w:t>
            </w:r>
          </w:p>
        </w:tc>
        <w:tc>
          <w:tcPr>
            <w:tcW w:type="dxa" w:w="4961"/>
            <w:tcMar>
              <w:top w:w="70" w:type="dxa"/>
              <w:start w:w="90" w:type="dxa"/>
              <w:bottom w:w="70" w:type="dxa"/>
              <w:end w:w="90" w:type="dxa"/>
            </w:tcMar>
            <w:vAlign w:val="top"/>
            <w:shd w:fill="FFFFFF"/>
          </w:tcPr>
          <w:p>
            <w:pPr>
              <w:keepLines/>
              <w:widowControl/>
              <w:spacing w:after="0" w:before="0"/>
            </w:pPr>
            <w:r>
              <w:rPr>
                <w:sz w:val="18"/>
              </w:rPr>
              <w:t>The sound subsystem and the volumes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Input</w:t>
            </w:r>
          </w:p>
        </w:tc>
        <w:tc>
          <w:tcPr>
            <w:tcW w:type="dxa" w:w="4961"/>
            <w:tcMar>
              <w:top w:w="70" w:type="dxa"/>
              <w:start w:w="90" w:type="dxa"/>
              <w:bottom w:w="70" w:type="dxa"/>
              <w:end w:w="90" w:type="dxa"/>
            </w:tcMar>
            <w:vAlign w:val="top"/>
            <w:shd w:fill="F2FAFE"/>
          </w:tcPr>
          <w:p>
            <w:pPr>
              <w:keepLines/>
              <w:widowControl/>
              <w:spacing w:after="0" w:before="0"/>
            </w:pPr>
            <w:r>
              <w:rPr>
                <w:sz w:val="18"/>
              </w:rPr>
              <w:t>Mouse, keyboard, zoom</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Network</w:t>
            </w:r>
          </w:p>
        </w:tc>
        <w:tc>
          <w:tcPr>
            <w:tcW w:type="dxa" w:w="4961"/>
            <w:tcMar>
              <w:top w:w="70" w:type="dxa"/>
              <w:start w:w="90" w:type="dxa"/>
              <w:bottom w:w="70" w:type="dxa"/>
              <w:end w:w="90" w:type="dxa"/>
            </w:tcMar>
            <w:vAlign w:val="top"/>
            <w:shd w:fill="FFFFFF"/>
          </w:tcPr>
          <w:p>
            <w:pPr>
              <w:keepLines/>
              <w:widowControl/>
              <w:spacing w:after="0" w:before="0"/>
            </w:pPr>
            <w:r>
              <w:rPr>
                <w:sz w:val="18"/>
              </w:rPr>
              <w:t>Network settings and tools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Gameplay</w:t>
            </w:r>
          </w:p>
        </w:tc>
        <w:tc>
          <w:tcPr>
            <w:tcW w:type="dxa" w:w="4961"/>
            <w:tcMar>
              <w:top w:w="70" w:type="dxa"/>
              <w:start w:w="90" w:type="dxa"/>
              <w:bottom w:w="70" w:type="dxa"/>
              <w:end w:w="90" w:type="dxa"/>
            </w:tcMar>
            <w:vAlign w:val="top"/>
            <w:shd w:fill="F2FAFE"/>
          </w:tcPr>
          <w:p>
            <w:pPr>
              <w:keepLines/>
              <w:widowControl/>
              <w:spacing w:after="0" w:before="0"/>
            </w:pPr>
            <w:r>
              <w:rPr>
                <w:sz w:val="18"/>
              </w:rPr>
              <w:t>Game settings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HUD/UI</w:t>
            </w:r>
          </w:p>
        </w:tc>
        <w:tc>
          <w:tcPr>
            <w:tcW w:type="dxa" w:w="4961"/>
            <w:tcMar>
              <w:top w:w="70" w:type="dxa"/>
              <w:start w:w="90" w:type="dxa"/>
              <w:bottom w:w="70" w:type="dxa"/>
              <w:end w:w="90" w:type="dxa"/>
            </w:tcMar>
            <w:vAlign w:val="top"/>
            <w:shd w:fill="FFFFFF"/>
          </w:tcPr>
          <w:p>
            <w:pPr>
              <w:keepLines/>
              <w:widowControl/>
              <w:spacing w:after="0" w:before="0"/>
            </w:pPr>
            <w:r>
              <w:rPr>
                <w:sz w:val="18"/>
              </w:rPr>
              <w:t>The interface and the on-screen elements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Server</w:t>
            </w:r>
          </w:p>
        </w:tc>
        <w:tc>
          <w:tcPr>
            <w:tcW w:type="dxa" w:w="4961"/>
            <w:tcMar>
              <w:top w:w="70" w:type="dxa"/>
              <w:start w:w="90" w:type="dxa"/>
              <w:bottom w:w="70" w:type="dxa"/>
              <w:end w:w="90" w:type="dxa"/>
            </w:tcMar>
            <w:vAlign w:val="top"/>
            <w:shd w:fill="F2FAFE"/>
          </w:tcPr>
          <w:p>
            <w:pPr>
              <w:keepLines/>
              <w:widowControl/>
              <w:spacing w:after="0" w:before="0"/>
            </w:pPr>
            <w:r>
              <w:rPr>
                <w:sz w:val="18"/>
              </w:rPr>
              <w:t>Server settings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System</w:t>
            </w:r>
          </w:p>
        </w:tc>
        <w:tc>
          <w:tcPr>
            <w:tcW w:type="dxa" w:w="4961"/>
            <w:tcMar>
              <w:top w:w="70" w:type="dxa"/>
              <w:start w:w="90" w:type="dxa"/>
              <w:bottom w:w="70" w:type="dxa"/>
              <w:end w:w="90" w:type="dxa"/>
            </w:tcMar>
            <w:vAlign w:val="top"/>
            <w:shd w:fill="FFFFFF"/>
          </w:tcPr>
          <w:p>
            <w:pPr>
              <w:keepLines/>
              <w:widowControl/>
              <w:spacing w:after="0" w:before="0"/>
            </w:pPr>
            <w:r>
              <w:rPr>
                <w:sz w:val="18"/>
              </w:rPr>
              <w:t>System settings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Debug</w:t>
            </w:r>
          </w:p>
        </w:tc>
        <w:tc>
          <w:tcPr>
            <w:tcW w:type="dxa" w:w="4961"/>
            <w:tcMar>
              <w:top w:w="70" w:type="dxa"/>
              <w:start w:w="90" w:type="dxa"/>
              <w:bottom w:w="70" w:type="dxa"/>
              <w:end w:w="90" w:type="dxa"/>
            </w:tcMar>
            <w:vAlign w:val="top"/>
            <w:shd w:fill="F2FAFE"/>
          </w:tcPr>
          <w:p>
            <w:pPr>
              <w:keepLines/>
              <w:widowControl/>
              <w:spacing w:after="0" w:before="0"/>
            </w:pPr>
            <w:r>
              <w:rPr>
                <w:sz w:val="18"/>
              </w:rPr>
              <w:t>Diagnostic variables, kept apart from user settings</w:t>
            </w:r>
          </w:p>
        </w:tc>
      </w:tr>
    </w:tbl>
    <w:p>
      <w:pPr>
        <w:spacing w:after="20"/>
      </w:pPr>
    </w:p>
    <w:p>
      <w:pPr>
        <w:widowControl/>
      </w:pPr>
      <w:r>
        <w:t>The Debug tab exists precisely so diagnostics never mix with ordinary settings and never end up in a config by accident.</w:t>
      </w:r>
    </w:p>
    <w:p>
      <w:bookmarkStart w:id="18" w:name="Q2PX_S0018"/>
      <w:pPr>
        <w:pStyle w:val="Heading2"/>
      </w:pPr>
      <w:r>
        <w:t>6.3. What the window can do</w:t>
      </w:r>
      <w:bookmarkEnd w:id="18"/>
    </w:p>
    <w:p>
      <w:pPr>
        <w:pStyle w:val="ListBullet"/>
      </w:pPr>
      <w:r>
        <w:t>search by name, by description and by accepted values;</w:t>
      </w:r>
    </w:p>
    <w:p>
      <w:pPr>
        <w:pStyle w:val="ListBullet"/>
      </w:pPr>
      <w:r>
        <w:t>Russian or English text following the interface language;</w:t>
      </w:r>
    </w:p>
    <w:p>
      <w:pPr>
        <w:pStyle w:val="ListBullet"/>
      </w:pPr>
      <w:r>
        <w:t>a column with the current live value;</w:t>
      </w:r>
    </w:p>
    <w:p>
      <w:pPr>
        <w:pStyle w:val="ListBullet"/>
      </w:pPr>
      <w:r>
        <w:t>a detail pane with the description and the accepted values;</w:t>
      </w:r>
    </w:p>
    <w:p>
      <w:pPr>
        <w:pStyle w:val="ListBullet"/>
      </w:pPr>
      <w:r>
        <w:t>mouse selection and copying;</w:t>
      </w:r>
    </w:p>
    <w:p>
      <w:pPr>
        <w:pStyle w:val="ListBullet"/>
      </w:pPr>
      <w:r>
        <w:t>resetting a value to its default;</w:t>
      </w:r>
    </w:p>
    <w:p>
      <w:pPr>
        <w:pStyle w:val="ListBullet"/>
      </w:pPr>
      <w:r>
        <w:t>a favourites list;</w:t>
      </w:r>
    </w:p>
    <w:p>
      <w:pPr>
        <w:pStyle w:val="ListBullet"/>
      </w:pPr>
      <w:r>
        <w:t>resizing, dragging and a fullscreen mode;</w:t>
      </w:r>
    </w:p>
    <w:p>
      <w:pPr>
        <w:pStyle w:val="ListBullet"/>
      </w:pPr>
      <w:r>
        <w:t>remembering the last tab.</w:t>
      </w:r>
    </w:p>
    <w:p>
      <w:bookmarkStart w:id="19" w:name="Q2PX_S0019"/>
      <w:pPr>
        <w:pStyle w:val="Heading2"/>
      </w:pPr>
      <w:r>
        <w:t>6.4. Favourites</w:t>
      </w:r>
      <w:bookmarkEnd w:id="19"/>
    </w:p>
    <w:p>
      <w:pPr>
        <w:widowControl/>
      </w:pPr>
      <w:r>
        <w:t>Favourites is a local list of frequently used variables. Its state is kept in a separate file:</w:t>
      </w:r>
    </w:p>
    <w:p>
      <w:pPr>
        <w:pStyle w:val="GuideCode"/>
      </w:pPr>
      <w:r>
        <w:t>baseq2\q2pro-x\cvar_browser_state.txt</w:t>
      </w:r>
    </w:p>
    <w:p>
      <w:pPr>
        <w:spacing w:after="20"/>
      </w:pPr>
    </w:p>
    <w:p>
      <w:pPr>
        <w:widowControl/>
      </w:pPr>
      <w:r>
        <w:t xml:space="preserve">Useful candidates for it: </w:t>
      </w:r>
      <w:r>
        <w:rPr>
          <w:rFonts w:ascii="Cascadia Mono" w:hAnsi="Cascadia Mono" w:eastAsia="Cascadia Mono"/>
          <w:color w:val="153A5B"/>
          <w:sz w:val="17"/>
        </w:rPr>
        <w:t>vid_driver</w:t>
      </w:r>
      <w:r>
        <w:t xml:space="preserve">, </w:t>
      </w:r>
      <w:r>
        <w:rPr>
          <w:rFonts w:ascii="Cascadia Mono" w:hAnsi="Cascadia Mono" w:eastAsia="Cascadia Mono"/>
          <w:color w:val="153A5B"/>
          <w:sz w:val="17"/>
        </w:rPr>
        <w:t>sensitivity</w:t>
      </w:r>
      <w:r>
        <w:t xml:space="preserve">, </w:t>
      </w:r>
      <w:r>
        <w:rPr>
          <w:rFonts w:ascii="Cascadia Mono" w:hAnsi="Cascadia Mono" w:eastAsia="Cascadia Mono"/>
          <w:color w:val="153A5B"/>
          <w:sz w:val="17"/>
        </w:rPr>
        <w:t>cl_zoom_fov</w:t>
      </w:r>
      <w:r>
        <w:t xml:space="preserve">, </w:t>
      </w:r>
      <w:r>
        <w:rPr>
          <w:rFonts w:ascii="Cascadia Mono" w:hAnsi="Cascadia Mono" w:eastAsia="Cascadia Mono"/>
          <w:color w:val="153A5B"/>
          <w:sz w:val="17"/>
        </w:rPr>
        <w:t>cl_vis_enable</w:t>
      </w:r>
      <w:r>
        <w:t xml:space="preserve">, </w:t>
      </w:r>
      <w:r>
        <w:rPr>
          <w:rFonts w:ascii="Cascadia Mono" w:hAnsi="Cascadia Mono" w:eastAsia="Cascadia Mono"/>
          <w:color w:val="153A5B"/>
          <w:sz w:val="17"/>
        </w:rPr>
        <w:t>cl_avfx</w:t>
      </w:r>
      <w:r>
        <w:t xml:space="preserve">, </w:t>
      </w:r>
      <w:r>
        <w:rPr>
          <w:rFonts w:ascii="Cascadia Mono" w:hAnsi="Cascadia Mono" w:eastAsia="Cascadia Mono"/>
          <w:color w:val="153A5B"/>
          <w:sz w:val="17"/>
        </w:rPr>
        <w:t>cl_it</w:t>
      </w:r>
      <w:r>
        <w:t xml:space="preserve">, </w:t>
      </w:r>
      <w:r>
        <w:rPr>
          <w:rFonts w:ascii="Cascadia Mono" w:hAnsi="Cascadia Mono" w:eastAsia="Cascadia Mono"/>
          <w:color w:val="153A5B"/>
          <w:sz w:val="17"/>
        </w:rPr>
        <w:t>cl_network_god_mode</w:t>
      </w:r>
      <w:r>
        <w:t>.</w:t>
      </w:r>
    </w:p>
    <w:p>
      <w:bookmarkStart w:id="20" w:name="Q2PX_S0020"/>
      <w:pPr>
        <w:pStyle w:val="Heading2"/>
      </w:pPr>
      <w:r>
        <w:t>6.5. The Commands tab</w:t>
      </w:r>
      <w:bookmarkEnd w:id="20"/>
    </w:p>
    <w:p>
      <w:pPr>
        <w:widowControl/>
      </w:pPr>
      <w:r>
        <w:t>The Commands tab is a fast way to find and run an action: open a menu page, execute a command, open an overlay or run a helper command. When a command needs input, the window opens the console over itself and then returns to its previous state.</w:t>
      </w:r>
    </w:p>
    <w:p>
      <w:bookmarkStart w:id="21" w:name="Q2PX_S0021"/>
      <w:pPr>
        <w:pStyle w:val="Heading2"/>
      </w:pPr>
      <w:r>
        <w:t>6.6. Search</w:t>
      </w:r>
      <w:bookmarkEnd w:id="21"/>
    </w:p>
    <w:p>
      <w:pPr>
        <w:widowControl/>
      </w:pPr>
      <w:r>
        <w:t>Search works on more than the name. It also searches descriptions, categories and command metadata, and it supports Cyrillic input in the Russian interface.</w:t>
      </w:r>
    </w:p>
    <w:p>
      <w:pPr>
        <w:widowControl/>
      </w:pPr>
      <w:r>
        <w:t>Practical queries: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Query</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finds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w:t>
            </w:r>
          </w:p>
        </w:tc>
        <w:tc>
          <w:tcPr>
            <w:tcW w:type="dxa" w:w="4961"/>
            <w:tcMar>
              <w:top w:w="70" w:type="dxa"/>
              <w:start w:w="90" w:type="dxa"/>
              <w:bottom w:w="70" w:type="dxa"/>
              <w:end w:w="90" w:type="dxa"/>
            </w:tcMar>
            <w:vAlign w:val="top"/>
            <w:shd w:fill="F2FAFE"/>
          </w:tcPr>
          <w:p>
            <w:pPr>
              <w:keepLines/>
              <w:widowControl/>
              <w:spacing w:after="0" w:before="0"/>
            </w:pPr>
            <w:r>
              <w:rPr>
                <w:sz w:val="18"/>
              </w:rPr>
              <w:t>Everything about recordings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w:t>
            </w:r>
          </w:p>
        </w:tc>
        <w:tc>
          <w:tcPr>
            <w:tcW w:type="dxa" w:w="4961"/>
            <w:tcMar>
              <w:top w:w="70" w:type="dxa"/>
              <w:start w:w="90" w:type="dxa"/>
              <w:bottom w:w="70" w:type="dxa"/>
              <w:end w:w="90" w:type="dxa"/>
            </w:tcMar>
            <w:vAlign w:val="top"/>
            <w:shd w:fill="FFFFFF"/>
          </w:tcPr>
          <w:p>
            <w:pPr>
              <w:keepLines/>
              <w:widowControl/>
              <w:spacing w:after="0" w:before="0"/>
            </w:pPr>
            <w:r>
              <w:rPr>
                <w:sz w:val="18"/>
              </w:rPr>
              <w:t>Voice chat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mouse</w:t>
            </w:r>
            <w:r>
              <w:rPr>
                <w:sz w:val="18"/>
              </w:rPr>
              <w:t xml:space="preserve">, </w:t>
            </w:r>
            <w:r>
              <w:rPr>
                <w:rFonts w:ascii="Cascadia Mono" w:hAnsi="Cascadia Mono" w:eastAsia="Cascadia Mono"/>
                <w:color w:val="153A5B"/>
                <w:sz w:val="17"/>
              </w:rPr>
              <w:t>zoom</w:t>
            </w:r>
          </w:p>
        </w:tc>
        <w:tc>
          <w:tcPr>
            <w:tcW w:type="dxa" w:w="4961"/>
            <w:tcMar>
              <w:top w:w="70" w:type="dxa"/>
              <w:start w:w="90" w:type="dxa"/>
              <w:bottom w:w="70" w:type="dxa"/>
              <w:end w:w="90" w:type="dxa"/>
            </w:tcMar>
            <w:vAlign w:val="top"/>
            <w:shd w:fill="F2FAFE"/>
          </w:tcPr>
          <w:p>
            <w:pPr>
              <w:keepLines/>
              <w:widowControl/>
              <w:spacing w:after="0" w:before="0"/>
            </w:pPr>
            <w:r>
              <w:rPr>
                <w:sz w:val="18"/>
              </w:rPr>
              <w:t>Controls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w:t>
            </w:r>
          </w:p>
        </w:tc>
        <w:tc>
          <w:tcPr>
            <w:tcW w:type="dxa" w:w="4961"/>
            <w:tcMar>
              <w:top w:w="70" w:type="dxa"/>
              <w:start w:w="90" w:type="dxa"/>
              <w:bottom w:w="70" w:type="dxa"/>
              <w:end w:w="90" w:type="dxa"/>
            </w:tcMar>
            <w:vAlign w:val="top"/>
            <w:shd w:fill="FFFFFF"/>
          </w:tcPr>
          <w:p>
            <w:pPr>
              <w:keepLines/>
              <w:widowControl/>
              <w:spacing w:after="0" w:before="0"/>
            </w:pPr>
            <w:r>
              <w:rPr>
                <w:sz w:val="18"/>
              </w:rPr>
              <w:t>The visual layer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timer</w:t>
            </w:r>
          </w:p>
        </w:tc>
        <w:tc>
          <w:tcPr>
            <w:tcW w:type="dxa" w:w="4961"/>
            <w:tcMar>
              <w:top w:w="70" w:type="dxa"/>
              <w:start w:w="90" w:type="dxa"/>
              <w:bottom w:w="70" w:type="dxa"/>
              <w:end w:w="90" w:type="dxa"/>
            </w:tcMar>
            <w:vAlign w:val="top"/>
            <w:shd w:fill="F2FAFE"/>
          </w:tcPr>
          <w:p>
            <w:pPr>
              <w:keepLines/>
              <w:widowControl/>
              <w:spacing w:after="0" w:before="0"/>
            </w:pPr>
            <w:r>
              <w:rPr>
                <w:sz w:val="18"/>
              </w:rPr>
              <w:t>Item timers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port</w:t>
            </w:r>
          </w:p>
        </w:tc>
        <w:tc>
          <w:tcPr>
            <w:tcW w:type="dxa" w:w="4961"/>
            <w:tcMar>
              <w:top w:w="70" w:type="dxa"/>
              <w:start w:w="90" w:type="dxa"/>
              <w:bottom w:w="70" w:type="dxa"/>
              <w:end w:w="90" w:type="dxa"/>
            </w:tcMar>
            <w:vAlign w:val="top"/>
            <w:shd w:fill="FFFFFF"/>
          </w:tcPr>
          <w:p>
            <w:pPr>
              <w:keepLines/>
              <w:widowControl/>
              <w:spacing w:after="0" w:before="0"/>
            </w:pPr>
            <w:r>
              <w:rPr>
                <w:sz w:val="18"/>
              </w:rPr>
              <w:t>Network tools</w:t>
            </w:r>
          </w:p>
        </w:tc>
      </w:tr>
    </w:tbl>
    <w:p>
      <w:pPr>
        <w:spacing w:after="20"/>
      </w:pPr>
    </w:p>
    <w:p>
      <w:r>
        <w:br w:type="page"/>
      </w:r>
    </w:p>
    <w:p>
      <w:r>
        <w:br w:type="page"/>
      </w:r>
    </w:p>
    <w:p>
      <w:bookmarkStart w:id="22" w:name="Q2PX_S0022"/>
      <w:pPr>
        <w:pStyle w:val="Heading1"/>
      </w:pPr>
      <w:r>
        <w:t>7. The browser's language and appearance</w:t>
      </w:r>
      <w:bookmarkEnd w:id="22"/>
    </w:p>
    <w:p>
      <w:pPr>
        <w:widowControl/>
      </w:pPr>
      <w:r>
        <w:t>The browser follows the general interface localization mode. The old separate browser-language variable is kept for compatibility only and no longer has any effect: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cl_cvar_browser_lang</w:t>
            </w:r>
          </w:p>
        </w:tc>
        <w:tc>
          <w:tcPr>
            <w:tcW w:type="dxa" w:w="3307"/>
            <w:tcMar>
              <w:top w:w="70" w:type="dxa"/>
              <w:start w:w="90" w:type="dxa"/>
              <w:bottom w:w="70" w:type="dxa"/>
              <w:end w:w="90" w:type="dxa"/>
            </w:tcMar>
            <w:vAlign w:val="top"/>
            <w:shd w:fill="F2FAFE"/>
          </w:tcPr>
          <w:p>
            <w:pPr>
              <w:keepLines/>
              <w:widowControl/>
              <w:spacing w:after="0" w:before="0"/>
            </w:pPr>
            <w:r>
              <w:rPr>
                <w:sz w:val="18"/>
              </w:rPr>
              <w:t>(legacy, no effect; see cl_console_utf8_ru)</w:t>
            </w:r>
          </w:p>
        </w:tc>
        <w:tc>
          <w:tcPr>
            <w:tcW w:type="dxa" w:w="3307"/>
            <w:tcMar>
              <w:top w:w="70" w:type="dxa"/>
              <w:start w:w="90" w:type="dxa"/>
              <w:bottom w:w="70" w:type="dxa"/>
              <w:end w:w="90" w:type="dxa"/>
            </w:tcMar>
            <w:vAlign w:val="top"/>
            <w:shd w:fill="F2FAFE"/>
          </w:tcPr>
          <w:p>
            <w:pPr>
              <w:keepLines/>
              <w:widowControl/>
              <w:spacing w:after="0" w:before="0"/>
            </w:pPr>
            <w:r>
              <w:rPr>
                <w:sz w:val="18"/>
              </w:rPr>
              <w:t>LEGACY. The cvar browser now follows the unified Russian display-localization mode (cl_console_utf8_ru) so Russian mode -&gt; Russian UI, English mode -&gt; English UI coherently across console, menu hints, voice picker, and the cvar browser. This cvar is still registered so existing user configs don't error, but its value is no longer read. Use cl_console_utf8_ru instead.</w:t>
            </w:r>
          </w:p>
        </w:tc>
      </w:tr>
    </w:tbl>
    <w:p>
      <w:pPr>
        <w:spacing w:after="20"/>
      </w:pPr>
    </w:p>
    <w:p>
      <w:pPr>
        <w:widowControl/>
      </w:pPr>
      <w:r>
        <w:t>The related appearance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cl_browser_font_mode</w:t>
            </w:r>
          </w:p>
        </w:tc>
        <w:tc>
          <w:tcPr>
            <w:tcW w:type="dxa" w:w="3307"/>
            <w:tcMar>
              <w:top w:w="70" w:type="dxa"/>
              <w:start w:w="90" w:type="dxa"/>
              <w:bottom w:w="70" w:type="dxa"/>
              <w:end w:w="90" w:type="dxa"/>
            </w:tcMar>
            <w:vAlign w:val="top"/>
            <w:shd w:fill="F2FAFE"/>
          </w:tcPr>
          <w:p>
            <w:pPr>
              <w:keepLines/>
              <w:widowControl/>
              <w:spacing w:after="0" w:before="0"/>
            </w:pPr>
            <w:r>
              <w:rPr>
                <w:sz w:val="18"/>
              </w:rPr>
              <w:t>0=legacy / 1=Iskra Cyrillic (default)</w:t>
            </w:r>
          </w:p>
        </w:tc>
        <w:tc>
          <w:tcPr>
            <w:tcW w:type="dxa" w:w="3307"/>
            <w:tcMar>
              <w:top w:w="70" w:type="dxa"/>
              <w:start w:w="90" w:type="dxa"/>
              <w:bottom w:w="70" w:type="dxa"/>
              <w:end w:w="90" w:type="dxa"/>
            </w:tcMar>
            <w:vAlign w:val="top"/>
            <w:shd w:fill="F2FAFE"/>
          </w:tcPr>
          <w:p>
            <w:pPr>
              <w:keepLines/>
              <w:widowControl/>
              <w:spacing w:after="0" w:before="0"/>
            </w:pPr>
            <w:r>
              <w:rPr>
                <w:sz w:val="18"/>
              </w:rPr>
              <w:t>Q2PRO-X browser/UI chrome typography. 0 = legacy 8x8 conchars + q2prox_cvar_font (cvar browser). 1 = Iskra Cyrillic Regular fixed-cell (default). Wired surfaces: server browser chrome, cvar browser cell draw (12x16), demo browser cell draw (8x8 base × user zoom), demo player overlay button/popup/timeline labels, modhelp local UI (title, search prompt, badges, scroll arrows, Cancel/Execute/Confirm). Cell stride is preserved per surface so selection / copy / column math / hitboxes are unchanged. Untrusted/raw byte streams stay on the legacy raw-byte path on every surface — server names, demo filenames, demo-recorded player names, configstring-derived chat etc. are intentionally NOT routed through Iskra. If the Iskra atlas fails to register, every wired surface falls back to its legacy renderer; failure is logged once.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0.92)</w:t>
            </w:r>
          </w:p>
        </w:tc>
        <w:tc>
          <w:tcPr>
            <w:tcW w:type="dxa" w:w="3307"/>
            <w:tcMar>
              <w:top w:w="70" w:type="dxa"/>
              <w:start w:w="90" w:type="dxa"/>
              <w:bottom w:w="70" w:type="dxa"/>
              <w:end w:w="90" w:type="dxa"/>
            </w:tcMar>
            <w:vAlign w:val="top"/>
            <w:shd w:fill="FFFFFF"/>
          </w:tcPr>
          <w:p>
            <w:pPr>
              <w:keepLines/>
              <w:widowControl/>
              <w:spacing w:after="0" w:before="0"/>
            </w:pPr>
            <w:r>
              <w:rPr>
                <w:sz w:val="18"/>
              </w:rPr>
              <w:t>Opacity of the in-game Cvar Reference Overlay window background. Independent from scr_alpha: the browser keeps its own background opacity policy. When OLED UI breathing is enabled, the final alpha is modulated only by SCR_OledGetUiAlpha().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0.1..4.0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Browser-local text and chrome scale multiplier for the in-game Cvar Reference Overlay. Controls browser readability independently from scr_scale: higher values make the browser font, row heights, header/search bar, and text-driven button chrome larger, without scaling the whole window as one widget.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cl_cvar_browser_remember_tab</w:t>
            </w:r>
          </w:p>
        </w:tc>
        <w:tc>
          <w:tcPr>
            <w:tcW w:type="dxa" w:w="3307"/>
            <w:tcMar>
              <w:top w:w="70" w:type="dxa"/>
              <w:start w:w="90" w:type="dxa"/>
              <w:bottom w:w="70" w:type="dxa"/>
              <w:end w:w="90" w:type="dxa"/>
            </w:tcMar>
            <w:vAlign w:val="top"/>
            <w:shd w:fill="FFFFFF"/>
          </w:tcPr>
          <w:p>
            <w:pPr>
              <w:keepLines/>
              <w:widowControl/>
              <w:spacing w:after="0" w:before="0"/>
            </w:pPr>
            <w:r>
              <w:rPr>
                <w:sz w:val="18"/>
              </w:rPr>
              <w:t>0=always start on All / 1=restore last tab (default)</w:t>
            </w:r>
          </w:p>
        </w:tc>
        <w:tc>
          <w:tcPr>
            <w:tcW w:type="dxa" w:w="3307"/>
            <w:tcMar>
              <w:top w:w="70" w:type="dxa"/>
              <w:start w:w="90" w:type="dxa"/>
              <w:bottom w:w="70" w:type="dxa"/>
              <w:end w:w="90" w:type="dxa"/>
            </w:tcMar>
            <w:vAlign w:val="top"/>
            <w:shd w:fill="FFFFFF"/>
          </w:tcPr>
          <w:p>
            <w:pPr>
              <w:keepLines/>
              <w:widowControl/>
              <w:spacing w:after="0" w:before="0"/>
            </w:pPr>
            <w:r>
              <w:rPr>
                <w:sz w:val="18"/>
              </w:rPr>
              <w:t>Restore the last opened cvar browser tab (All / Favorites / Demo / Visual / Audio / Input / Network / Gameplay / HUD/UI / Server / System) on next session. When off, the browser always starts on All. The current tab is recorded in cl_cvar_browser_last_tab whenever you switch tabs.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cl_cvar_browser_last_tab</w:t>
            </w:r>
          </w:p>
        </w:tc>
        <w:tc>
          <w:tcPr>
            <w:tcW w:type="dxa" w:w="3307"/>
            <w:tcMar>
              <w:top w:w="70" w:type="dxa"/>
              <w:start w:w="90" w:type="dxa"/>
              <w:bottom w:w="70" w:type="dxa"/>
              <w:end w:w="90" w:type="dxa"/>
            </w:tcMar>
            <w:vAlign w:val="top"/>
            <w:shd w:fill="F2FAFE"/>
          </w:tcPr>
          <w:p>
            <w:pPr>
              <w:keepLines/>
              <w:widowControl/>
              <w:spacing w:after="0" w:before="0"/>
            </w:pPr>
            <w:r>
              <w:rPr>
                <w:sz w:val="18"/>
              </w:rPr>
              <w:t>all / favorites / demo / visual / audio / input / network / gameplay / ui / server / system (default "all")</w:t>
            </w:r>
          </w:p>
        </w:tc>
        <w:tc>
          <w:tcPr>
            <w:tcW w:type="dxa" w:w="3307"/>
            <w:tcMar>
              <w:top w:w="70" w:type="dxa"/>
              <w:start w:w="90" w:type="dxa"/>
              <w:bottom w:w="70" w:type="dxa"/>
              <w:end w:w="90" w:type="dxa"/>
            </w:tcMar>
            <w:vAlign w:val="top"/>
            <w:shd w:fill="F2FAFE"/>
          </w:tcPr>
          <w:p>
            <w:pPr>
              <w:keepLines/>
              <w:widowControl/>
              <w:spacing w:after="0" w:before="0"/>
            </w:pPr>
            <w:r>
              <w:rPr>
                <w:sz w:val="18"/>
              </w:rPr>
              <w:t>Internal archived cvar that holds the last opened cvar browser tab as a stable string name ("all", "favorites", "demo", "visual", "audio", "input", "network", "gameplay", "ui", "server", "system"). Read on browser open when cl_cvar_browser_remember_tab is on, written on every tab switch. Unknown stored values fall back to "all".</w:t>
            </w:r>
          </w:p>
        </w:tc>
      </w:tr>
    </w:tbl>
    <w:p>
      <w:pPr>
        <w:spacing w:after="20"/>
      </w:pPr>
    </w:p>
    <w:p>
      <w:r>
        <w:br w:type="page"/>
      </w:r>
    </w:p>
    <w:p>
      <w:bookmarkStart w:id="23" w:name="Q2PX_S0023"/>
      <w:pPr>
        <w:pStyle w:val="Heading1"/>
      </w:pPr>
      <w:r>
        <w:t>8. Short recipes</w:t>
      </w:r>
      <w:bookmarkEnd w:id="23"/>
    </w:p>
    <w:p>
      <w:bookmarkStart w:id="24" w:name="Q2PX_S0024"/>
      <w:pPr>
        <w:pStyle w:val="Heading2"/>
      </w:pPr>
      <w:r>
        <w:t>Save everything before quitting</w:t>
      </w:r>
      <w:bookmarkEnd w:id="24"/>
    </w:p>
    <w:p>
      <w:pPr>
        <w:pStyle w:val="GuideCode"/>
      </w:pPr>
      <w:r>
        <w:t>q2prox_cfg_save</w:t>
      </w:r>
    </w:p>
    <w:p>
      <w:pPr>
        <w:spacing w:after="20"/>
      </w:pPr>
    </w:p>
    <w:p>
      <w:bookmarkStart w:id="25" w:name="Q2PX_S0025"/>
      <w:pPr>
        <w:pStyle w:val="Heading2"/>
      </w:pPr>
      <w:r>
        <w:t>Reset the demo visuals only</w:t>
      </w:r>
      <w:bookmarkEnd w:id="25"/>
    </w:p>
    <w:p>
      <w:pPr>
        <w:pStyle w:val="GuideCode"/>
      </w:pPr>
      <w:r>
        <w:t>q2prox_cfg_defaults_demo_visual</w:t>
      </w:r>
    </w:p>
    <w:p>
      <w:pPr>
        <w:pStyle w:val="GuideCode"/>
      </w:pPr>
      <w:r>
        <w:t>q2prox_cfg_save_demo_visual</w:t>
      </w:r>
    </w:p>
    <w:p>
      <w:pPr>
        <w:spacing w:after="20"/>
      </w:pPr>
    </w:p>
    <w:p>
      <w:bookmarkStart w:id="26" w:name="Q2PX_S0026"/>
      <w:pPr>
        <w:pStyle w:val="Heading2"/>
      </w:pPr>
      <w:r>
        <w:t>Find every demo variable</w:t>
      </w:r>
      <w:bookmarkEnd w:id="26"/>
    </w:p>
    <w:p>
      <w:pPr>
        <w:widowControl/>
      </w:pPr>
      <w:r>
        <w:t xml:space="preserve">Open the browser and go to the Demo tab, or type </w:t>
      </w:r>
      <w:r>
        <w:rPr>
          <w:rFonts w:ascii="Cascadia Mono" w:hAnsi="Cascadia Mono" w:eastAsia="Cascadia Mono"/>
          <w:color w:val="153A5B"/>
          <w:sz w:val="17"/>
        </w:rPr>
        <w:t>demo</w:t>
      </w:r>
      <w:r>
        <w:t xml:space="preserve"> into the search box.</w:t>
      </w:r>
    </w:p>
    <w:p>
      <w:bookmarkStart w:id="27" w:name="Q2PX_S0027"/>
      <w:pPr>
        <w:pStyle w:val="Heading2"/>
      </w:pPr>
      <w:r>
        <w:t>Work out why a value is not saved</w:t>
      </w:r>
      <w:bookmarkEnd w:id="27"/>
    </w:p>
    <w:p>
      <w:pPr>
        <w:pStyle w:val="GuideNumbered"/>
      </w:pPr>
      <w:r>
        <w:t>1. Make sure autosave is enabled.</w:t>
      </w:r>
    </w:p>
    <w:p>
      <w:pPr>
        <w:pStyle w:val="GuideNumbered"/>
      </w:pPr>
      <w:r>
        <w:t>2. Check that you are not changing a diagnostic variable: those act for the current session only and are never written to a config.</w:t>
      </w:r>
    </w:p>
    <w:p>
      <w:pPr>
        <w:pStyle w:val="GuideNumbered"/>
      </w:pPr>
      <w:r>
        <w:t>3. Check the scope: global, local or the demo profile.</w:t>
      </w:r>
    </w:p>
    <w:p>
      <w:pPr>
        <w:pStyle w:val="GuideNumbered"/>
      </w:pPr>
      <w:r>
        <w:t>4. Run an explicit save for that scope.</w:t>
      </w:r>
    </w:p>
    <w:p>
      <w:r>
        <w:br w:type="page"/>
      </w:r>
    </w:p>
    <w:p>
      <w:bookmarkStart w:id="28" w:name="Q2PX_S0028"/>
      <w:pPr>
        <w:pStyle w:val="Heading1"/>
      </w:pPr>
      <w:r>
        <w:t>9. The printed reference</w:t>
      </w:r>
      <w:bookmarkEnd w:id="28"/>
    </w:p>
    <w:p>
      <w:pPr>
        <w:widowControl/>
      </w:pPr>
      <w:r>
        <w:t>The complete printed list of every variable, with descriptions and accepted values, is in a separate document — the cvar and command reference. It is generated from the same description tables as the in-game window, so the two cannot disagree.</w:t>
      </w:r>
    </w:p>
    <w:p>
      <w:r>
        <w:br w:type="page"/>
      </w:r>
    </w:p>
    <w:p>
      <w:bookmarkStart w:id="29" w:name="Q2PX_S0029"/>
      <w:pPr>
        <w:pStyle w:val="Heading1"/>
      </w:pPr>
      <w:r>
        <w:t>Command and menu help in Beta 5</w:t>
      </w:r>
      <w:bookmarkEnd w:id="29"/>
    </w:p>
    <w:p>
      <w:pPr>
        <w:widowControl/>
      </w:pPr>
      <w:r>
        <w:t>All client variables and console commands have Russian and English help. Entering a variable name shows its value, description and accepted values. Entering a command without arguments prints its description and syntax below the input line; the command still executes normally. Commands from binds and configuration files do not print hints. Menu-button and key-binding technical hints explain what a command does rather than merely naming it.</w:t>
      </w:r>
    </w:p>
    <w:p>
      <w:pPr>
        <w:widowControl/>
      </w:pPr>
      <w:r>
        <w:t>The Commands tab adds groups for visual effects and presets; gameplay, HUD and timers; music and voice; network tools; menus, browsers and editors; local server and play; and commands for the separate OpenTDM-X mod. The current browser catalogue contains 519 commands: 78 previous and 441 added. Each has a description, syntax and an indication of its effects. Selecting one only inserts it into the console; it does not execute it. Internal commands are hidden from the browser but retain console and menu help. OpenTDM-X help does not mean the mod or a bot menu is included in the public client.</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CVARS AND CVAR BROWSER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Cvars and Cvar Browser Guide</dc:title>
  <dc:subject>Q2PRO-X 1.6 Beta 5 by ly — How variables work, where they are saved, and how to use the browser</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