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Visual Highlights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Item, weapon and player visibility: colours, rules and model parts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highlights in WGL/EGL</w:t>
        </w:r>
      </w:hyperlink>
    </w:p>
    <w:p>
      <w:pPr>
        <w:pStyle w:val="GuideContents1"/>
      </w:pPr>
      <w:hyperlink w:anchor="Q2PX_S0002">
        <w:r>
          <w:rPr>
            <w:rStyle w:val="Q2PX Link"/>
          </w:rPr>
          <w:t xml:space="preserve">Highlights and Bloom in beta 3</w:t>
        </w:r>
      </w:hyperlink>
    </w:p>
    <w:p>
      <w:pPr>
        <w:pStyle w:val="GuideContents1"/>
      </w:pPr>
      <w:hyperlink w:anchor="Q2PX_S0003">
        <w:r>
          <w:rPr>
            <w:rStyle w:val="Q2PX Link"/>
          </w:rPr>
          <w:t xml:space="preserve">Highlight fixes in beta 2</w:t>
        </w:r>
      </w:hyperlink>
    </w:p>
    <w:p>
      <w:pPr>
        <w:pStyle w:val="GuideContents1"/>
      </w:pPr>
      <w:hyperlink w:anchor="Q2PX_S0004">
        <w:r>
          <w:rPr>
            <w:rStyle w:val="Q2PX Link"/>
          </w:rPr>
          <w:t xml:space="preserve">The general idea</w:t>
        </w:r>
      </w:hyperlink>
    </w:p>
    <w:p>
      <w:pPr>
        <w:pStyle w:val="GuideContents2"/>
      </w:pPr>
      <w:hyperlink w:anchor="Q2PX_S0005">
        <w:r>
          <w:rPr>
            <w:rStyle w:val="Q2PX Link"/>
          </w:rPr>
          <w:t xml:space="preserve">Where the settings live</w:t>
        </w:r>
      </w:hyperlink>
    </w:p>
    <w:p>
      <w:pPr>
        <w:pStyle w:val="GuideContents1"/>
      </w:pPr>
      <w:hyperlink w:anchor="Q2PX_S0006">
        <w:r>
          <w:rPr>
            <w:rStyle w:val="Q2PX Link"/>
          </w:rPr>
          <w:t xml:space="preserve">1. Items and weapons</w:t>
        </w:r>
      </w:hyperlink>
    </w:p>
    <w:p>
      <w:pPr>
        <w:pStyle w:val="GuideContents2"/>
      </w:pPr>
      <w:hyperlink w:anchor="Q2PX_S0007">
        <w:r>
          <w:rPr>
            <w:rStyle w:val="Q2PX Link"/>
          </w:rPr>
          <w:t xml:space="preserve">1.1. The main page</w:t>
        </w:r>
      </w:hyperlink>
    </w:p>
    <w:p>
      <w:pPr>
        <w:pStyle w:val="GuideContents2"/>
      </w:pPr>
      <w:hyperlink w:anchor="Q2PX_S0008">
        <w:r>
          <w:rPr>
            <w:rStyle w:val="Q2PX Link"/>
          </w:rPr>
          <w:t xml:space="preserve">1.2. Items</w:t>
        </w:r>
      </w:hyperlink>
    </w:p>
    <w:p>
      <w:pPr>
        <w:pStyle w:val="GuideContents2"/>
      </w:pPr>
      <w:hyperlink w:anchor="Q2PX_S0009">
        <w:r>
          <w:rPr>
            <w:rStyle w:val="Q2PX Link"/>
          </w:rPr>
          <w:t xml:space="preserve">1.3. Weapons</w:t>
        </w:r>
      </w:hyperlink>
    </w:p>
    <w:p>
      <w:pPr>
        <w:pStyle w:val="GuideContents1"/>
      </w:pPr>
      <w:hyperlink w:anchor="Q2PX_S0010">
        <w:r>
          <w:rPr>
            <w:rStyle w:val="Q2PX Link"/>
          </w:rPr>
          <w:t xml:space="preserve">2. Players</w:t>
        </w:r>
      </w:hyperlink>
    </w:p>
    <w:p>
      <w:pPr>
        <w:pStyle w:val="GuideContents2"/>
      </w:pPr>
      <w:hyperlink w:anchor="Q2PX_S0011">
        <w:r>
          <w:rPr>
            <w:rStyle w:val="Q2PX Link"/>
          </w:rPr>
          <w:t xml:space="preserve">2.1. Highlight modes</w:t>
        </w:r>
      </w:hyperlink>
    </w:p>
    <w:p>
      <w:pPr>
        <w:pStyle w:val="GuideContents2"/>
      </w:pPr>
      <w:hyperlink w:anchor="Q2PX_S0012">
        <w:r>
          <w:rPr>
            <w:rStyle w:val="Q2PX Link"/>
          </w:rPr>
          <w:t xml:space="preserve">2.2. The player highlighting page</w:t>
        </w:r>
      </w:hyperlink>
    </w:p>
    <w:p>
      <w:pPr>
        <w:pStyle w:val="GuideContents2"/>
      </w:pPr>
      <w:hyperlink w:anchor="Q2PX_S0013">
        <w:r>
          <w:rPr>
            <w:rStyle w:val="Q2PX Link"/>
          </w:rPr>
          <w:t xml:space="preserve">2.3. Teams and duel</w:t>
        </w:r>
      </w:hyperlink>
    </w:p>
    <w:p>
      <w:pPr>
        <w:pStyle w:val="GuideContents1"/>
      </w:pPr>
      <w:hyperlink w:anchor="Q2PX_S0014">
        <w:r>
          <w:rPr>
            <w:rStyle w:val="Q2PX Link"/>
          </w:rPr>
          <w:t xml:space="preserve">3. Model parts</w:t>
        </w:r>
      </w:hyperlink>
    </w:p>
    <w:p>
      <w:pPr>
        <w:pStyle w:val="GuideContents2"/>
      </w:pPr>
      <w:hyperlink w:anchor="Q2PX_S0015">
        <w:r>
          <w:rPr>
            <w:rStyle w:val="Q2PX Link"/>
          </w:rPr>
          <w:t xml:space="preserve">3.1. The complete settings page</w:t>
        </w:r>
      </w:hyperlink>
    </w:p>
    <w:p>
      <w:pPr>
        <w:pStyle w:val="GuideContents2"/>
      </w:pPr>
      <w:hyperlink w:anchor="Q2PX_S0016">
        <w:r>
          <w:rPr>
            <w:rStyle w:val="Q2PX Link"/>
          </w:rPr>
          <w:t xml:space="preserve">3.2. Separate sets per model</w:t>
        </w:r>
      </w:hyperlink>
    </w:p>
    <w:p>
      <w:pPr>
        <w:pStyle w:val="GuideContents2"/>
      </w:pPr>
      <w:hyperlink w:anchor="Q2PX_S0017">
        <w:r>
          <w:rPr>
            <w:rStyle w:val="Q2PX Link"/>
          </w:rPr>
          <w:t xml:space="preserve">3.3. Tuning the body zones</w:t>
        </w:r>
      </w:hyperlink>
    </w:p>
    <w:p>
      <w:pPr>
        <w:pStyle w:val="GuideContents1"/>
      </w:pPr>
      <w:hyperlink w:anchor="Q2PX_S0018">
        <w:r>
          <w:rPr>
            <w:rStyle w:val="Q2PX Link"/>
          </w:rPr>
          <w:t xml:space="preserve">4. Commands, presets and diagnostics</w:t>
        </w:r>
      </w:hyperlink>
    </w:p>
    <w:p>
      <w:pPr>
        <w:pStyle w:val="GuideContents2"/>
      </w:pPr>
      <w:hyperlink w:anchor="Q2PX_S0019">
        <w:r>
          <w:rPr>
            <w:rStyle w:val="Q2PX Link"/>
          </w:rPr>
          <w:t xml:space="preserve">4.1. Where highlighting applies</w:t>
        </w:r>
      </w:hyperlink>
    </w:p>
    <w:p>
      <w:pPr>
        <w:pStyle w:val="GuideContents1"/>
      </w:pPr>
      <w:hyperlink w:anchor="Q2PX_S0020">
        <w:r>
          <w:rPr>
            <w:rStyle w:val="Q2PX Link"/>
          </w:rPr>
          <w:t xml:space="preserve">5. Practical recipes</w:t>
        </w:r>
      </w:hyperlink>
    </w:p>
    <w:p>
      <w:pPr>
        <w:pStyle w:val="GuideContents1"/>
      </w:pPr>
      <w:hyperlink w:anchor="Q2PX_S0021">
        <w:r>
          <w:rPr>
            <w:rStyle w:val="Q2PX Link"/>
          </w:rPr>
          <w:t xml:space="preserve">6. What highlighting does not do</w:t>
        </w:r>
      </w:hyperlink>
    </w:p>
    <w:p>
      <w:pPr>
        <w:spacing w:after="0"/>
      </w:pPr>
      <w:r>
        <w:br w:type="page"/>
      </w:r>
    </w:p>
    <w:p>
      <w:bookmarkStart w:id="1" w:name="Q2PX_S0001"/>
      <w:pPr>
        <w:pStyle w:val="Heading1"/>
      </w:pPr>
      <w:r>
        <w:t>Beta4: highlights in WGL/EGL</w:t>
      </w:r>
      <w:bookmarkEnd w:id="1"/>
    </w:p>
    <w:p>
      <w:pPr>
        <w:widowControl/>
      </w:pPr>
      <w:r>
        <w:t>Model-part colors no longer wash out in EGL/ANGLE. Palette, alpha and skin blending match WGL, including reflections. Item, held/world weapon, male/female/cyborg, MD2/MD5 and Bloom/HDR paths were checked. WGL cel outlines render after colored layers with depth testing; EGL uses pixel-width edges instead of an inflated shell. A new factory visibility preset is «Фиолетовые мужики, салатовые бабы».</w:t>
      </w:r>
    </w:p>
    <w:p>
      <w:r>
        <w:br w:type="page"/>
      </w:r>
    </w:p>
    <w:p>
      <w:bookmarkStart w:id="2" w:name="Q2PX_S0002"/>
      <w:pPr>
        <w:pStyle w:val="Heading1"/>
      </w:pPr>
      <w:r>
        <w:t>Highlights and Bloom in beta 3</w:t>
      </w:r>
      <w:bookmarkEnd w:id="2"/>
    </w:p>
    <w:p>
      <w:pPr>
        <w:widowControl/>
      </w:pPr>
      <w:r>
        <w:t>The Bloom menu combines overall strength with independent 0–100% category multipliers. 100% uses overall strength; 0% skips that category as a Bloom source. Comets retain their own controls. AVFX categories remain in this menu but are excluded from Visibility presets.</w:t>
      </w:r>
    </w:p>
    <w:p>
      <w:pPr>
        <w:keepLines/>
        <w:spacing w:before="100" w:after="0"/>
        <w:jc w:val="center"/>
      </w:pPr>
      <w:r>
        <w:drawing>
          <wp:inline xmlns:a="http://schemas.openxmlformats.org/drawingml/2006/main" xmlns:pic="http://schemas.openxmlformats.org/drawingml/2006/picture">
            <wp:extent cx="6083999" cy="3931873"/>
            <wp:docPr id="2" name="Picture 2" descr="Overall strength and Bloom categories." title="Overall strength and Bloom categories."/>
            <wp:cNvGraphicFramePr>
              <a:graphicFrameLocks noChangeAspect="1"/>
            </wp:cNvGraphicFramePr>
            <a:graphic>
              <a:graphicData uri="http://schemas.openxmlformats.org/drawingml/2006/picture">
                <pic:pic>
                  <pic:nvPicPr>
                    <pic:cNvPr id="0" name="BLOOM-01-EN.jpg"/>
                    <pic:cNvPicPr/>
                  </pic:nvPicPr>
                  <pic:blipFill>
                    <a:blip r:embed="rId12"/>
                    <a:stretch>
                      <a:fillRect/>
                    </a:stretch>
                  </pic:blipFill>
                  <pic:spPr>
                    <a:xfrm>
                      <a:off x="0" y="0"/>
                      <a:ext cx="6083999" cy="3931873"/>
                    </a:xfrm>
                    <a:prstGeom prst="rect"/>
                  </pic:spPr>
                </pic:pic>
              </a:graphicData>
            </a:graphic>
          </wp:inline>
        </w:drawing>
      </w:r>
    </w:p>
    <w:p>
      <w:pPr>
        <w:pStyle w:val="GuideCaption"/>
      </w:pPr>
      <w:r>
        <w:t>Overall strength and Bloom categories.</w:t>
      </w:r>
    </w:p>
    <w:p>
      <w:pPr>
        <w:widowControl/>
      </w:pPr>
      <w:r>
        <w:t>Fixed Bloom with zero fill opacity, uneven model contribution, RGB tint and male/female/cyborg skin replacement. Player parts can exclude outlines independently of fill. Highlights are reproduced in mirrors and puddles.</w:t>
      </w:r>
    </w:p>
    <w:p>
      <w:pPr>
        <w:widowControl/>
      </w:pPr>
      <w:r>
        <w:t>Visibility presets offer four shared custom slots and one-click random generation. They save highlights and ordinary Bloom, excluding skin overrides, player identity, downloads and AVFX Bloom categories. A factory preset disables all highlight masters. Applying a preset retains each variable's existing global/mod save scope.</w:t>
      </w:r>
    </w:p>
    <w:p>
      <w:r>
        <w:br w:type="page"/>
      </w:r>
    </w:p>
    <w:p>
      <w:r>
        <w:br w:type="page"/>
      </w:r>
    </w:p>
    <w:p>
      <w:bookmarkStart w:id="3" w:name="Q2PX_S0003"/>
      <w:pPr>
        <w:pStyle w:val="Heading1"/>
      </w:pPr>
      <w:r>
        <w:t>Highlight fixes in beta 2</w:t>
      </w:r>
      <w:bookmarkEnd w:id="3"/>
    </w:p>
    <w:p>
      <w:pPr>
        <w:widowControl/>
      </w:pPr>
      <w:r>
        <w:t>Using outline and fill together preserves their separate transparency instead of turning the item into an opaque color patch. Fixed temporal-stability and model-pass consistency errors. Reflections use the same highlight plan. No new setting is required to enable these fixes.</w:t>
      </w:r>
    </w:p>
    <w:p>
      <w:r>
        <w:br w:type="page"/>
      </w:r>
    </w:p>
    <w:p>
      <w:bookmarkStart w:id="4" w:name="Q2PX_S0004"/>
      <w:pPr>
        <w:pStyle w:val="Heading1"/>
      </w:pPr>
      <w:r>
        <w:t>The general idea</w:t>
      </w:r>
      <w:bookmarkEnd w:id="4"/>
    </w:p>
    <w:p>
      <w:pPr>
        <w:widowControl/>
      </w:pPr>
      <w:r>
        <w:t>Q2PRO-X highlights are a local visual layer. They change no server, no hitboxes, no damage, no movement and no network protocol. Their job is to make items, weapons and players easier to read, especially in demos, in practice, in single player and in visual presets.</w:t>
      </w:r>
    </w:p>
    <w:p>
      <w:pPr>
        <w:widowControl/>
      </w:pPr>
      <w:r>
        <w:t>To start quickly: enable the highlight layer, then configure items, weapons or players.</w:t>
      </w:r>
    </w:p>
    <w:p>
      <w:bookmarkStart w:id="5" w:name="Q2PX_S0005"/>
      <w:pPr>
        <w:pStyle w:val="Heading2"/>
      </w:pPr>
      <w:r>
        <w:t>Where the settings live</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The highlight layer, items, weapons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Visibility Highlights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Item highlighting</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Online Play Setup → Visibility Highlights → Visibility / Items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Weapon highlighting</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Online Play Setup → Visibility Highlights → Visibility / Weapons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Player highlighting</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Skins &amp; Models → Visibility / Players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Model part colours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Skins &amp; Models → Visibility / Players → Player Part Colors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Teams and duel</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Skins &amp; Models → Visibility / Players → Visibility / Teams and Duel</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Visibility presets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Visibility &amp; Visuals → Visibility presets</w:t>
            </w:r>
          </w:p>
        </w:tc>
      </w:tr>
    </w:tbl>
    <w:p>
      <w:pPr>
        <w:spacing w:after="20"/>
      </w:pPr>
    </w:p>
    <w:p>
      <w:r>
        <w:br w:type="page"/>
      </w:r>
    </w:p>
    <w:p>
      <w:r>
        <w:br w:type="page"/>
      </w:r>
    </w:p>
    <w:p>
      <w:bookmarkStart w:id="6" w:name="Q2PX_S0006"/>
      <w:pPr>
        <w:pStyle w:val="Heading1"/>
      </w:pPr>
      <w:r>
        <w:t>1. Items and weapons</w:t>
      </w:r>
      <w:bookmarkEnd w:id="6"/>
    </w:p>
    <w:p>
      <w:bookmarkStart w:id="7" w:name="Q2PX_S0007"/>
      <w:pPr>
        <w:pStyle w:val="Heading2"/>
      </w:pPr>
      <w:r>
        <w:t>1.1. The main page</w:t>
      </w:r>
      <w:bookmarkEnd w:id="7"/>
    </w:p>
    <w:p>
      <w:pPr>
        <w:widowControl/>
      </w:pPr>
      <w:r>
        <w:rPr>
          <w:b/>
        </w:rPr>
        <w:t>Visibility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Graphics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cl_vis_overlay_batch</w:t>
            </w:r>
          </w:p>
        </w:tc>
        <w:tc>
          <w:tcPr>
            <w:tcW w:type="dxa" w:w="1984"/>
            <w:tcMar>
              <w:top w:w="70" w:type="dxa"/>
              <w:start w:w="90" w:type="dxa"/>
              <w:bottom w:w="70" w:type="dxa"/>
              <w:end w:w="90" w:type="dxa"/>
            </w:tcMar>
            <w:vAlign w:val="top"/>
            <w:shd w:fill="F2FAFE"/>
          </w:tcPr>
          <w:p>
            <w:pPr>
              <w:keepLines/>
              <w:widowControl/>
              <w:spacing w:after="0" w:before="0"/>
            </w:pPr>
            <w:r>
              <w:rPr>
                <w:sz w:val="16"/>
              </w:rPr>
              <w:t>Renderer path for visibility overlays. Applies immediately. [High / Performance]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all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Single-player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cl_vis_singleplayer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visibility highlights in local single-player/training.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q2prox_vis_items</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settings: style, alpha, scale, class toggles and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 settings: scale, per-weapon toggles and colours.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settings: mode, style, colours, team and duel logic.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2FAFE"/>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Lighting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q2prox_lighting_presets_hub</w:t>
            </w:r>
          </w:p>
        </w:tc>
        <w:tc>
          <w:tcPr>
            <w:tcW w:type="dxa" w:w="1984"/>
            <w:tcMar>
              <w:top w:w="70" w:type="dxa"/>
              <w:start w:w="90" w:type="dxa"/>
              <w:bottom w:w="70" w:type="dxa"/>
              <w:end w:w="90" w:type="dxa"/>
            </w:tcMar>
            <w:vAlign w:val="top"/>
            <w:shd w:fill="FFFFFF"/>
          </w:tcPr>
          <w:p>
            <w:pPr>
              <w:keepLines/>
              <w:widowControl/>
              <w:spacing w:after="0" w:before="0"/>
            </w:pPr>
            <w:r>
              <w:rPr>
                <w:sz w:val="16"/>
              </w:rPr>
              <w:t>Apply lighting and colour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Visibility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q2prox_visibility_presets</w:t>
            </w:r>
          </w:p>
        </w:tc>
        <w:tc>
          <w:tcPr>
            <w:tcW w:type="dxa" w:w="1984"/>
            <w:tcMar>
              <w:top w:w="70" w:type="dxa"/>
              <w:start w:w="90" w:type="dxa"/>
              <w:bottom w:w="70" w:type="dxa"/>
              <w:end w:w="90" w:type="dxa"/>
            </w:tcMar>
            <w:vAlign w:val="top"/>
            <w:shd w:fill="F2FAFE"/>
          </w:tcPr>
          <w:p>
            <w:pPr>
              <w:keepLines/>
              <w:widowControl/>
              <w:spacing w:after="0" w:before="0"/>
            </w:pPr>
            <w:r>
              <w:rPr>
                <w:sz w:val="16"/>
              </w:rPr>
              <w:t>Apply visibility highlight and bloom presets.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Visibility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item classification and visibility status.</w:t>
            </w:r>
          </w:p>
        </w:tc>
      </w:tr>
    </w:tbl>
    <w:p>
      <w:pPr>
        <w:spacing w:after="20"/>
      </w:pPr>
    </w:p>
    <w:p>
      <w:bookmarkStart w:id="8" w:name="Q2PX_S0008"/>
      <w:pPr>
        <w:pStyle w:val="Heading2"/>
      </w:pPr>
      <w:r>
        <w:t>1.2. Items</w:t>
      </w:r>
      <w:bookmarkEnd w:id="8"/>
    </w:p>
    <w:p>
      <w:pPr>
        <w:widowControl/>
      </w:pPr>
      <w:r>
        <w:t>Items have a style (off, shell, tint, shell and tint), opacity, shell opacity, shell thickness, brightness and scale. Item classes are enabled separately: health, armor, ammo, powerups and keys. Colours are configured per class.</w:t>
      </w:r>
    </w:p>
    <w:p>
      <w:pPr>
        <w:widowControl/>
      </w:pPr>
      <w:r>
        <w:rPr>
          <w:b/>
        </w:rPr>
        <w:t>Visibility / Items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w:t>
            </w:r>
          </w:p>
        </w:tc>
        <w:tc>
          <w:tcPr>
            <w:tcW w:type="dxa" w:w="1984"/>
            <w:tcMar>
              <w:top w:w="70" w:type="dxa"/>
              <w:start w:w="90" w:type="dxa"/>
              <w:bottom w:w="70" w:type="dxa"/>
              <w:end w:w="90" w:type="dxa"/>
            </w:tcMar>
            <w:vAlign w:val="top"/>
            <w:shd w:fill="F2FAFE"/>
          </w:tcPr>
          <w:p>
            <w:pPr>
              <w:keepLines/>
              <w:widowControl/>
              <w:spacing w:after="0" w:before="0"/>
            </w:pPr>
            <w:r>
              <w:rPr>
                <w:sz w:val="16"/>
              </w:rPr>
              <w:t>Toggle item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cl_vis_items_style</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item highlight overlay (tint and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item outline (shell) pass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item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item highlights; above 1 boosts saturation.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cl_vis_items_scale</w:t>
            </w:r>
          </w:p>
        </w:tc>
        <w:tc>
          <w:tcPr>
            <w:tcW w:type="dxa" w:w="1984"/>
            <w:tcMar>
              <w:top w:w="70" w:type="dxa"/>
              <w:start w:w="90" w:type="dxa"/>
              <w:bottom w:w="70" w:type="dxa"/>
              <w:end w:w="90" w:type="dxa"/>
            </w:tcMar>
            <w:vAlign w:val="top"/>
            <w:shd w:fill="F2FAFE"/>
          </w:tcPr>
          <w:p>
            <w:pPr>
              <w:keepLines/>
              <w:widowControl/>
              <w:spacing w:after="0" w:before="0"/>
            </w:pPr>
            <w:r>
              <w:rPr>
                <w:sz w:val="16"/>
              </w:rPr>
              <w:t>Enlarge pickup items so they read from range; 1 = stock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toggles...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q2prox_vis_toggles</w:t>
            </w:r>
          </w:p>
        </w:tc>
        <w:tc>
          <w:tcPr>
            <w:tcW w:type="dxa" w:w="1984"/>
            <w:tcMar>
              <w:top w:w="70" w:type="dxa"/>
              <w:start w:w="90" w:type="dxa"/>
              <w:bottom w:w="70" w:type="dxa"/>
              <w:end w:w="90" w:type="dxa"/>
            </w:tcMar>
            <w:vAlign w:val="top"/>
            <w:shd w:fill="FFFFFF"/>
          </w:tcPr>
          <w:p>
            <w:pPr>
              <w:keepLines/>
              <w:widowControl/>
              <w:spacing w:after="0" w:before="0"/>
            </w:pPr>
            <w:r>
              <w:rPr>
                <w:sz w:val="16"/>
              </w:rPr>
              <w:t>Per-class item toggles: health, armor, ammo, powerups and keys.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q2prox_vis_colors</w:t>
            </w:r>
          </w:p>
        </w:tc>
        <w:tc>
          <w:tcPr>
            <w:tcW w:type="dxa" w:w="1984"/>
            <w:tcMar>
              <w:top w:w="70" w:type="dxa"/>
              <w:start w:w="90" w:type="dxa"/>
              <w:bottom w:w="70" w:type="dxa"/>
              <w:end w:w="90" w:type="dxa"/>
            </w:tcMar>
            <w:vAlign w:val="top"/>
            <w:shd w:fill="F2FAFE"/>
          </w:tcPr>
          <w:p>
            <w:pPr>
              <w:keepLines/>
              <w:widowControl/>
              <w:spacing w:after="0" w:before="0"/>
            </w:pPr>
            <w:r>
              <w:rPr>
                <w:sz w:val="16"/>
              </w:rPr>
              <w:t>Per-class item colours.</w:t>
            </w:r>
          </w:p>
        </w:tc>
      </w:tr>
    </w:tbl>
    <w:p>
      <w:pPr>
        <w:spacing w:after="20"/>
      </w:pPr>
    </w:p>
    <w:p>
      <w:bookmarkStart w:id="9" w:name="Q2PX_S0009"/>
      <w:pPr>
        <w:pStyle w:val="Heading2"/>
      </w:pPr>
      <w:r>
        <w:t>1.3. Weapons</w:t>
      </w:r>
      <w:bookmarkEnd w:id="9"/>
    </w:p>
    <w:p>
      <w:pPr>
        <w:widowControl/>
      </w:pPr>
      <w:r>
        <w:t>Weapons have their own master switch, a scale, per-weapon toggles and per-weapon colours. Those same colours can be used as the palette for the carried weapon in model-parts mode.</w:t>
      </w:r>
    </w:p>
    <w:p>
      <w:pPr>
        <w:widowControl/>
      </w:pPr>
      <w:r>
        <w:rPr>
          <w:b/>
        </w:rPr>
        <w:t>Visibility /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Toggle weapon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cl_vis_weapons_scale</w:t>
            </w:r>
          </w:p>
        </w:tc>
        <w:tc>
          <w:tcPr>
            <w:tcW w:type="dxa" w:w="1984"/>
            <w:tcMar>
              <w:top w:w="70" w:type="dxa"/>
              <w:start w:w="90" w:type="dxa"/>
              <w:bottom w:w="70" w:type="dxa"/>
              <w:end w:w="90" w:type="dxa"/>
            </w:tcMar>
            <w:vAlign w:val="top"/>
            <w:shd w:fill="FFFFFF"/>
          </w:tcPr>
          <w:p>
            <w:pPr>
              <w:keepLines/>
              <w:widowControl/>
              <w:spacing w:after="0" w:before="0"/>
            </w:pPr>
            <w:r>
              <w:rPr>
                <w:sz w:val="16"/>
              </w:rPr>
              <w:t>Enlarge dropped weapons so they read from range; 1 = stock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q2prox_vis_weapon_toggles</w:t>
            </w:r>
          </w:p>
        </w:tc>
        <w:tc>
          <w:tcPr>
            <w:tcW w:type="dxa" w:w="1984"/>
            <w:tcMar>
              <w:top w:w="70" w:type="dxa"/>
              <w:start w:w="90" w:type="dxa"/>
              <w:bottom w:w="70" w:type="dxa"/>
              <w:end w:w="90" w:type="dxa"/>
            </w:tcMar>
            <w:vAlign w:val="top"/>
            <w:shd w:fill="F2FAFE"/>
          </w:tcPr>
          <w:p>
            <w:pPr>
              <w:keepLines/>
              <w:widowControl/>
              <w:spacing w:after="0" w:before="0"/>
            </w:pPr>
            <w:r>
              <w:rPr>
                <w:sz w:val="16"/>
              </w:rPr>
              <w:t>Per-weapon enable toggles.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q2prox_vis_weapon_colors</w:t>
            </w:r>
          </w:p>
        </w:tc>
        <w:tc>
          <w:tcPr>
            <w:tcW w:type="dxa" w:w="1984"/>
            <w:tcMar>
              <w:top w:w="70" w:type="dxa"/>
              <w:start w:w="90" w:type="dxa"/>
              <w:bottom w:w="70" w:type="dxa"/>
              <w:end w:w="90" w:type="dxa"/>
            </w:tcMar>
            <w:vAlign w:val="top"/>
            <w:shd w:fill="FFFFFF"/>
          </w:tcPr>
          <w:p>
            <w:pPr>
              <w:keepLines/>
              <w:widowControl/>
              <w:spacing w:after="0" w:before="0"/>
            </w:pPr>
            <w:r>
              <w:rPr>
                <w:sz w:val="16"/>
              </w:rPr>
              <w:t>Per-weapon colours.</w:t>
            </w:r>
          </w:p>
        </w:tc>
      </w:tr>
    </w:tbl>
    <w:p>
      <w:pPr>
        <w:spacing w:after="20"/>
      </w:pPr>
    </w:p>
    <w:p>
      <w:r>
        <w:br w:type="page"/>
      </w:r>
    </w:p>
    <w:p>
      <w:r>
        <w:br w:type="page"/>
      </w:r>
    </w:p>
    <w:p>
      <w:bookmarkStart w:id="10" w:name="Q2PX_S0010"/>
      <w:pPr>
        <w:pStyle w:val="Heading1"/>
      </w:pPr>
      <w:r>
        <w:t>2. Players</w:t>
      </w:r>
      <w:bookmarkEnd w:id="10"/>
    </w:p>
    <w:p>
      <w:bookmarkStart w:id="11" w:name="Q2PX_S0011"/>
      <w:pPr>
        <w:pStyle w:val="Heading2"/>
      </w:pPr>
      <w:r>
        <w:t>2.1. Highlight modes</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1=all / 2=random FFA / 3=duel / 4=auto / 5=team / 6=model / 7=model parts</w:t>
            </w:r>
          </w:p>
        </w:tc>
        <w:tc>
          <w:tcPr>
            <w:tcW w:type="dxa" w:w="3307"/>
            <w:tcMar>
              <w:top w:w="70" w:type="dxa"/>
              <w:start w:w="90" w:type="dxa"/>
              <w:bottom w:w="70" w:type="dxa"/>
              <w:end w:w="90" w:type="dxa"/>
            </w:tcMar>
            <w:vAlign w:val="top"/>
            <w:shd w:fill="F2FAFE"/>
          </w:tcPr>
          <w:p>
            <w:pPr>
              <w:keepLines/>
              <w:widowControl/>
              <w:spacing w:after="0" w:before="0"/>
            </w:pPr>
            <w:r>
              <w:rPr>
                <w:sz w:val="18"/>
              </w:rPr>
              <w:t>Player highlight classification mode. 0=off; 1=all; 2=random FFA; 3=duel; 4=auto; 5=team; 6=model (old uniform colour per resolved player-model directory); 7=model parts (separate head/arms/torso/legs/weapon colours, with detailed controls in Player part colors).</w:t>
            </w:r>
          </w:p>
        </w:tc>
      </w:tr>
    </w:tbl>
    <w:p>
      <w:pPr>
        <w:spacing w:after="20"/>
      </w:pP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Mode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Off</w:t>
            </w:r>
          </w:p>
        </w:tc>
        <w:tc>
          <w:tcPr>
            <w:tcW w:type="dxa" w:w="4961"/>
            <w:tcMar>
              <w:top w:w="70" w:type="dxa"/>
              <w:start w:w="90" w:type="dxa"/>
              <w:bottom w:w="70" w:type="dxa"/>
              <w:end w:w="90" w:type="dxa"/>
            </w:tcMar>
            <w:vAlign w:val="top"/>
            <w:shd w:fill="F2FAFE"/>
          </w:tcPr>
          <w:p>
            <w:pPr>
              <w:keepLines/>
              <w:widowControl/>
              <w:spacing w:after="0" w:before="0"/>
            </w:pPr>
            <w:r>
              <w:rPr>
                <w:sz w:val="18"/>
              </w:rPr>
              <w:t>Players are not highlighted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All</w:t>
            </w:r>
          </w:p>
        </w:tc>
        <w:tc>
          <w:tcPr>
            <w:tcW w:type="dxa" w:w="4961"/>
            <w:tcMar>
              <w:top w:w="70" w:type="dxa"/>
              <w:start w:w="90" w:type="dxa"/>
              <w:bottom w:w="70" w:type="dxa"/>
              <w:end w:w="90" w:type="dxa"/>
            </w:tcMar>
            <w:vAlign w:val="top"/>
            <w:shd w:fill="FFFFFF"/>
          </w:tcPr>
          <w:p>
            <w:pPr>
              <w:keepLines/>
              <w:widowControl/>
              <w:spacing w:after="0" w:before="0"/>
            </w:pPr>
            <w:r>
              <w:rPr>
                <w:sz w:val="18"/>
              </w:rPr>
              <w:t>One common mode for everybody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Random FFA</w:t>
            </w:r>
          </w:p>
        </w:tc>
        <w:tc>
          <w:tcPr>
            <w:tcW w:type="dxa" w:w="4961"/>
            <w:tcMar>
              <w:top w:w="70" w:type="dxa"/>
              <w:start w:w="90" w:type="dxa"/>
              <w:bottom w:w="70" w:type="dxa"/>
              <w:end w:w="90" w:type="dxa"/>
            </w:tcMar>
            <w:vAlign w:val="top"/>
            <w:shd w:fill="F2FAFE"/>
          </w:tcPr>
          <w:p>
            <w:pPr>
              <w:keepLines/>
              <w:widowControl/>
              <w:spacing w:after="0" w:before="0"/>
            </w:pPr>
            <w:r>
              <w:rPr>
                <w:sz w:val="18"/>
              </w:rPr>
              <w:t>Different colours in free-for-all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Duel</w:t>
            </w:r>
          </w:p>
        </w:tc>
        <w:tc>
          <w:tcPr>
            <w:tcW w:type="dxa" w:w="4961"/>
            <w:tcMar>
              <w:top w:w="70" w:type="dxa"/>
              <w:start w:w="90" w:type="dxa"/>
              <w:bottom w:w="70" w:type="dxa"/>
              <w:end w:w="90" w:type="dxa"/>
            </w:tcMar>
            <w:vAlign w:val="top"/>
            <w:shd w:fill="FFFFFF"/>
          </w:tcPr>
          <w:p>
            <w:pPr>
              <w:keepLines/>
              <w:widowControl/>
              <w:spacing w:after="0" w:before="0"/>
            </w:pPr>
            <w:r>
              <w:rPr>
                <w:sz w:val="18"/>
              </w:rPr>
              <w:t>Marks the duel pair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Auto</w:t>
            </w:r>
          </w:p>
        </w:tc>
        <w:tc>
          <w:tcPr>
            <w:tcW w:type="dxa" w:w="4961"/>
            <w:tcMar>
              <w:top w:w="70" w:type="dxa"/>
              <w:start w:w="90" w:type="dxa"/>
              <w:bottom w:w="70" w:type="dxa"/>
              <w:end w:w="90" w:type="dxa"/>
            </w:tcMar>
            <w:vAlign w:val="top"/>
            <w:shd w:fill="F2FAFE"/>
          </w:tcPr>
          <w:p>
            <w:pPr>
              <w:keepLines/>
              <w:widowControl/>
              <w:spacing w:after="0" w:before="0"/>
            </w:pPr>
            <w:r>
              <w:rPr>
                <w:sz w:val="18"/>
              </w:rPr>
              <w:t>Automatic logic with a safe fallback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Team</w:t>
            </w:r>
          </w:p>
        </w:tc>
        <w:tc>
          <w:tcPr>
            <w:tcW w:type="dxa" w:w="4961"/>
            <w:tcMar>
              <w:top w:w="70" w:type="dxa"/>
              <w:start w:w="90" w:type="dxa"/>
              <w:bottom w:w="70" w:type="dxa"/>
              <w:end w:w="90" w:type="dxa"/>
            </w:tcMar>
            <w:vAlign w:val="top"/>
            <w:shd w:fill="FFFFFF"/>
          </w:tcPr>
          <w:p>
            <w:pPr>
              <w:keepLines/>
              <w:widowControl/>
              <w:spacing w:after="0" w:before="0"/>
            </w:pPr>
            <w:r>
              <w:rPr>
                <w:sz w:val="18"/>
              </w:rPr>
              <w:t>Friendly and enemy colours from the team source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Model</w:t>
            </w:r>
          </w:p>
        </w:tc>
        <w:tc>
          <w:tcPr>
            <w:tcW w:type="dxa" w:w="4961"/>
            <w:tcMar>
              <w:top w:w="70" w:type="dxa"/>
              <w:start w:w="90" w:type="dxa"/>
              <w:bottom w:w="70" w:type="dxa"/>
              <w:end w:w="90" w:type="dxa"/>
            </w:tcMar>
            <w:vAlign w:val="top"/>
            <w:shd w:fill="F2FAFE"/>
          </w:tcPr>
          <w:p>
            <w:pPr>
              <w:keepLines/>
              <w:widowControl/>
              <w:spacing w:after="0" w:before="0"/>
            </w:pPr>
            <w:r>
              <w:rPr>
                <w:sz w:val="18"/>
              </w:rPr>
              <w:t>A uniform colour per model</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Model parts</w:t>
            </w:r>
          </w:p>
        </w:tc>
        <w:tc>
          <w:tcPr>
            <w:tcW w:type="dxa" w:w="4961"/>
            <w:tcMar>
              <w:top w:w="70" w:type="dxa"/>
              <w:start w:w="90" w:type="dxa"/>
              <w:bottom w:w="70" w:type="dxa"/>
              <w:end w:w="90" w:type="dxa"/>
            </w:tcMar>
            <w:vAlign w:val="top"/>
            <w:shd w:fill="FFFFFF"/>
          </w:tcPr>
          <w:p>
            <w:pPr>
              <w:keepLines/>
              <w:widowControl/>
              <w:spacing w:after="0" w:before="0"/>
            </w:pPr>
            <w:r>
              <w:rPr>
                <w:sz w:val="18"/>
              </w:rPr>
              <w:t>Separate colours for head, arms, torso, legs and weapon</w:t>
            </w:r>
          </w:p>
        </w:tc>
      </w:tr>
    </w:tbl>
    <w:p>
      <w:pPr>
        <w:spacing w:after="20"/>
      </w:pPr>
    </w:p>
    <w:p>
      <w:pPr>
        <w:widowControl/>
      </w:pPr>
      <w:r>
        <w:t>The player style also has off, shell, tint and shell-and-tint variants, opacity, shell opacity and thickness, scale and brightness.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Player scale</w:t>
            </w:r>
            <w:r>
              <w:t xml:space="preserve"> applies only in single player or while watching </w:t>
            </w:r>
            <w:r>
              <w:rPr>
                <w:rFonts w:ascii="Cascadia Mono" w:hAnsi="Cascadia Mono" w:eastAsia="Cascadia Mono"/>
                <w:color w:val="153A5B"/>
                <w:sz w:val="17"/>
              </w:rPr>
              <w:t>.dm2</w:t>
            </w:r>
            <w:r>
              <w:t xml:space="preserve"> and </w:t>
            </w:r>
            <w:r>
              <w:rPr>
                <w:rFonts w:ascii="Cascadia Mono" w:hAnsi="Cascadia Mono" w:eastAsia="Cascadia Mono"/>
                <w:color w:val="153A5B"/>
                <w:sz w:val="17"/>
              </w:rPr>
              <w:t>.mvd2</w:t>
            </w:r>
            <w:r>
              <w:t xml:space="preserve"> recordings. On a live server the model keeps its standard size.</w:t>
            </w:r>
          </w:p>
        </w:tc>
      </w:tr>
    </w:tbl>
    <w:p>
      <w:pPr>
        <w:spacing w:after="40"/>
      </w:pPr>
    </w:p>
    <w:p>
      <w:bookmarkStart w:id="12" w:name="Q2PX_S0012"/>
      <w:pPr>
        <w:pStyle w:val="Heading2"/>
      </w:pPr>
      <w:r>
        <w:t>2.2. The player highlighting page</w:t>
      </w:r>
      <w:bookmarkEnd w:id="12"/>
    </w:p>
    <w:p>
      <w:pPr>
        <w:widowControl/>
      </w:pPr>
      <w:r>
        <w:rPr>
          <w:b/>
        </w:rPr>
        <w:t>Visibility / Players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Toggle player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Skins &amp;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2FAFE"/>
          </w:tcPr>
          <w:p>
            <w:pPr>
              <w:keepLines/>
              <w:widowControl/>
              <w:spacing w:after="0" w:before="0"/>
            </w:pPr>
            <w:r>
              <w:rPr>
                <w:sz w:val="16"/>
              </w:rPr>
              <w:t>Open skin/model override and player setup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cl_vis_players_mode</w:t>
            </w:r>
          </w:p>
        </w:tc>
        <w:tc>
          <w:tcPr>
            <w:tcW w:type="dxa" w:w="1984"/>
            <w:tcMar>
              <w:top w:w="70" w:type="dxa"/>
              <w:start w:w="90" w:type="dxa"/>
              <w:bottom w:w="70" w:type="dxa"/>
              <w:end w:w="90" w:type="dxa"/>
            </w:tcMar>
            <w:vAlign w:val="top"/>
            <w:shd w:fill="FFFFFF"/>
          </w:tcPr>
          <w:p>
            <w:pPr>
              <w:keepLines/>
              <w:widowControl/>
              <w:spacing w:after="0" w:before="0"/>
            </w:pPr>
            <w:r>
              <w:rPr>
                <w:sz w:val="16"/>
              </w:rPr>
              <w:t>off/all/random FFA/duel/auto/team/model/model parts. Model = old uniform per-model colour. Model parts = separate head/arms/torso/legs/weapon colours. Applies immediately. [off / all / random FFA / duel / auto / team / model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q2prox_vis_player_model_colors</w:t>
            </w:r>
          </w:p>
        </w:tc>
        <w:tc>
          <w:tcPr>
            <w:tcW w:type="dxa" w:w="1984"/>
            <w:tcMar>
              <w:top w:w="70" w:type="dxa"/>
              <w:start w:w="90" w:type="dxa"/>
              <w:bottom w:w="70" w:type="dxa"/>
              <w:end w:w="90" w:type="dxa"/>
            </w:tcMar>
            <w:vAlign w:val="top"/>
            <w:shd w:fill="F2FAFE"/>
          </w:tcPr>
          <w:p>
            <w:pPr>
              <w:keepLines/>
              <w:widowControl/>
              <w:spacing w:after="0" w:before="0"/>
            </w:pPr>
            <w:r>
              <w:rPr>
                <w:sz w:val="16"/>
              </w:rPr>
              <w:t>Old uniform per-model colours for Player mode =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part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w:t>
            </w:r>
          </w:p>
        </w:tc>
        <w:tc>
          <w:tcPr>
            <w:tcW w:type="dxa" w:w="1984"/>
            <w:tcMar>
              <w:top w:w="70" w:type="dxa"/>
              <w:start w:w="90" w:type="dxa"/>
              <w:bottom w:w="70" w:type="dxa"/>
              <w:end w:w="90" w:type="dxa"/>
            </w:tcMar>
            <w:vAlign w:val="top"/>
            <w:shd w:fill="FFFFFF"/>
          </w:tcPr>
          <w:p>
            <w:pPr>
              <w:keepLines/>
              <w:widowControl/>
              <w:spacing w:after="0" w:before="0"/>
            </w:pPr>
            <w:r>
              <w:rPr>
                <w:sz w:val="16"/>
              </w:rPr>
              <w:t>Body-part colours for Player mode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cl_vis_players_style</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cl_vis_players_alpha</w:t>
            </w:r>
          </w:p>
        </w:tc>
        <w:tc>
          <w:tcPr>
            <w:tcW w:type="dxa" w:w="1984"/>
            <w:tcMar>
              <w:top w:w="70" w:type="dxa"/>
              <w:start w:w="90" w:type="dxa"/>
              <w:bottom w:w="70" w:type="dxa"/>
              <w:end w:w="90" w:type="dxa"/>
            </w:tcMar>
            <w:vAlign w:val="top"/>
            <w:shd w:fill="F2FAFE"/>
          </w:tcPr>
          <w:p>
            <w:pPr>
              <w:keepLines/>
              <w:widowControl/>
              <w:spacing w:after="0" w:before="0"/>
            </w:pPr>
            <w:r>
              <w:rPr>
                <w:sz w:val="16"/>
              </w:rPr>
              <w:t>Whole-player tint alpha. In Model+parts mode the part tint can replace this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player outline (shell) pass.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player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cl_vis_players_scale</w:t>
            </w:r>
          </w:p>
        </w:tc>
        <w:tc>
          <w:tcPr>
            <w:tcW w:type="dxa" w:w="1984"/>
            <w:tcMar>
              <w:top w:w="70" w:type="dxa"/>
              <w:start w:w="90" w:type="dxa"/>
              <w:bottom w:w="70" w:type="dxa"/>
              <w:end w:w="90" w:type="dxa"/>
            </w:tcMar>
            <w:vAlign w:val="top"/>
            <w:shd w:fill="FFFFFF"/>
          </w:tcPr>
          <w:p>
            <w:pPr>
              <w:keepLines/>
              <w:widowControl/>
              <w:spacing w:after="0" w:before="0"/>
            </w:pPr>
            <w:r>
              <w:rPr>
                <w:sz w:val="16"/>
              </w:rPr>
              <w:t>Player model size. Applied ONLY in single-player or during .dm2/.mvd2 demo playback. Stock size on a live deathmatch server. Range 0.1..5.0,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player highlights; above 1 adds an emissive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Highlight self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cl_vis_players_self</w:t>
            </w:r>
          </w:p>
        </w:tc>
        <w:tc>
          <w:tcPr>
            <w:tcW w:type="dxa" w:w="1984"/>
            <w:tcMar>
              <w:top w:w="70" w:type="dxa"/>
              <w:start w:w="90" w:type="dxa"/>
              <w:bottom w:w="70" w:type="dxa"/>
              <w:end w:w="90" w:type="dxa"/>
            </w:tcMar>
            <w:vAlign w:val="top"/>
            <w:shd w:fill="FFFFFF"/>
          </w:tcPr>
          <w:p>
            <w:pPr>
              <w:keepLines/>
              <w:widowControl/>
              <w:spacing w:after="0" w:before="0"/>
            </w:pPr>
            <w:r>
              <w:rPr>
                <w:sz w:val="16"/>
              </w:rPr>
              <w:t>Also highlight yourself (visible only in third-person/chasecam).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Rules</w:t>
            </w:r>
          </w:p>
        </w:tc>
        <w:tc>
          <w:tcPr>
            <w:tcW w:type="dxa" w:w="1984"/>
            <w:tcMar>
              <w:top w:w="70" w:type="dxa"/>
              <w:start w:w="90" w:type="dxa"/>
              <w:bottom w:w="70" w:type="dxa"/>
              <w:end w:w="90" w:type="dxa"/>
            </w:tcMar>
            <w:vAlign w:val="top"/>
            <w:shd w:fill="FFFFFF"/>
          </w:tcPr>
          <w:p>
            <w:pPr>
              <w:keepLines/>
              <w:widowControl/>
              <w:spacing w:after="0" w:before="0"/>
            </w:pPr>
            <w:r>
              <w:rPr>
                <w:sz w:val="16"/>
              </w:rPr>
              <w:t>Teams and duel...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q2prox_vis_player_rules</w:t>
            </w:r>
          </w:p>
        </w:tc>
        <w:tc>
          <w:tcPr>
            <w:tcW w:type="dxa" w:w="1984"/>
            <w:tcMar>
              <w:top w:w="70" w:type="dxa"/>
              <w:start w:w="90" w:type="dxa"/>
              <w:bottom w:w="70" w:type="dxa"/>
              <w:end w:w="90" w:type="dxa"/>
            </w:tcMar>
            <w:vAlign w:val="top"/>
            <w:shd w:fill="FFFFFF"/>
          </w:tcPr>
          <w:p>
            <w:pPr>
              <w:keepLines/>
              <w:widowControl/>
              <w:spacing w:after="0" w:before="0"/>
            </w:pPr>
            <w:r>
              <w:rPr>
                <w:sz w:val="16"/>
              </w:rPr>
              <w:t>Team, duel and auto-mode rules.</w:t>
            </w:r>
          </w:p>
        </w:tc>
      </w:tr>
    </w:tbl>
    <w:p>
      <w:pPr>
        <w:spacing w:after="20"/>
      </w:pPr>
    </w:p>
    <w:p>
      <w:bookmarkStart w:id="13" w:name="Q2PX_S0013"/>
      <w:pPr>
        <w:pStyle w:val="Heading2"/>
      </w:pPr>
      <w:r>
        <w:t>2.3. Teams and duel</w:t>
      </w:r>
      <w:bookmarkEnd w:id="13"/>
    </w:p>
    <w:p>
      <w:pPr>
        <w:widowControl/>
      </w:pPr>
      <w:r>
        <w:rPr>
          <w:b/>
        </w:rPr>
        <w:t>Visibility / Teams and Duel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 fallback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cl_vis_players_auto_fallback</w:t>
            </w:r>
          </w:p>
        </w:tc>
        <w:tc>
          <w:tcPr>
            <w:tcW w:type="dxa" w:w="1984"/>
            <w:tcMar>
              <w:top w:w="70" w:type="dxa"/>
              <w:start w:w="90" w:type="dxa"/>
              <w:bottom w:w="70" w:type="dxa"/>
              <w:end w:w="90" w:type="dxa"/>
            </w:tcMar>
            <w:vAlign w:val="top"/>
            <w:shd w:fill="F2FAFE"/>
          </w:tcPr>
          <w:p>
            <w:pPr>
              <w:keepLines/>
              <w:widowControl/>
              <w:spacing w:after="0" w:before="0"/>
            </w:pPr>
            <w:r>
              <w:rPr>
                <w:sz w:val="16"/>
              </w:rPr>
              <w:t>Auto-mode fallback when team/duel can't be resolved (default Random FFA). Applies immediately. [all / Random 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Duel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cl_vis_players_duel_hold_ms</w:t>
            </w:r>
          </w:p>
        </w:tc>
        <w:tc>
          <w:tcPr>
            <w:tcW w:type="dxa" w:w="1984"/>
            <w:tcMar>
              <w:top w:w="70" w:type="dxa"/>
              <w:start w:w="90" w:type="dxa"/>
              <w:bottom w:w="70" w:type="dxa"/>
              <w:end w:w="90" w:type="dxa"/>
            </w:tcMar>
            <w:vAlign w:val="top"/>
            <w:shd w:fill="FFFFFF"/>
          </w:tcPr>
          <w:p>
            <w:pPr>
              <w:keepLines/>
              <w:widowControl/>
              <w:spacing w:after="0" w:before="0"/>
            </w:pPr>
            <w:r>
              <w:rPr>
                <w:sz w:val="16"/>
              </w:rPr>
              <w:t>How long a detected duel pair stays locked, in 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cl_vis_players_team_source</w:t>
            </w:r>
          </w:p>
        </w:tc>
        <w:tc>
          <w:tcPr>
            <w:tcW w:type="dxa" w:w="1984"/>
            <w:tcMar>
              <w:top w:w="70" w:type="dxa"/>
              <w:start w:w="90" w:type="dxa"/>
              <w:bottom w:w="70" w:type="dxa"/>
              <w:end w:w="90" w:type="dxa"/>
            </w:tcMar>
            <w:vAlign w:val="top"/>
            <w:shd w:fill="F2FAFE"/>
          </w:tcPr>
          <w:p>
            <w:pPr>
              <w:keepLines/>
              <w:widowControl/>
              <w:spacing w:after="0" w:before="0"/>
            </w:pPr>
            <w:r>
              <w:rPr>
                <w:sz w:val="16"/>
              </w:rPr>
              <w:t>Team detection source: off, auto (skin-based), or OpenTDM. Applies immediately. [off / auto / opentdm]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Team fallback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cl_vis_players_team_fallback</w:t>
            </w:r>
          </w:p>
        </w:tc>
        <w:tc>
          <w:tcPr>
            <w:tcW w:type="dxa" w:w="1984"/>
            <w:tcMar>
              <w:top w:w="70" w:type="dxa"/>
              <w:start w:w="90" w:type="dxa"/>
              <w:bottom w:w="70" w:type="dxa"/>
              <w:end w:w="90" w:type="dxa"/>
            </w:tcMar>
            <w:vAlign w:val="top"/>
            <w:shd w:fill="FFFFFF"/>
          </w:tcPr>
          <w:p>
            <w:pPr>
              <w:keepLines/>
              <w:widowControl/>
              <w:spacing w:after="0" w:before="0"/>
            </w:pPr>
            <w:r>
              <w:rPr>
                <w:sz w:val="16"/>
              </w:rPr>
              <w:t>Team-mode fallback when a side can't be resolved (default Duel). Applies immediately. [all / Random FFA / duel]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cl_vis_players_team_hold_ms</w:t>
            </w:r>
          </w:p>
        </w:tc>
        <w:tc>
          <w:tcPr>
            <w:tcW w:type="dxa" w:w="1984"/>
            <w:tcMar>
              <w:top w:w="70" w:type="dxa"/>
              <w:start w:w="90" w:type="dxa"/>
              <w:bottom w:w="70" w:type="dxa"/>
              <w:end w:w="90" w:type="dxa"/>
            </w:tcMar>
            <w:vAlign w:val="top"/>
            <w:shd w:fill="F2FAFE"/>
          </w:tcPr>
          <w:p>
            <w:pPr>
              <w:keepLines/>
              <w:widowControl/>
              <w:spacing w:after="0" w:before="0"/>
            </w:pPr>
            <w:r>
              <w:rPr>
                <w:sz w:val="16"/>
              </w:rPr>
              <w:t>How long a team assignment stays held if data goes stale, in 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Friendly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cl_vis_players_team_friendly_color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for teammates in Team mode.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Enemy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cl_vis_players_team_enemy_color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for enemies in Team mode. Applies immediately. [Dark / Grey / Brown / Dark red / Red / Orange / Gold / Yellow / Green-yellow / Green / Lime / Pure green / Mint / Cyan / Sky / Aqua / Blue / Azure / Magenta / Violet / White]</w:t>
            </w:r>
          </w:p>
        </w:tc>
      </w:tr>
    </w:tbl>
    <w:p>
      <w:pPr>
        <w:spacing w:after="20"/>
      </w:pPr>
    </w:p>
    <w:p>
      <w:r>
        <w:br w:type="page"/>
      </w:r>
    </w:p>
    <w:p>
      <w:r>
        <w:br w:type="page"/>
      </w:r>
    </w:p>
    <w:p>
      <w:bookmarkStart w:id="14" w:name="Q2PX_S0014"/>
      <w:pPr>
        <w:pStyle w:val="Heading1"/>
      </w:pPr>
      <w:r>
        <w:t>3. Model parts</w:t>
      </w:r>
      <w:bookmarkEnd w:id="14"/>
    </w:p>
    <w:p>
      <w:pPr>
        <w:widowControl/>
      </w:pPr>
      <w:r>
        <w:t>The Model parts mode colours parts of the model on the fly: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Part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cl_vis_player_parts_head_color</w:t>
            </w:r>
          </w:p>
        </w:tc>
        <w:tc>
          <w:tcPr>
            <w:tcW w:type="dxa" w:w="4961"/>
            <w:tcMar>
              <w:top w:w="70" w:type="dxa"/>
              <w:start w:w="90" w:type="dxa"/>
              <w:bottom w:w="70" w:type="dxa"/>
              <w:end w:w="90" w:type="dxa"/>
            </w:tcMar>
            <w:vAlign w:val="top"/>
            <w:shd w:fill="F2FAFE"/>
          </w:tcPr>
          <w:p>
            <w:pPr>
              <w:keepLines/>
              <w:widowControl/>
              <w:spacing w:after="0" w:before="0"/>
            </w:pPr>
            <w:r>
              <w:rPr>
                <w:sz w:val="18"/>
              </w:rPr>
              <w:t>Head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cl_vis_player_parts_arms_color</w:t>
            </w:r>
          </w:p>
        </w:tc>
        <w:tc>
          <w:tcPr>
            <w:tcW w:type="dxa" w:w="4961"/>
            <w:tcMar>
              <w:top w:w="70" w:type="dxa"/>
              <w:start w:w="90" w:type="dxa"/>
              <w:bottom w:w="70" w:type="dxa"/>
              <w:end w:w="90" w:type="dxa"/>
            </w:tcMar>
            <w:vAlign w:val="top"/>
            <w:shd w:fill="FFFFFF"/>
          </w:tcPr>
          <w:p>
            <w:pPr>
              <w:keepLines/>
              <w:widowControl/>
              <w:spacing w:after="0" w:before="0"/>
            </w:pPr>
            <w:r>
              <w:rPr>
                <w:sz w:val="18"/>
              </w:rPr>
              <w:t>Arms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cl_vis_player_parts_torso_color</w:t>
            </w:r>
          </w:p>
        </w:tc>
        <w:tc>
          <w:tcPr>
            <w:tcW w:type="dxa" w:w="4961"/>
            <w:tcMar>
              <w:top w:w="70" w:type="dxa"/>
              <w:start w:w="90" w:type="dxa"/>
              <w:bottom w:w="70" w:type="dxa"/>
              <w:end w:w="90" w:type="dxa"/>
            </w:tcMar>
            <w:vAlign w:val="top"/>
            <w:shd w:fill="F2FAFE"/>
          </w:tcPr>
          <w:p>
            <w:pPr>
              <w:keepLines/>
              <w:widowControl/>
              <w:spacing w:after="0" w:before="0"/>
            </w:pPr>
            <w:r>
              <w:rPr>
                <w:sz w:val="18"/>
              </w:rPr>
              <w:t>Torso</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cl_vis_player_parts_legs_color</w:t>
            </w:r>
          </w:p>
        </w:tc>
        <w:tc>
          <w:tcPr>
            <w:tcW w:type="dxa" w:w="4961"/>
            <w:tcMar>
              <w:top w:w="70" w:type="dxa"/>
              <w:start w:w="90" w:type="dxa"/>
              <w:bottom w:w="70" w:type="dxa"/>
              <w:end w:w="90" w:type="dxa"/>
            </w:tcMar>
            <w:vAlign w:val="top"/>
            <w:shd w:fill="FFFFFF"/>
          </w:tcPr>
          <w:p>
            <w:pPr>
              <w:keepLines/>
              <w:widowControl/>
              <w:spacing w:after="0" w:before="0"/>
            </w:pPr>
            <w:r>
              <w:rPr>
                <w:sz w:val="18"/>
              </w:rPr>
              <w:t>Legs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cl_vis_player_parts_weapon_color</w:t>
            </w:r>
          </w:p>
        </w:tc>
        <w:tc>
          <w:tcPr>
            <w:tcW w:type="dxa" w:w="4961"/>
            <w:tcMar>
              <w:top w:w="70" w:type="dxa"/>
              <w:start w:w="90" w:type="dxa"/>
              <w:bottom w:w="70" w:type="dxa"/>
              <w:end w:w="90" w:type="dxa"/>
            </w:tcMar>
            <w:vAlign w:val="top"/>
            <w:shd w:fill="F2FAFE"/>
          </w:tcPr>
          <w:p>
            <w:pPr>
              <w:keepLines/>
              <w:widowControl/>
              <w:spacing w:after="0" w:before="0"/>
            </w:pPr>
            <w:r>
              <w:rPr>
                <w:sz w:val="18"/>
              </w:rPr>
              <w:t>The carried weapon</w:t>
            </w:r>
          </w:p>
        </w:tc>
      </w:tr>
    </w:tbl>
    <w:p>
      <w:pPr>
        <w:spacing w:after="20"/>
      </w:pPr>
    </w:p>
    <w:p>
      <w:pPr>
        <w:widowControl/>
      </w:pPr>
      <w:r>
        <w:t>Both model paths are supported — MD2 and MD5. For MD5 the skeleton, the animation and the skin path are preserved: Q2PRO-X never falls back to MD2 for the sake of a highlight.</w:t>
      </w:r>
    </w:p>
    <w:p>
      <w:bookmarkStart w:id="15" w:name="Q2PX_S0015"/>
      <w:pPr>
        <w:pStyle w:val="Heading2"/>
      </w:pPr>
      <w:r>
        <w:t>3.1. The complete settings page</w:t>
      </w:r>
      <w:bookmarkEnd w:id="15"/>
    </w:p>
    <w:p>
      <w:pPr>
        <w:widowControl/>
      </w:pPr>
      <w:r>
        <w:rPr>
          <w:b/>
        </w:rPr>
        <w:t>Player Part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Color 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cl_vis_player_parts_source</w:t>
            </w:r>
          </w:p>
        </w:tc>
        <w:tc>
          <w:tcPr>
            <w:tcW w:type="dxa" w:w="1984"/>
            <w:tcMar>
              <w:top w:w="70" w:type="dxa"/>
              <w:start w:w="90" w:type="dxa"/>
              <w:bottom w:w="70" w:type="dxa"/>
              <w:end w:w="90" w:type="dxa"/>
            </w:tcMar>
            <w:vAlign w:val="top"/>
            <w:shd w:fill="FFFFFF"/>
          </w:tcPr>
          <w:p>
            <w:pPr>
              <w:keepLines/>
              <w:widowControl/>
              <w:spacing w:after="0" w:before="0"/>
            </w:pPr>
            <w:r>
              <w:rPr>
                <w:sz w:val="16"/>
              </w:rPr>
              <w:t>Use one shared color set, or separate colors for male/female/cyborg. Applies immediately. [Global / Per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Weapon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cl_vis_player_parts_weapon_source</w:t>
            </w:r>
          </w:p>
        </w:tc>
        <w:tc>
          <w:tcPr>
            <w:tcW w:type="dxa" w:w="1984"/>
            <w:tcMar>
              <w:top w:w="70" w:type="dxa"/>
              <w:start w:w="90" w:type="dxa"/>
              <w:bottom w:w="70" w:type="dxa"/>
              <w:end w:w="90" w:type="dxa"/>
            </w:tcMar>
            <w:vAlign w:val="top"/>
            <w:shd w:fill="F2FAFE"/>
          </w:tcPr>
          <w:p>
            <w:pPr>
              <w:keepLines/>
              <w:widowControl/>
              <w:spacing w:after="0" w:before="0"/>
            </w:pPr>
            <w:r>
              <w:rPr>
                <w:sz w:val="16"/>
              </w:rPr>
              <w:t>Carried weapon colour source. Weapon palette uses the existing weapon-highlight colours. Custom uses the shared weapon colour below. Explicit per-model weapon colours override the palette. Applies immediately. [Weapon palette / Custom]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cl_vis_player_parts_alpha</w:t>
            </w:r>
          </w:p>
        </w:tc>
        <w:tc>
          <w:tcPr>
            <w:tcW w:type="dxa" w:w="1984"/>
            <w:tcMar>
              <w:top w:w="70" w:type="dxa"/>
              <w:start w:w="90" w:type="dxa"/>
              <w:bottom w:w="70" w:type="dxa"/>
              <w:end w:w="90" w:type="dxa"/>
            </w:tcMar>
            <w:vAlign w:val="top"/>
            <w:shd w:fill="FFFFFF"/>
          </w:tcPr>
          <w:p>
            <w:pPr>
              <w:keepLines/>
              <w:widowControl/>
              <w:spacing w:after="0" w:before="0"/>
            </w:pPr>
            <w:r>
              <w:rPr>
                <w:sz w:val="16"/>
              </w:rPr>
              <w:t>Part fill opacity; 0 hides the fill while keeping bloom.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Fullbright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cl_vis_player_parts_fullbright</w:t>
            </w:r>
          </w:p>
        </w:tc>
        <w:tc>
          <w:tcPr>
            <w:tcW w:type="dxa" w:w="1984"/>
            <w:tcMar>
              <w:top w:w="70" w:type="dxa"/>
              <w:start w:w="90" w:type="dxa"/>
              <w:bottom w:w="70" w:type="dxa"/>
              <w:end w:w="90" w:type="dxa"/>
            </w:tcMar>
            <w:vAlign w:val="top"/>
            <w:shd w:fill="F2FAFE"/>
          </w:tcPr>
          <w:p>
            <w:pPr>
              <w:keepLines/>
              <w:widowControl/>
              <w:spacing w:after="0" w:before="0"/>
            </w:pPr>
            <w:r>
              <w:rPr>
                <w:sz w:val="16"/>
              </w:rPr>
              <w:t>Use raw part colours without multiplying by the skin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Replace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cl_vis_player_parts_replace_tint</w:t>
            </w:r>
          </w:p>
        </w:tc>
        <w:tc>
          <w:tcPr>
            <w:tcW w:type="dxa" w:w="1984"/>
            <w:tcMar>
              <w:top w:w="70" w:type="dxa"/>
              <w:start w:w="90" w:type="dxa"/>
              <w:bottom w:w="70" w:type="dxa"/>
              <w:end w:w="90" w:type="dxa"/>
            </w:tcMar>
            <w:vAlign w:val="top"/>
            <w:shd w:fill="FFFFFF"/>
          </w:tcPr>
          <w:p>
            <w:pPr>
              <w:keepLines/>
              <w:widowControl/>
              <w:spacing w:after="0" w:before="0"/>
            </w:pPr>
            <w:r>
              <w:rPr>
                <w:sz w:val="16"/>
              </w:rPr>
              <w:t>Replace the legacy whole-player tint with part tint instead of stacking both.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Disable whole-model outline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cl_vis_player_parts_no_shell</w:t>
            </w:r>
          </w:p>
        </w:tc>
        <w:tc>
          <w:tcPr>
            <w:tcW w:type="dxa" w:w="1984"/>
            <w:tcMar>
              <w:top w:w="70" w:type="dxa"/>
              <w:start w:w="90" w:type="dxa"/>
              <w:bottom w:w="70" w:type="dxa"/>
              <w:end w:w="90" w:type="dxa"/>
            </w:tcMar>
            <w:vAlign w:val="top"/>
            <w:shd w:fill="F2FAFE"/>
          </w:tcPr>
          <w:p>
            <w:pPr>
              <w:keepLines/>
              <w:widowControl/>
              <w:spacing w:after="0" w:before="0"/>
            </w:pPr>
            <w:r>
              <w:rPr>
                <w:sz w:val="16"/>
              </w:rPr>
              <w:t>Disable the whole-model outline in Model+parts mode; keep part colours and their bloom. Independent of Replace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cl_vis_player_parts_head_color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head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cl_vis_player_parts_arms_color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arms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torso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cl_vis_player_parts_legs_color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legs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Carried weapon custom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Head start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cl_vis_player_parts_head_start</w:t>
            </w:r>
          </w:p>
        </w:tc>
        <w:tc>
          <w:tcPr>
            <w:tcW w:type="dxa" w:w="1984"/>
            <w:tcMar>
              <w:top w:w="70" w:type="dxa"/>
              <w:start w:w="90" w:type="dxa"/>
              <w:bottom w:w="70" w:type="dxa"/>
              <w:end w:w="90" w:type="dxa"/>
            </w:tcMar>
            <w:vAlign w:val="top"/>
            <w:shd w:fill="F2FAFE"/>
          </w:tcPr>
          <w:p>
            <w:pPr>
              <w:keepLines/>
              <w:widowControl/>
              <w:spacing w:after="0" w:before="0"/>
            </w:pPr>
            <w:r>
              <w:rPr>
                <w:sz w:val="16"/>
              </w:rPr>
              <w:t>Normalized height where the head zone starts. Raise this if head colour leaks onto shoulders.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Border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cl_vis_player_parts_softness</w:t>
            </w:r>
          </w:p>
        </w:tc>
        <w:tc>
          <w:tcPr>
            <w:tcW w:type="dxa" w:w="1984"/>
            <w:tcMar>
              <w:top w:w="70" w:type="dxa"/>
              <w:start w:w="90" w:type="dxa"/>
              <w:bottom w:w="70" w:type="dxa"/>
              <w:end w:w="90" w:type="dxa"/>
            </w:tcMar>
            <w:vAlign w:val="top"/>
            <w:shd w:fill="FFFFFF"/>
          </w:tcPr>
          <w:p>
            <w:pPr>
              <w:keepLines/>
              <w:widowControl/>
              <w:spacing w:after="0" w:before="0"/>
            </w:pPr>
            <w:r>
              <w:rPr>
                <w:sz w:val="16"/>
              </w:rPr>
              <w:t>Softness of head/torso/legs transitions. Lower values make cleaner borders.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Legs 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cl_vis_player_parts_legs_end</w:t>
            </w:r>
          </w:p>
        </w:tc>
        <w:tc>
          <w:tcPr>
            <w:tcW w:type="dxa" w:w="1984"/>
            <w:tcMar>
              <w:top w:w="70" w:type="dxa"/>
              <w:start w:w="90" w:type="dxa"/>
              <w:bottom w:w="70" w:type="dxa"/>
              <w:end w:w="90" w:type="dxa"/>
            </w:tcMar>
            <w:vAlign w:val="top"/>
            <w:shd w:fill="F2FAFE"/>
          </w:tcPr>
          <w:p>
            <w:pPr>
              <w:keepLines/>
              <w:widowControl/>
              <w:spacing w:after="0" w:before="0"/>
            </w:pPr>
            <w:r>
              <w:rPr>
                <w:sz w:val="16"/>
              </w:rPr>
              <w:t>Normalized top of the legs zone.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Model male...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q2prox_vis_player_parts_male</w:t>
            </w:r>
          </w:p>
        </w:tc>
        <w:tc>
          <w:tcPr>
            <w:tcW w:type="dxa" w:w="1984"/>
            <w:tcMar>
              <w:top w:w="70" w:type="dxa"/>
              <w:start w:w="90" w:type="dxa"/>
              <w:bottom w:w="70" w:type="dxa"/>
              <w:end w:w="90" w:type="dxa"/>
            </w:tcMar>
            <w:vAlign w:val="top"/>
            <w:shd w:fill="F2FAFE"/>
          </w:tcPr>
          <w:p>
            <w:pPr>
              <w:keepLines/>
              <w:widowControl/>
              <w:spacing w:after="0" w:before="0"/>
            </w:pPr>
            <w:r>
              <w:rPr>
                <w:sz w:val="16"/>
              </w:rPr>
              <w:t>Separate part colours for the male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Model female...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q2prox_vis_player_parts_female</w:t>
            </w:r>
          </w:p>
        </w:tc>
        <w:tc>
          <w:tcPr>
            <w:tcW w:type="dxa" w:w="1984"/>
            <w:tcMar>
              <w:top w:w="70" w:type="dxa"/>
              <w:start w:w="90" w:type="dxa"/>
              <w:bottom w:w="70" w:type="dxa"/>
              <w:end w:w="90" w:type="dxa"/>
            </w:tcMar>
            <w:vAlign w:val="top"/>
            <w:shd w:fill="FFFFFF"/>
          </w:tcPr>
          <w:p>
            <w:pPr>
              <w:keepLines/>
              <w:widowControl/>
              <w:spacing w:after="0" w:before="0"/>
            </w:pPr>
            <w:r>
              <w:rPr>
                <w:sz w:val="16"/>
              </w:rPr>
              <w:t>Separate part colours for the female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Model cyborg...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q2prox_vis_player_parts_cyborg</w:t>
            </w:r>
          </w:p>
        </w:tc>
        <w:tc>
          <w:tcPr>
            <w:tcW w:type="dxa" w:w="1984"/>
            <w:tcMar>
              <w:top w:w="70" w:type="dxa"/>
              <w:start w:w="90" w:type="dxa"/>
              <w:bottom w:w="70" w:type="dxa"/>
              <w:end w:w="90" w:type="dxa"/>
            </w:tcMar>
            <w:vAlign w:val="top"/>
            <w:shd w:fill="F2FAFE"/>
          </w:tcPr>
          <w:p>
            <w:pPr>
              <w:keepLines/>
              <w:widowControl/>
              <w:spacing w:after="0" w:before="0"/>
            </w:pPr>
            <w:r>
              <w:rPr>
                <w:sz w:val="16"/>
              </w:rPr>
              <w:t>Separate part colours for the cyborg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cl_vis_player_parts_source; reset cl_vis_player_parts_weapon_source; reset cl_vis_player_parts_alpha; reset cl_vis_player_parts_brightness; reset cl_vis_player_parts_fullbright; reset cl_vis_player_parts_replace_tint; reset cl_vis_player_parts_no_shell; reset cl_vis_player_parts_debug; reset cl_vis_player_parts_head_color; reset cl_vis_player_parts_arms_color; reset cl_vis_player_parts_torso_color; reset cl_vis_player_parts_legs_color; reset cl_vis_player_parts_weapon_color; reset cl_vis_player_parts_head_start; reset cl_vis_player_parts_softness; reset cl_vis_player_parts_legs_end</w:t>
            </w:r>
          </w:p>
        </w:tc>
        <w:tc>
          <w:tcPr>
            <w:tcW w:type="dxa" w:w="1984"/>
            <w:tcMar>
              <w:top w:w="70" w:type="dxa"/>
              <w:start w:w="90" w:type="dxa"/>
              <w:bottom w:w="70" w:type="dxa"/>
              <w:end w:w="90" w:type="dxa"/>
            </w:tcMar>
            <w:vAlign w:val="top"/>
            <w:shd w:fill="FFFFFF"/>
          </w:tcPr>
          <w:p>
            <w:pPr>
              <w:keepLines/>
              <w:widowControl/>
              <w:spacing w:after="0" w:before="0"/>
            </w:pPr>
            <w:r>
              <w:rPr>
                <w:sz w:val="16"/>
              </w:rPr>
              <w:t>Reset this menu to defaults and refresh visible values immediately.</w:t>
            </w:r>
          </w:p>
        </w:tc>
      </w:tr>
    </w:tbl>
    <w:p>
      <w:pPr>
        <w:spacing w:after="20"/>
      </w:pPr>
    </w:p>
    <w:p>
      <w:bookmarkStart w:id="16" w:name="Q2PX_S0016"/>
      <w:pPr>
        <w:pStyle w:val="Heading2"/>
      </w:pPr>
      <w:r>
        <w:t>3.2. Separate sets per model</w:t>
      </w:r>
      <w:bookmarkEnd w:id="16"/>
    </w:p>
    <w:p>
      <w:pPr>
        <w:widowControl/>
      </w:pPr>
      <w:r>
        <w:t>The colour set can be shared, or separate for the male, female and cyborg models. Each of the three models has its own part-colour page.</w:t>
      </w:r>
    </w:p>
    <w:p>
      <w:bookmarkStart w:id="17" w:name="Q2PX_S0017"/>
      <w:pPr>
        <w:pStyle w:val="Heading2"/>
      </w:pPr>
      <w:r>
        <w:t>3.3. Tuning the body zones</w:t>
      </w:r>
      <w:bookmarkEnd w:id="17"/>
    </w:p>
    <w:p>
      <w:pPr>
        <w:widowControl/>
      </w:pPr>
      <w:r>
        <w:t>Three sliders solve the most common problem — one zone's colour spilling into its neighbour:</w:t>
      </w:r>
    </w:p>
    <w:p>
      <w:pPr>
        <w:pStyle w:val="ListBullet"/>
      </w:pPr>
      <w:r>
        <w:t xml:space="preserve">if the head colour spills onto the shoulders, </w:t>
      </w:r>
      <w:r>
        <w:rPr>
          <w:b/>
        </w:rPr>
        <w:t>raise the head start</w:t>
      </w:r>
      <w:r>
        <w:t>;</w:t>
      </w:r>
    </w:p>
    <w:p>
      <w:pPr>
        <w:pStyle w:val="ListBullet"/>
      </w:pPr>
      <w:r>
        <w:t xml:space="preserve">if the legs reach into the torso, </w:t>
      </w:r>
      <w:r>
        <w:rPr>
          <w:b/>
        </w:rPr>
        <w:t>lower the legs end</w:t>
      </w:r>
      <w:r>
        <w:t>;</w:t>
      </w:r>
    </w:p>
    <w:p>
      <w:pPr>
        <w:pStyle w:val="ListBullet"/>
      </w:pPr>
      <w:r>
        <w:t xml:space="preserve">if the boundaries are too blurred, </w:t>
      </w:r>
      <w:r>
        <w:rPr>
          <w:b/>
        </w:rPr>
        <w:t>reduce the boundary softness</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cl_vis_player_parts_head_start</w:t>
            </w:r>
          </w:p>
        </w:tc>
        <w:tc>
          <w:tcPr>
            <w:tcW w:type="dxa" w:w="3307"/>
            <w:tcMar>
              <w:top w:w="70" w:type="dxa"/>
              <w:start w:w="90" w:type="dxa"/>
              <w:bottom w:w="70" w:type="dxa"/>
              <w:end w:w="90" w:type="dxa"/>
            </w:tcMar>
            <w:vAlign w:val="top"/>
            <w:shd w:fill="F2FAFE"/>
          </w:tcPr>
          <w:p>
            <w:pPr>
              <w:keepLines/>
              <w:widowControl/>
              <w:spacing w:after="0" w:before="0"/>
            </w:pPr>
            <w:r>
              <w:rPr>
                <w:sz w:val="18"/>
              </w:rPr>
              <w:t>default 0.86 / range 0.60..0.98</w:t>
            </w:r>
          </w:p>
        </w:tc>
        <w:tc>
          <w:tcPr>
            <w:tcW w:type="dxa" w:w="3307"/>
            <w:tcMar>
              <w:top w:w="70" w:type="dxa"/>
              <w:start w:w="90" w:type="dxa"/>
              <w:bottom w:w="70" w:type="dxa"/>
              <w:end w:w="90" w:type="dxa"/>
            </w:tcMar>
            <w:vAlign w:val="top"/>
            <w:shd w:fill="F2FAFE"/>
          </w:tcPr>
          <w:p>
            <w:pPr>
              <w:keepLines/>
              <w:widowControl/>
              <w:spacing w:after="0" w:before="0"/>
            </w:pPr>
            <w:r>
              <w:rPr>
                <w:sz w:val="18"/>
              </w:rPr>
              <w:t>Normalized height where the head tint starts. Increase this when the head colour leaks onto shoulders; decrease it if the lower head/neck is not coloured enough. Default 0.86 is tighter than the first Phase-A prototype.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cl_vis_player_parts_softness</w:t>
            </w:r>
          </w:p>
        </w:tc>
        <w:tc>
          <w:tcPr>
            <w:tcW w:type="dxa" w:w="3307"/>
            <w:tcMar>
              <w:top w:w="70" w:type="dxa"/>
              <w:start w:w="90" w:type="dxa"/>
              <w:bottom w:w="70" w:type="dxa"/>
              <w:end w:w="90" w:type="dxa"/>
            </w:tcMar>
            <w:vAlign w:val="top"/>
            <w:shd w:fill="FFFFFF"/>
          </w:tcPr>
          <w:p>
            <w:pPr>
              <w:keepLines/>
              <w:widowControl/>
              <w:spacing w:after="0" w:before="0"/>
            </w:pPr>
            <w:r>
              <w:rPr>
                <w:sz w:val="18"/>
              </w:rPr>
              <w:t>default 0.035 / range 0.005..0.20</w:t>
            </w:r>
          </w:p>
        </w:tc>
        <w:tc>
          <w:tcPr>
            <w:tcW w:type="dxa" w:w="3307"/>
            <w:tcMar>
              <w:top w:w="70" w:type="dxa"/>
              <w:start w:w="90" w:type="dxa"/>
              <w:bottom w:w="70" w:type="dxa"/>
              <w:end w:w="90" w:type="dxa"/>
            </w:tcMar>
            <w:vAlign w:val="top"/>
            <w:shd w:fill="FFFFFF"/>
          </w:tcPr>
          <w:p>
            <w:pPr>
              <w:keepLines/>
              <w:widowControl/>
              <w:spacing w:after="0" w:before="0"/>
            </w:pPr>
            <w:r>
              <w:rPr>
                <w:sz w:val="18"/>
              </w:rPr>
              <w:t>Soft transition width for head/torso/legs classifier. Smaller values produce cleaner borders; larger values blend colours more gradually. Default 0.035 reduces head colour bleed on shoulders.</w:t>
            </w:r>
          </w:p>
        </w:tc>
      </w:tr>
    </w:tbl>
    <w:p>
      <w:pPr>
        <w:spacing w:after="20"/>
      </w:pPr>
    </w:p>
    <w:p>
      <w:r>
        <w:br w:type="page"/>
      </w:r>
    </w:p>
    <w:p>
      <w:r>
        <w:br w:type="page"/>
      </w:r>
    </w:p>
    <w:p>
      <w:bookmarkStart w:id="18" w:name="Q2PX_S0018"/>
      <w:pPr>
        <w:pStyle w:val="Heading1"/>
      </w:pPr>
      <w:r>
        <w:t>4. Commands, presets and diagnostics</w:t>
      </w:r>
      <w:bookmarkEnd w:id="18"/>
    </w:p>
    <w:p>
      <w:pPr>
        <w:pStyle w:val="ListBullet"/>
      </w:pPr>
      <w:r>
        <w:rPr>
          <w:rFonts w:ascii="Cascadia Mono" w:hAnsi="Cascadia Mono" w:eastAsia="Cascadia Mono"/>
          <w:color w:val="153A5B"/>
          <w:sz w:val="17"/>
        </w:rPr>
        <w:t>cl_vis_items_info</w:t>
      </w:r>
      <w:r>
        <w:t xml:space="preserve"> prints the item classification and the current state of the visibility layer.</w:t>
      </w:r>
    </w:p>
    <w:p>
      <w:pPr>
        <w:pStyle w:val="ListBullet"/>
      </w:pPr>
      <w:r>
        <w:t>The visibility presets are collected on their own page and give you ready-made profiles.</w:t>
      </w:r>
    </w:p>
    <w:p>
      <w:pPr>
        <w:pStyle w:val="ListBullet"/>
      </w:pPr>
      <w:r>
        <w:t>For a clean competitive look, keep highlights and AVFX separate: choose the AVFX preset first, then apply a visibility preset or configure it by hand.</w:t>
      </w:r>
    </w:p>
    <w:p>
      <w:pPr>
        <w:widowControl/>
      </w:pPr>
      <w:r>
        <w:rPr>
          <w:b/>
        </w:rPr>
        <w:t>Visibility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Default (All Highlights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default_off</w:t>
            </w:r>
          </w:p>
        </w:tc>
        <w:tc>
          <w:tcPr>
            <w:tcW w:type="dxa" w:w="1984"/>
            <w:tcMar>
              <w:top w:w="70" w:type="dxa"/>
              <w:start w:w="90" w:type="dxa"/>
              <w:bottom w:w="70" w:type="dxa"/>
              <w:end w:w="90" w:type="dxa"/>
            </w:tcMar>
            <w:vAlign w:val="top"/>
            <w:shd w:fill="F2FAFE"/>
          </w:tcPr>
          <w:p>
            <w:pPr>
              <w:keepLines/>
              <w:widowControl/>
              <w:spacing w:after="0" w:before="0"/>
            </w:pPr>
            <w:r>
              <w:rPr>
                <w:sz w:val="16"/>
              </w:rPr>
              <w:t>Disable visibility highlights and ordinary Bloom; AVFX Bloom percentages stay unchanged.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 Parts, Items and Light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cl_visibility_preset_load_factory parts_items_light</w:t>
            </w:r>
          </w:p>
        </w:tc>
        <w:tc>
          <w:tcPr>
            <w:tcW w:type="dxa" w:w="1984"/>
            <w:tcMar>
              <w:top w:w="70" w:type="dxa"/>
              <w:start w:w="90" w:type="dxa"/>
              <w:bottom w:w="70" w:type="dxa"/>
              <w:end w:w="90" w:type="dxa"/>
            </w:tcMar>
            <w:vAlign w:val="top"/>
            <w:shd w:fill="FFFFFF"/>
          </w:tcPr>
          <w:p>
            <w:pPr>
              <w:keepLines/>
              <w:widowControl/>
              <w:spacing w:after="0" w:before="0"/>
            </w:pPr>
            <w:r>
              <w:rPr>
                <w:sz w:val="16"/>
              </w:rPr>
              <w:t>Apply player-part colours, item highlights and the authored light Bloom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 Male, Green Female and Blue Cyborg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models_rgb</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captured highlights and Bloom: red male, green female and blue cyborg.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Purple Male, Lime Female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cl_visibility_preset_load_factory models_purple_lime</w:t>
            </w:r>
          </w:p>
        </w:tc>
        <w:tc>
          <w:tcPr>
            <w:tcW w:type="dxa" w:w="1984"/>
            <w:tcMar>
              <w:top w:w="70" w:type="dxa"/>
              <w:start w:w="90" w:type="dxa"/>
              <w:bottom w:w="70" w:type="dxa"/>
              <w:end w:w="90" w:type="dxa"/>
            </w:tcMar>
            <w:vAlign w:val="top"/>
            <w:shd w:fill="FFFFFF"/>
          </w:tcPr>
          <w:p>
            <w:pPr>
              <w:keepLines/>
              <w:widowControl/>
              <w:spacing w:after="0" w:before="0"/>
            </w:pPr>
            <w:r>
              <w:rPr>
                <w:sz w:val="16"/>
              </w:rPr>
              <w:t>Apply the saved purple/lime visibility and Bloom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FFA (Automatic Model Colours)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ffa_auto</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captured FFA automatic player colours, highlights and Bloom.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Generate random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cl_visibility_preset_generate</w:t>
            </w: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highlights and apply random colours/settings now. Save a result in a user slot. AVFX Bloom percentages are excluded.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1;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2;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3;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4;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weapon and player highlights, including model-part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2FAFE"/>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Mod configs...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Open mod configs: choose and save settings for each mod and manage its default profile.</w:t>
            </w:r>
          </w:p>
        </w:tc>
      </w:tr>
    </w:tbl>
    <w:p>
      <w:pPr>
        <w:spacing w:after="20"/>
      </w:pPr>
    </w:p>
    <w:p>
      <w:bookmarkStart w:id="19" w:name="Q2PX_S0019"/>
      <w:pPr>
        <w:pStyle w:val="Heading2"/>
      </w:pPr>
      <w:r>
        <w:t>4.1. Where highlighting applies</w:t>
      </w:r>
      <w:bookmarkEnd w:id="1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0=multiplayer only / 1=also 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Also apply the visibility layer in singleplayer. When off, the highlight system only activates in multiplayer maps (</w:t>
            </w:r>
            <w:r>
              <w:rPr>
                <w:rFonts w:ascii="Cascadia Mono" w:hAnsi="Cascadia Mono" w:eastAsia="Cascadia Mono"/>
                <w:color w:val="153A5B"/>
                <w:sz w:val="17"/>
              </w:rPr>
              <w:t>cl.maxclients &gt; 1</w:t>
            </w:r>
            <w:r>
              <w:rPr>
                <w:sz w:val="18"/>
              </w:rPr>
              <w:t>) since most classic SP players dislike shell overlays on AI.</w:t>
            </w:r>
          </w:p>
        </w:tc>
      </w:tr>
    </w:tbl>
    <w:p>
      <w:pPr>
        <w:spacing w:after="20"/>
      </w:pPr>
    </w:p>
    <w:p>
      <w:pPr>
        <w:widowControl/>
      </w:pPr>
      <w:r>
        <w:t>By default the layer is aimed at online play and at watching recordings. A separate setting permits it in single player as well.</w:t>
      </w:r>
    </w:p>
    <w:p>
      <w:r>
        <w:br w:type="page"/>
      </w:r>
    </w:p>
    <w:p>
      <w:bookmarkStart w:id="20" w:name="Q2PX_S0020"/>
      <w:pPr>
        <w:pStyle w:val="Heading1"/>
      </w:pPr>
      <w:r>
        <w:t>5. Practical recipes</w:t>
      </w:r>
      <w:bookmarkEnd w:id="2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Demo analysis</w:t>
            </w:r>
          </w:p>
        </w:tc>
        <w:tc>
          <w:tcPr>
            <w:tcW w:type="dxa" w:w="4961"/>
            <w:tcMar>
              <w:top w:w="70" w:type="dxa"/>
              <w:start w:w="90" w:type="dxa"/>
              <w:bottom w:w="70" w:type="dxa"/>
              <w:end w:w="90" w:type="dxa"/>
            </w:tcMar>
            <w:vAlign w:val="top"/>
            <w:shd w:fill="F2FAFE"/>
          </w:tcPr>
          <w:p>
            <w:pPr>
              <w:keepLines/>
              <w:widowControl/>
              <w:spacing w:after="0" w:before="0"/>
            </w:pPr>
            <w:r>
              <w:rPr>
                <w:sz w:val="18"/>
              </w:rPr>
              <w:t>Model parts mode, brightness 1.5–2.5, shell-and-tint style, moderate opacity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Single player</w:t>
            </w:r>
          </w:p>
        </w:tc>
        <w:tc>
          <w:tcPr>
            <w:tcW w:type="dxa" w:w="4961"/>
            <w:tcMar>
              <w:top w:w="70" w:type="dxa"/>
              <w:start w:w="90" w:type="dxa"/>
              <w:bottom w:w="70" w:type="dxa"/>
              <w:end w:w="90" w:type="dxa"/>
            </w:tcMar>
            <w:vAlign w:val="top"/>
            <w:shd w:fill="FFFFFF"/>
          </w:tcPr>
          <w:p>
            <w:pPr>
              <w:keepLines/>
              <w:widowControl/>
              <w:spacing w:after="0" w:before="0"/>
            </w:pPr>
            <w:r>
              <w:rPr>
                <w:sz w:val="18"/>
              </w:rPr>
              <w:t>Item scale 1.3–1.8, weapon scale 1.2–1.5, permit the layer in single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 good-looking showcase</w:t>
            </w:r>
          </w:p>
        </w:tc>
        <w:tc>
          <w:tcPr>
            <w:tcW w:type="dxa" w:w="4961"/>
            <w:tcMar>
              <w:top w:w="70" w:type="dxa"/>
              <w:start w:w="90" w:type="dxa"/>
              <w:bottom w:w="70" w:type="dxa"/>
              <w:end w:w="90" w:type="dxa"/>
            </w:tcMar>
            <w:vAlign w:val="top"/>
            <w:shd w:fill="F2FAFE"/>
          </w:tcPr>
          <w:p>
            <w:pPr>
              <w:keepLines/>
              <w:widowControl/>
              <w:spacing w:after="0" w:before="0"/>
            </w:pPr>
            <w:r>
              <w:rPr>
                <w:sz w:val="18"/>
              </w:rPr>
              <w:t>Part tint with pure colours off, so the skin texture is preserved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Maximum readability</w:t>
            </w:r>
          </w:p>
        </w:tc>
        <w:tc>
          <w:tcPr>
            <w:tcW w:type="dxa" w:w="4961"/>
            <w:tcMar>
              <w:top w:w="70" w:type="dxa"/>
              <w:start w:w="90" w:type="dxa"/>
              <w:bottom w:w="70" w:type="dxa"/>
              <w:end w:w="90" w:type="dxa"/>
            </w:tcMar>
            <w:vAlign w:val="top"/>
            <w:shd w:fill="FFFFFF"/>
          </w:tcPr>
          <w:p>
            <w:pPr>
              <w:keepLines/>
              <w:widowControl/>
              <w:spacing w:after="0" w:before="0"/>
            </w:pPr>
            <w:r>
              <w:rPr>
                <w:sz w:val="18"/>
              </w:rPr>
              <w:t>Pure colours on, tint replacement on, bright head, torso and leg colours</w:t>
            </w:r>
          </w:p>
        </w:tc>
      </w:tr>
    </w:tbl>
    <w:p>
      <w:pPr>
        <w:spacing w:after="20"/>
      </w:pPr>
    </w:p>
    <w:p>
      <w:r>
        <w:br w:type="page"/>
      </w:r>
    </w:p>
    <w:p>
      <w:bookmarkStart w:id="21" w:name="Q2PX_S0021"/>
      <w:pPr>
        <w:pStyle w:val="Heading1"/>
      </w:pPr>
      <w:r>
        <w:t>6. What highlighting does not do</w:t>
      </w:r>
      <w:bookmarkEnd w:id="21"/>
    </w:p>
    <w:p>
      <w:pPr>
        <w:pStyle w:val="ListBullet"/>
      </w:pPr>
      <w:r>
        <w:t>It does not change hitboxes and does not affect hit registration.</w:t>
      </w:r>
    </w:p>
    <w:p>
      <w:pPr>
        <w:pStyle w:val="ListBullet"/>
      </w:pPr>
      <w:r>
        <w:t>It does not show players through walls and reveals no hidden entities.</w:t>
      </w:r>
    </w:p>
    <w:p>
      <w:pPr>
        <w:pStyle w:val="ListBullet"/>
      </w:pPr>
      <w:r>
        <w:t>It does not change server rules and needs no server support.</w:t>
      </w:r>
    </w:p>
    <w:p>
      <w:pPr>
        <w:pStyle w:val="ListBullet"/>
      </w:pPr>
      <w:r>
        <w:t>It does not replace models or skins: it only colours what is already drawn.</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VISUAL HIGHLIGHTS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Visual Highlights Guide</dc:title>
  <dc:subject>Q2PRO-X 1.6 Beta 5 by ly — Item, weapon and player visibility: colours, rules and model parts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