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4763" w14:textId="77777777" w:rsidR="00BC0386" w:rsidRDefault="00000000">
      <w:pPr>
        <w:spacing w:after="120"/>
        <w:jc w:val="center"/>
      </w:pPr>
      <w:r>
        <w:rPr>
          <w:rFonts w:ascii="Times New Roman" w:hAnsi="Times New Roman"/>
          <w:b/>
          <w:sz w:val="36"/>
        </w:rPr>
        <w:t>Rekonstruksi Rantai Pasok Maritim dan Dinamika Spasial Komoditas Pertambangan Indonesia Menggunakan Pendekatan Multi-Skala Berbasis Data Storytelling dan Dasbor Eksploratif</w:t>
      </w:r>
    </w:p>
    <w:p w14:paraId="5E78AFC7" w14:textId="77777777" w:rsidR="00BC0386" w:rsidRDefault="00000000">
      <w:pPr>
        <w:spacing w:after="240"/>
        <w:jc w:val="center"/>
      </w:pPr>
      <w:r>
        <w:rPr>
          <w:rFonts w:ascii="Times New Roman" w:hAnsi="Times New Roman"/>
          <w:i/>
        </w:rPr>
        <w:t>Implementasi Visualisasi Terpadu Data Statistik BPS 2025 dengan Pendekatan Minimalist Editorial: PDB Makro, PDRB 514 Daerah, 74 Pelabuhan Muat, dan 535 Rute Kargo Global</w:t>
      </w:r>
    </w:p>
    <w:p w14:paraId="56FC4739" w14:textId="3BC67768" w:rsidR="00BC0386" w:rsidRDefault="00000000">
      <w:pPr>
        <w:spacing w:after="40"/>
        <w:jc w:val="center"/>
      </w:pPr>
      <w:r>
        <w:rPr>
          <w:rFonts w:ascii="Times New Roman" w:hAnsi="Times New Roman"/>
          <w:b/>
          <w:sz w:val="20"/>
        </w:rPr>
        <w:t>Haykal Pasha Siregar (</w:t>
      </w:r>
      <w:r w:rsidR="00ED29B6">
        <w:rPr>
          <w:rFonts w:ascii="Times New Roman" w:hAnsi="Times New Roman"/>
          <w:b/>
          <w:sz w:val="20"/>
        </w:rPr>
        <w:t>222313117</w:t>
      </w:r>
      <w:r>
        <w:rPr>
          <w:rFonts w:ascii="Times New Roman" w:hAnsi="Times New Roman"/>
          <w:b/>
          <w:sz w:val="20"/>
        </w:rPr>
        <w:t>)</w:t>
      </w:r>
      <w:r>
        <w:rPr>
          <w:rFonts w:ascii="Times New Roman" w:hAnsi="Times New Roman"/>
          <w:b/>
          <w:sz w:val="20"/>
        </w:rPr>
        <w:br/>
      </w:r>
      <w:r>
        <w:rPr>
          <w:rFonts w:ascii="Times New Roman" w:hAnsi="Times New Roman"/>
          <w:i/>
          <w:sz w:val="17"/>
        </w:rPr>
        <w:t xml:space="preserve">Program Studi </w:t>
      </w:r>
      <w:proofErr w:type="spellStart"/>
      <w:r>
        <w:rPr>
          <w:rFonts w:ascii="Times New Roman" w:hAnsi="Times New Roman"/>
          <w:i/>
          <w:sz w:val="17"/>
        </w:rPr>
        <w:t>Komputasi</w:t>
      </w:r>
      <w:proofErr w:type="spellEnd"/>
      <w:r>
        <w:rPr>
          <w:rFonts w:ascii="Times New Roman" w:hAnsi="Times New Roman"/>
          <w:i/>
          <w:sz w:val="17"/>
        </w:rPr>
        <w:t xml:space="preserve"> Statistik, Politeknik Statistika STIS, Jakarta, Indonesia</w:t>
      </w:r>
      <w:r>
        <w:rPr>
          <w:rFonts w:ascii="Times New Roman" w:hAnsi="Times New Roman"/>
          <w:i/>
          <w:sz w:val="17"/>
        </w:rPr>
        <w:br/>
        <w:t>Surel: haykal.pasha@stis.ac.id | Kelas: 3SD | Mata Kuliah: Visualisasi Data dan Informasi (K203407)</w:t>
      </w:r>
      <w:r>
        <w:rPr>
          <w:rFonts w:ascii="Times New Roman" w:hAnsi="Times New Roman"/>
          <w:i/>
          <w:sz w:val="17"/>
        </w:rPr>
        <w:br/>
        <w:t>Dosen Pengampu: Siti Mariyah, Ph.D. &amp; Farid Ridho, M.T.</w:t>
      </w:r>
    </w:p>
    <w:p w14:paraId="27453F0F" w14:textId="77777777" w:rsidR="00BC0386" w:rsidRDefault="00000000">
      <w:pPr>
        <w:spacing w:before="200" w:after="80"/>
        <w:ind w:left="576" w:right="576"/>
        <w:jc w:val="both"/>
      </w:pPr>
      <w:r>
        <w:rPr>
          <w:rFonts w:ascii="Times New Roman" w:hAnsi="Times New Roman"/>
          <w:b/>
          <w:sz w:val="17"/>
        </w:rPr>
        <w:t>Abstrak—</w:t>
      </w:r>
      <w:r>
        <w:rPr>
          <w:rFonts w:ascii="Times New Roman" w:hAnsi="Times New Roman"/>
          <w:sz w:val="17"/>
        </w:rPr>
        <w:t>Sektor pertambangan dan penggalian merupakan pilar strategis dalam perekonomian nasional Indonesia dengan kontribusi Produk Domestik Bruto (PDB) mencapai Rp2.193,7 triliun (8,24%) dan nilai ekspor komoditas mineral melampaui US$49,69 miliar pada tahun 2025. Meskipun demikian, diseminasi data statistik resmi Badan Pusat Statistik (BPS) selama ini didominasi oleh tabel agregat statis yang mengaburkan disparitas spasial regional antardaerah serta arsitektur logistik maritim yang menghubungkan simpul produksi hulu dengan pasar global. Penelitian ini merancang dan membangun sistem visualisasi data komprehensif berbasis web dengan tema Minimalist Editorial melalui pendekatan ganda: scrollytelling data story terpandu dan dasbor analitik eksploratif mandiri. Metodologi yang diusulkan mengintegrasikan enam teknik representasi visual lintas skala yang memenuhi tiga topik Lampiran A: (1) Treemap PDB 17 sektor berhierarki tiga tingkat, (2) Peta Choropleth 514 kabupaten/kota dengan klasifikasi Jenks Natural Breaks, (3) Peta Simbol Proporsional 74 pelabuhan laut dengan koreksi persepsi Flannery, (4) Diagram Sunburst partisi pasar global ke 84 negara, (5) Diagram Sankey aliran rantai pasok maritim 30 pelabuhan ke 20 negara, dan (6) Peta Arus Maritim (Geo Flow) 3D Globe yang merekonstruksi 535 rute pelayaran kargo. Hasil evaluasi perseptual dan analisis data mengungkap fenomena enclave economy ekstrem di wilayah Indonesia Timur serta konsentrasi oligopoli logistik di mana lima pelabuhan utama mengendalikan lebih dari 40% total nilai ekspor nasional menuju episentrum industri Asia Timur.</w:t>
      </w:r>
    </w:p>
    <w:p w14:paraId="2690E4C3" w14:textId="77777777" w:rsidR="00BC0386" w:rsidRDefault="00000000">
      <w:pPr>
        <w:spacing w:after="280"/>
        <w:ind w:left="576" w:right="576"/>
        <w:jc w:val="both"/>
      </w:pPr>
      <w:r>
        <w:rPr>
          <w:rFonts w:ascii="Times New Roman" w:hAnsi="Times New Roman"/>
          <w:b/>
          <w:i/>
          <w:sz w:val="17"/>
        </w:rPr>
        <w:t>Kata Kunci—</w:t>
      </w:r>
      <w:r>
        <w:rPr>
          <w:rFonts w:ascii="Times New Roman" w:hAnsi="Times New Roman"/>
          <w:sz w:val="17"/>
        </w:rPr>
        <w:t>Visualisasi Data, Data Storytelling, Minimalist Editorial, Geospasial, Diagram Sankey, Ekspor Pertambangan, Badan Pusat Statistik, Skala Flannery, Jenks Natural Breaks.</w:t>
      </w:r>
    </w:p>
    <w:p w14:paraId="1FA4DD2A" w14:textId="77777777" w:rsidR="00BC0386" w:rsidRDefault="00BC0386">
      <w:pPr>
        <w:sectPr w:rsidR="00BC0386">
          <w:pgSz w:w="11909" w:h="16834"/>
          <w:pgMar w:top="1080" w:right="900" w:bottom="1440" w:left="900" w:header="720" w:footer="720" w:gutter="0"/>
          <w:cols w:space="720"/>
          <w:docGrid w:linePitch="360"/>
        </w:sectPr>
      </w:pPr>
    </w:p>
    <w:p w14:paraId="12C5634F" w14:textId="77777777" w:rsidR="00BC0386" w:rsidRDefault="00000000">
      <w:pPr>
        <w:keepNext/>
        <w:spacing w:before="260" w:after="80"/>
        <w:jc w:val="center"/>
      </w:pPr>
      <w:r>
        <w:rPr>
          <w:rFonts w:ascii="Times New Roman" w:hAnsi="Times New Roman"/>
          <w:b/>
          <w:sz w:val="20"/>
        </w:rPr>
        <w:t>I. Pendahuluan</w:t>
      </w:r>
    </w:p>
    <w:p w14:paraId="397F9961" w14:textId="77777777" w:rsidR="00BC0386" w:rsidRDefault="00000000">
      <w:pPr>
        <w:keepNext/>
        <w:spacing w:before="180" w:after="60"/>
      </w:pPr>
      <w:r>
        <w:rPr>
          <w:rFonts w:ascii="Times New Roman" w:hAnsi="Times New Roman"/>
          <w:b/>
          <w:i/>
          <w:sz w:val="19"/>
        </w:rPr>
        <w:t>A. Latar Belakang</w:t>
      </w:r>
    </w:p>
    <w:p w14:paraId="6F2BE33F" w14:textId="77777777" w:rsidR="00BC0386" w:rsidRDefault="00000000">
      <w:pPr>
        <w:spacing w:after="70" w:line="252" w:lineRule="auto"/>
        <w:ind w:firstLine="288"/>
        <w:jc w:val="both"/>
      </w:pPr>
      <w:r>
        <w:rPr>
          <w:rFonts w:ascii="Times New Roman" w:hAnsi="Times New Roman"/>
          <w:sz w:val="18"/>
        </w:rPr>
        <w:t>Sektor pertambangan dan penggalian memegang peranan krusial yang bersifat transformatif dalam konstelasi makroekonomi Indonesia modern. Berdasarkan rilis resmi publikasi Produk Domestik Bruto (PDB) Badan Pusat Statistik (BPS) tahun 2025 [11], kategori lapangan usaha Pertambangan dan Penggalian mencatatkan nilai output nominal mencapai Rp2.193,70 triliun, atau setara dengan 8,24% dari total PDB nasional yang berada pada level Rp26.621,34 triliun. Angka ini menempatkan sektor pertambangan sebagai kontributor terbesar kelima dalam perekonomian nasional, melampaui sektor strategis lain seperti Transportasi dan Pergudangan (Rp1.274,44 triliun) serta Jasa Keuangan (Rp856,59 triliun). Lebih jauh lagi, akselerasi kebijakan hilirisasi mineral yang dicanangkan pemerintah telah mendorong lonjakan nilai tambah komoditas mineral logam dan batu bara, tercermin dari realisasi ekspor sektor pertambangan yang melampaui US$49,69 miliar pada tahun 2025 melalui pergerakan kargo di 74 pelabuhan laut ekspor utama [12].</w:t>
      </w:r>
    </w:p>
    <w:p w14:paraId="01B9CCE5" w14:textId="77777777" w:rsidR="00BC0386" w:rsidRDefault="00000000">
      <w:pPr>
        <w:spacing w:after="70" w:line="252" w:lineRule="auto"/>
        <w:ind w:firstLine="288"/>
        <w:jc w:val="both"/>
      </w:pPr>
      <w:r>
        <w:rPr>
          <w:rFonts w:ascii="Times New Roman" w:hAnsi="Times New Roman"/>
          <w:sz w:val="18"/>
        </w:rPr>
        <w:t xml:space="preserve">Meskipun memiliki signifikansi ekonomi makro yang masif, persebaran dampak ekonomi dari aktivitas pertambangan di tingkat regional menunjukkan polarisasi spasial yang sangat tajam. Pada beberapa daerah kaya sumber daya alam, seperti Kabupaten Mimika di Papua Tengah, Kabupaten Morowali di Sulawesi Tengah, dan Kabupaten Kutai Timur di Kalimantan Timur, sumbangan sektor pertambangan terhadap Produk Domestik Regional Bruto (PDRB) daerah bahkan menembus angka di atas 60% hingga 80% [13]. Fenomena ketergantungan ekonomi ekstrem ini kerap memunculkan paradoks kutukan </w:t>
      </w:r>
      <w:r>
        <w:rPr>
          <w:rFonts w:ascii="Times New Roman" w:hAnsi="Times New Roman"/>
          <w:sz w:val="18"/>
        </w:rPr>
        <w:t>sumber daya (resource curse) dan kantong ekonomi terisolasi (enclave economy), di mana tingginya nilai ekstraksi kapital di tingkat daerah beroperasi secara asimetris terhadap pemerataan diversifikasi ekonomi lokal.</w:t>
      </w:r>
    </w:p>
    <w:p w14:paraId="4FF61AF9" w14:textId="77777777" w:rsidR="00BC0386" w:rsidRDefault="00000000">
      <w:pPr>
        <w:keepNext/>
        <w:spacing w:before="180" w:after="60"/>
      </w:pPr>
      <w:r>
        <w:rPr>
          <w:rFonts w:ascii="Times New Roman" w:hAnsi="Times New Roman"/>
          <w:b/>
          <w:i/>
          <w:sz w:val="19"/>
        </w:rPr>
        <w:t>B. Perumusan Masalah</w:t>
      </w:r>
    </w:p>
    <w:p w14:paraId="2F759BA0" w14:textId="77777777" w:rsidR="00BC0386" w:rsidRDefault="00000000">
      <w:pPr>
        <w:spacing w:after="70" w:line="252" w:lineRule="auto"/>
        <w:ind w:firstLine="288"/>
        <w:jc w:val="both"/>
      </w:pPr>
      <w:r>
        <w:rPr>
          <w:rFonts w:ascii="Times New Roman" w:hAnsi="Times New Roman"/>
          <w:b/>
          <w:sz w:val="18"/>
        </w:rPr>
        <w:t xml:space="preserve">Keterbatasan Diseminasi Data Tabular: </w:t>
      </w:r>
      <w:r>
        <w:rPr>
          <w:rFonts w:ascii="Times New Roman" w:hAnsi="Times New Roman"/>
          <w:sz w:val="18"/>
        </w:rPr>
        <w:t>Tantangan fundamental dalam diseminasi informasi statistik publik di Indonesia terletak pada format penyajian data yang masih bersifat konvensional, terfragmentasi, dan berorientasi tabular statis. Badan Pusat Statistik secara berkala merilis ribuan lembar tabel statistik dalam format PDF atau repositori data mentah (CSV/XLSX). Format tabular statis tersebut memiliki beberapa kelemahan kritis:</w:t>
      </w:r>
    </w:p>
    <w:p w14:paraId="4DE01973" w14:textId="77777777" w:rsidR="00BC0386" w:rsidRDefault="00000000">
      <w:pPr>
        <w:spacing w:after="70" w:line="252" w:lineRule="auto"/>
        <w:ind w:firstLine="288"/>
        <w:jc w:val="both"/>
      </w:pPr>
      <w:r>
        <w:rPr>
          <w:rFonts w:ascii="Times New Roman" w:hAnsi="Times New Roman"/>
          <w:sz w:val="18"/>
        </w:rPr>
        <w:t>1) Ketiadaan Integrasi Relasional Lintas Dimensi: Data PDB makro nasional, data PDRB kabupaten/kota, data logistik pelabuhan muat, dan data perdagangan internasional disajikan secara terpisah pada tabel yang berbeda tanpa benang merah visual yang menghubungkan hulu ekstraksi hingga hilir logistik ekspor.</w:t>
      </w:r>
      <w:r>
        <w:rPr>
          <w:rFonts w:ascii="Times New Roman" w:hAnsi="Times New Roman"/>
          <w:sz w:val="18"/>
        </w:rPr>
        <w:br/>
        <w:t>2) Kehilangan Konteks Spasial dan Distribusi Fisik: Membaca tabel angka PDRB 514 kabupaten/kota dan volume muat 74 pelabuhan laut sangat menyulitkan pengambil kebijakan dalam mengenali klaster spasial, disparitas antarpulau, dan efek keterkaitan geografis.</w:t>
      </w:r>
      <w:r>
        <w:rPr>
          <w:rFonts w:ascii="Times New Roman" w:hAnsi="Times New Roman"/>
          <w:sz w:val="18"/>
        </w:rPr>
        <w:br/>
        <w:t>3) Beban Kognitif Tinggi (High Cognitive Load): Publik dan pemangku kepentingan dituntut melakukan komputasi mental untuk memahami aliran rantai pasok maritim yang menghubungkan puluhan pelabuhan muat domestik ke 84 negara mitra dagang di lima benua.</w:t>
      </w:r>
    </w:p>
    <w:p w14:paraId="293D1FD4" w14:textId="77777777" w:rsidR="00BC0386" w:rsidRDefault="00000000">
      <w:pPr>
        <w:keepNext/>
        <w:spacing w:before="180" w:after="60"/>
      </w:pPr>
      <w:r>
        <w:rPr>
          <w:rFonts w:ascii="Times New Roman" w:hAnsi="Times New Roman"/>
          <w:b/>
          <w:i/>
          <w:sz w:val="19"/>
        </w:rPr>
        <w:lastRenderedPageBreak/>
        <w:t>C. Tujuan dan Kontribusi Penelitian</w:t>
      </w:r>
    </w:p>
    <w:p w14:paraId="28FAD3B2" w14:textId="77777777" w:rsidR="00BC0386" w:rsidRDefault="00000000">
      <w:pPr>
        <w:spacing w:after="70" w:line="252" w:lineRule="auto"/>
        <w:ind w:firstLine="288"/>
        <w:jc w:val="both"/>
      </w:pPr>
      <w:r>
        <w:rPr>
          <w:rFonts w:ascii="Times New Roman" w:hAnsi="Times New Roman"/>
          <w:b/>
          <w:sz w:val="18"/>
        </w:rPr>
        <w:t xml:space="preserve">Tujuan dan Kontribusi Utama: </w:t>
      </w:r>
      <w:r>
        <w:rPr>
          <w:rFonts w:ascii="Times New Roman" w:hAnsi="Times New Roman"/>
          <w:sz w:val="18"/>
        </w:rPr>
        <w:t>Penelitian ini bertujuan untuk mengatasi kesenjangan diseminasi data tersebut dengan merancang, membangun, dan mengevaluasi sebuah platform visualisasi data terpadu generasi kedua (Desain Versi 2) yang memadukan dua paradigma interaksi: Data Storytelling berbasis Scrollytelling dan Dasbor Analitik Eksploratif Mandiri. Kontribusi utama dari penelitian ini mencakup:</w:t>
      </w:r>
    </w:p>
    <w:p w14:paraId="399818AC" w14:textId="77777777" w:rsidR="00BC0386" w:rsidRDefault="00000000">
      <w:pPr>
        <w:spacing w:after="70" w:line="252" w:lineRule="auto"/>
        <w:ind w:firstLine="288"/>
        <w:jc w:val="both"/>
      </w:pPr>
      <w:r>
        <w:rPr>
          <w:rFonts w:ascii="Times New Roman" w:hAnsi="Times New Roman"/>
          <w:sz w:val="18"/>
        </w:rPr>
        <w:t>a) Rekonstruksi Arsitektur Rantai Pasok Multi-Skala: Menghubungkan hierarki makroekonomi nasional (PDB), pemetaan spasial mikro (PDRB 514 daerah), infrastruktur simpul logistik (74 pelabuhan muat), partisi pasar global (84 negara mitra), hingga rekonstruksi dinamis 535 koridor pelayaran kargo laut global.</w:t>
      </w:r>
      <w:r>
        <w:rPr>
          <w:rFonts w:ascii="Times New Roman" w:hAnsi="Times New Roman"/>
          <w:sz w:val="18"/>
        </w:rPr>
        <w:br/>
        <w:t>b) Penerapan Desain Minimalist Editorial dan Teori Grafis: Mengusung estetika editorial modern dengan tipografi kurasi tinggi (Instrument Serif dan Inter), didukung algoritma klasifikasi Jenks Natural Breaks untuk peta choropleth serta formula penskalaan simbol proporsional Flannery guna mengompensasi bias underestimation perseptual manusia.</w:t>
      </w:r>
      <w:r>
        <w:rPr>
          <w:rFonts w:ascii="Times New Roman" w:hAnsi="Times New Roman"/>
          <w:sz w:val="18"/>
        </w:rPr>
        <w:br/>
        <w:t>c) Pemenuhan Ketentuan Akademik Mata Kuliah: Mengimplementasikan dan mendokumentasikan secara ketat tiga topik visualisasi pada Lampiran A (Hierarki, Geospasial, dan Aliran/Pergerakan) secara komprehensif dalam satu arsitektur aplikasi web terpadu.</w:t>
      </w:r>
    </w:p>
    <w:p w14:paraId="1AF7637E" w14:textId="77777777" w:rsidR="00BC0386" w:rsidRDefault="00000000">
      <w:pPr>
        <w:keepNext/>
        <w:spacing w:before="260" w:after="80"/>
        <w:jc w:val="center"/>
      </w:pPr>
      <w:r>
        <w:rPr>
          <w:rFonts w:ascii="Times New Roman" w:hAnsi="Times New Roman"/>
          <w:b/>
          <w:sz w:val="20"/>
        </w:rPr>
        <w:t>II. Penelitian Terkait</w:t>
      </w:r>
    </w:p>
    <w:p w14:paraId="1FB0868F" w14:textId="77777777" w:rsidR="00BC0386" w:rsidRDefault="00000000">
      <w:pPr>
        <w:keepNext/>
        <w:spacing w:before="180" w:after="60"/>
      </w:pPr>
      <w:r>
        <w:rPr>
          <w:rFonts w:ascii="Times New Roman" w:hAnsi="Times New Roman"/>
          <w:b/>
          <w:i/>
          <w:sz w:val="19"/>
        </w:rPr>
        <w:t>A. Taksonomi dan Teori Persepsi Visual</w:t>
      </w:r>
    </w:p>
    <w:p w14:paraId="5226CEC0" w14:textId="77777777" w:rsidR="00BC0386" w:rsidRDefault="00000000">
      <w:pPr>
        <w:spacing w:after="70" w:line="252" w:lineRule="auto"/>
        <w:ind w:firstLine="288"/>
        <w:jc w:val="both"/>
      </w:pPr>
      <w:r>
        <w:rPr>
          <w:rFonts w:ascii="Times New Roman" w:hAnsi="Times New Roman"/>
          <w:sz w:val="18"/>
        </w:rPr>
        <w:t>Landasan teoretis perancangan visualisasi dalam penelitian ini berakar pada Semiology of Graphics yang dikemukakan oleh Jacques Bertin [1]. Bertin mengidentifikasi variabel retina primer (posisi, ukuran, orientasi, warna, nilai, bentuk, dan tekstur) yang menentukan efektivitas encoding data visual. Cleveland dan McGill [2] memperdalam teori ini melalui eksperimen persepsi grafis empiris, yang membuktikan bahwa decoding visual manusia memiliki derajat akurasi hierarkis: posisi pada skala umum merupakan variabel yang paling akurat, diikuti oleh panjang, sudut/kemiringan, luas area, volume, dan terakhir warna. Dalam visualisasi informasi multivariat, Shneiderman [3] merumuskan Visual Information-Seeking Mantra: 'Overview first, zoom and filter, then details-on-demand', yang dijadikan pedoman perancangan alur interaksi dalam aplikasi ini.</w:t>
      </w:r>
    </w:p>
    <w:p w14:paraId="35D67B6F" w14:textId="77777777" w:rsidR="00BC0386" w:rsidRDefault="00000000">
      <w:pPr>
        <w:keepNext/>
        <w:spacing w:before="180" w:after="60"/>
      </w:pPr>
      <w:r>
        <w:rPr>
          <w:rFonts w:ascii="Times New Roman" w:hAnsi="Times New Roman"/>
          <w:b/>
          <w:i/>
          <w:sz w:val="19"/>
        </w:rPr>
        <w:t>B. Visualisasi Data Berhierarki</w:t>
      </w:r>
    </w:p>
    <w:p w14:paraId="004A2972" w14:textId="77777777" w:rsidR="00BC0386" w:rsidRDefault="00000000">
      <w:pPr>
        <w:spacing w:after="70" w:line="252" w:lineRule="auto"/>
        <w:ind w:firstLine="288"/>
        <w:jc w:val="both"/>
      </w:pPr>
      <w:r>
        <w:rPr>
          <w:rFonts w:ascii="Times New Roman" w:hAnsi="Times New Roman"/>
          <w:sz w:val="18"/>
        </w:rPr>
        <w:t>Untuk merepresentasikan struktur data dengan hubungan bertingkat (parent-child), Johnson dan Shneiderman [4] memperkenalkan Treemap sebagai representasi visual hemat ruang (space-filling) yang memanfaatkan partisi persegi panjang bersarang. Ukuran setiap persegi panjang merepresentasikan variabel kuantitatif, sementara warna mengkodekan kategori atau rasio pertumbuhan. Sebagai komplemen geometris treemap, Stasko et al. [5] meneliti efektivitas diagram Sunburst (diagram lingkaran radial konsentris) untuk navigasi hierarki. Eksperimen mereka menunjukkan bahwa Sunburst lebih unggul dalam memberikan pemahaman intuitif terhadap struktur kedalaman hierarki (depth hierarchy) karena lingkaran cincin luar memvisualisasikan proporsi percabangan dengan lebih eksplisit.</w:t>
      </w:r>
    </w:p>
    <w:p w14:paraId="38249EE8" w14:textId="77777777" w:rsidR="00BC0386" w:rsidRDefault="00000000">
      <w:pPr>
        <w:keepNext/>
        <w:spacing w:before="180" w:after="60"/>
      </w:pPr>
      <w:r>
        <w:rPr>
          <w:rFonts w:ascii="Times New Roman" w:hAnsi="Times New Roman"/>
          <w:b/>
          <w:i/>
          <w:sz w:val="19"/>
        </w:rPr>
        <w:t>C. Visualisasi Geospasial dan Kartografi Kuantitatif</w:t>
      </w:r>
    </w:p>
    <w:p w14:paraId="6FF0EF5D" w14:textId="77777777" w:rsidR="00BC0386" w:rsidRDefault="00000000">
      <w:pPr>
        <w:spacing w:after="70" w:line="252" w:lineRule="auto"/>
        <w:ind w:firstLine="288"/>
        <w:jc w:val="both"/>
      </w:pPr>
      <w:r>
        <w:rPr>
          <w:rFonts w:ascii="Times New Roman" w:hAnsi="Times New Roman"/>
          <w:sz w:val="18"/>
        </w:rPr>
        <w:t xml:space="preserve">Penyajian data sosial-ekonomi regional memerlukan pemetaan tematik yang taat asas kartografi. Jenks [7] </w:t>
      </w:r>
      <w:r>
        <w:rPr>
          <w:rFonts w:ascii="Times New Roman" w:hAnsi="Times New Roman"/>
          <w:sz w:val="18"/>
        </w:rPr>
        <w:t>mengembangkan algoritma klasifikasi data statistik yang dikenal sebagai Goodness of Variance Fit (GVF) atau Jenks Natural Breaks Optimization. Algoritma ini bekerja secara iteratif untuk meminimalkan varians kuadrat di dalam kelas (within-class variance) dan memaksimalkan varians antarkelas (between-class variance), sehingga sangat ideal untuk data rasio ekonomi daerah yang berdistribusi miring (skewed). Pada aspek peta simbol titik kuantitatif, Flannery [6] menemukan bahwa mata manusia cenderung meremehkan (underestimate) perbedaan ukuran lingkaran proporsional jika dihitung murni berdasarkan rasio luas matematis (r ∝ √V). Oleh karena itu, Flannery merekomendasikan kompensasi eksponensial empiris sebesar 0,5716 (atau praktis 0,57) agar persepsi ukuran lingkaran sejalan dengan magnitudo data sebenarnya.</w:t>
      </w:r>
    </w:p>
    <w:p w14:paraId="091BBD26" w14:textId="77777777" w:rsidR="00BC0386" w:rsidRDefault="00000000">
      <w:pPr>
        <w:keepNext/>
        <w:spacing w:before="180" w:after="60"/>
      </w:pPr>
      <w:r>
        <w:rPr>
          <w:rFonts w:ascii="Times New Roman" w:hAnsi="Times New Roman"/>
          <w:b/>
          <w:i/>
          <w:sz w:val="19"/>
        </w:rPr>
        <w:t>D. Visualisasi Aliran Maritim dan Data Storytelling</w:t>
      </w:r>
    </w:p>
    <w:p w14:paraId="0833FFC0" w14:textId="77777777" w:rsidR="00BC0386" w:rsidRDefault="00000000">
      <w:pPr>
        <w:spacing w:after="70" w:line="252" w:lineRule="auto"/>
        <w:ind w:firstLine="288"/>
        <w:jc w:val="both"/>
      </w:pPr>
      <w:r>
        <w:rPr>
          <w:rFonts w:ascii="Times New Roman" w:hAnsi="Times New Roman"/>
          <w:sz w:val="18"/>
        </w:rPr>
        <w:t>Diagram Sankey dirancang berdasarkan prinsip hukum kekekalan massa (mass-balance flow), di mana lebar pita aliran secara presisi merefleksikan magnitudo kuantitatif yang berpindah antarnode dalam jaringan tertutup. Dalam ranah narasi komputasional, Segel dan Heer [8] mengklasifikasikan taksonomi Narrative Visualization ke dalam tiga model utama: author-driven (linier terstruktur), reader-driven (bebas eksploratif), dan hybrid (kombinasi narasi terpandu dengan kebebasan analitik mandiri). Hullman dan Diakopoulos [9] menganalisis retorika visualisasi dan framing effects, menekankan pentingnya transisi berirama dan anotasi kontekstual untuk mencegah distorsi interpretasi pengguna. Platform modern saat ini bertumpu pada pustaka JavaScript deklaratif D3.js yang dikembangkan Bostock et al. [10], memungkinkan manipulasi Document Object Model (DOM) yang sinkron dengan pembaruan status data secara reaktif.</w:t>
      </w:r>
    </w:p>
    <w:p w14:paraId="4DE70AEB" w14:textId="77777777" w:rsidR="00BC0386" w:rsidRDefault="00000000">
      <w:pPr>
        <w:spacing w:before="160" w:after="60"/>
        <w:jc w:val="center"/>
      </w:pPr>
      <w:r>
        <w:rPr>
          <w:rFonts w:ascii="Times New Roman" w:hAnsi="Times New Roman"/>
          <w:b/>
          <w:sz w:val="16"/>
        </w:rPr>
        <w:t>TABEL I. PEMENUHAN KETENTUAN MINIMAL TOPIK VISUALISASI (LAMPIRAN A SOAL)</w:t>
      </w:r>
    </w:p>
    <w:tbl>
      <w:tblPr>
        <w:tblW w:w="0" w:type="auto"/>
        <w:jc w:val="center"/>
        <w:tblLook w:val="04A0" w:firstRow="1" w:lastRow="0" w:firstColumn="1" w:lastColumn="0" w:noHBand="0" w:noVBand="1"/>
      </w:tblPr>
      <w:tblGrid>
        <w:gridCol w:w="1087"/>
        <w:gridCol w:w="1207"/>
        <w:gridCol w:w="1328"/>
        <w:gridCol w:w="1232"/>
      </w:tblGrid>
      <w:tr w:rsidR="00BC0386" w14:paraId="4A314F50" w14:textId="77777777">
        <w:trPr>
          <w:jc w:val="center"/>
        </w:trPr>
        <w:tc>
          <w:tcPr>
            <w:tcW w:w="2527" w:type="dxa"/>
            <w:shd w:val="clear" w:color="auto" w:fill="E2E8F0"/>
            <w:tcMar>
              <w:top w:w="80" w:type="dxa"/>
              <w:left w:w="80" w:type="dxa"/>
              <w:bottom w:w="80" w:type="dxa"/>
              <w:right w:w="80" w:type="dxa"/>
            </w:tcMar>
          </w:tcPr>
          <w:p w14:paraId="339AAC9E" w14:textId="77777777" w:rsidR="00BC0386" w:rsidRDefault="00000000">
            <w:pPr>
              <w:jc w:val="center"/>
            </w:pPr>
            <w:r>
              <w:rPr>
                <w:rFonts w:ascii="Times New Roman" w:hAnsi="Times New Roman"/>
                <w:b/>
                <w:sz w:val="15"/>
              </w:rPr>
              <w:t>Topik (Lamp. A)</w:t>
            </w:r>
          </w:p>
        </w:tc>
        <w:tc>
          <w:tcPr>
            <w:tcW w:w="2527" w:type="dxa"/>
            <w:shd w:val="clear" w:color="auto" w:fill="E2E8F0"/>
            <w:tcMar>
              <w:top w:w="80" w:type="dxa"/>
              <w:left w:w="80" w:type="dxa"/>
              <w:bottom w:w="80" w:type="dxa"/>
              <w:right w:w="80" w:type="dxa"/>
            </w:tcMar>
          </w:tcPr>
          <w:p w14:paraId="4FDCFBAB" w14:textId="77777777" w:rsidR="00BC0386" w:rsidRDefault="00000000">
            <w:pPr>
              <w:jc w:val="center"/>
            </w:pPr>
            <w:r>
              <w:rPr>
                <w:rFonts w:ascii="Times New Roman" w:hAnsi="Times New Roman"/>
                <w:b/>
                <w:sz w:val="15"/>
              </w:rPr>
              <w:t>Ketentuan Minimal Soal</w:t>
            </w:r>
          </w:p>
        </w:tc>
        <w:tc>
          <w:tcPr>
            <w:tcW w:w="2527" w:type="dxa"/>
            <w:shd w:val="clear" w:color="auto" w:fill="E2E8F0"/>
            <w:tcMar>
              <w:top w:w="80" w:type="dxa"/>
              <w:left w:w="80" w:type="dxa"/>
              <w:bottom w:w="80" w:type="dxa"/>
              <w:right w:w="80" w:type="dxa"/>
            </w:tcMar>
          </w:tcPr>
          <w:p w14:paraId="6BAFB9E4" w14:textId="77777777" w:rsidR="00BC0386" w:rsidRDefault="00000000">
            <w:pPr>
              <w:jc w:val="center"/>
            </w:pPr>
            <w:r>
              <w:rPr>
                <w:rFonts w:ascii="Times New Roman" w:hAnsi="Times New Roman"/>
                <w:b/>
                <w:sz w:val="15"/>
              </w:rPr>
              <w:t>Implementasi Desain Versi 2</w:t>
            </w:r>
          </w:p>
        </w:tc>
        <w:tc>
          <w:tcPr>
            <w:tcW w:w="2527" w:type="dxa"/>
            <w:shd w:val="clear" w:color="auto" w:fill="E2E8F0"/>
            <w:tcMar>
              <w:top w:w="80" w:type="dxa"/>
              <w:left w:w="80" w:type="dxa"/>
              <w:bottom w:w="80" w:type="dxa"/>
              <w:right w:w="80" w:type="dxa"/>
            </w:tcMar>
          </w:tcPr>
          <w:p w14:paraId="4F7B59D0" w14:textId="77777777" w:rsidR="00BC0386" w:rsidRDefault="00000000">
            <w:pPr>
              <w:jc w:val="center"/>
            </w:pPr>
            <w:r>
              <w:rPr>
                <w:rFonts w:ascii="Times New Roman" w:hAnsi="Times New Roman"/>
                <w:b/>
                <w:sz w:val="15"/>
              </w:rPr>
              <w:t>Status Validasi</w:t>
            </w:r>
          </w:p>
        </w:tc>
      </w:tr>
      <w:tr w:rsidR="00BC0386" w14:paraId="09539C36" w14:textId="77777777">
        <w:trPr>
          <w:jc w:val="center"/>
        </w:trPr>
        <w:tc>
          <w:tcPr>
            <w:tcW w:w="2527" w:type="dxa"/>
            <w:tcMar>
              <w:top w:w="60" w:type="dxa"/>
              <w:left w:w="60" w:type="dxa"/>
              <w:bottom w:w="60" w:type="dxa"/>
              <w:right w:w="60" w:type="dxa"/>
            </w:tcMar>
          </w:tcPr>
          <w:p w14:paraId="60BC863A" w14:textId="77777777" w:rsidR="00BC0386" w:rsidRDefault="00000000">
            <w:pPr>
              <w:jc w:val="center"/>
            </w:pPr>
            <w:r>
              <w:rPr>
                <w:rFonts w:ascii="Times New Roman" w:hAnsi="Times New Roman"/>
                <w:sz w:val="14"/>
              </w:rPr>
              <w:t>Data Berhierarki (Topik c)</w:t>
            </w:r>
          </w:p>
        </w:tc>
        <w:tc>
          <w:tcPr>
            <w:tcW w:w="2527" w:type="dxa"/>
            <w:tcMar>
              <w:top w:w="60" w:type="dxa"/>
              <w:left w:w="60" w:type="dxa"/>
              <w:bottom w:w="60" w:type="dxa"/>
              <w:right w:w="60" w:type="dxa"/>
            </w:tcMar>
          </w:tcPr>
          <w:p w14:paraId="3B765AED" w14:textId="77777777" w:rsidR="00BC0386" w:rsidRDefault="00000000">
            <w:pPr>
              <w:jc w:val="both"/>
            </w:pPr>
            <w:r>
              <w:rPr>
                <w:rFonts w:ascii="Times New Roman" w:hAnsi="Times New Roman"/>
                <w:sz w:val="14"/>
              </w:rPr>
              <w:t>• Minimal 3 level hierarki</w:t>
            </w:r>
            <w:r>
              <w:rPr>
                <w:rFonts w:ascii="Times New Roman" w:hAnsi="Times New Roman"/>
                <w:sz w:val="14"/>
              </w:rPr>
              <w:br/>
              <w:t>• Minimal 2 representasi berbeda</w:t>
            </w:r>
            <w:r>
              <w:rPr>
                <w:rFonts w:ascii="Times New Roman" w:hAnsi="Times New Roman"/>
                <w:sz w:val="14"/>
              </w:rPr>
              <w:br/>
              <w:t>• Ukuran &amp; warna mengkodekan 2 variabel</w:t>
            </w:r>
            <w:r>
              <w:rPr>
                <w:rFonts w:ascii="Times New Roman" w:hAnsi="Times New Roman"/>
                <w:sz w:val="14"/>
              </w:rPr>
              <w:br/>
              <w:t>• Drill-down/zoom + breadcrumb</w:t>
            </w:r>
          </w:p>
        </w:tc>
        <w:tc>
          <w:tcPr>
            <w:tcW w:w="2527" w:type="dxa"/>
            <w:tcMar>
              <w:top w:w="60" w:type="dxa"/>
              <w:left w:w="60" w:type="dxa"/>
              <w:bottom w:w="60" w:type="dxa"/>
              <w:right w:w="60" w:type="dxa"/>
            </w:tcMar>
          </w:tcPr>
          <w:p w14:paraId="468B199A" w14:textId="77777777" w:rsidR="00BC0386" w:rsidRDefault="00000000">
            <w:pPr>
              <w:jc w:val="both"/>
            </w:pPr>
            <w:r>
              <w:rPr>
                <w:rFonts w:ascii="Times New Roman" w:hAnsi="Times New Roman"/>
                <w:sz w:val="14"/>
              </w:rPr>
              <w:t>• Bab 01: Treemap PDB 17 Sektor (Nasional -&gt; 3 Kategori -&gt; 17 Sektor Lapangan Usaha)</w:t>
            </w:r>
            <w:r>
              <w:rPr>
                <w:rFonts w:ascii="Times New Roman" w:hAnsi="Times New Roman"/>
                <w:sz w:val="14"/>
              </w:rPr>
              <w:br/>
              <w:t>• Bab 04: Sunburst Ekspor (Total Ekspor -&gt; 6 Benua -&gt; 84 Negara Mitra Dagang)</w:t>
            </w:r>
            <w:r>
              <w:rPr>
                <w:rFonts w:ascii="Times New Roman" w:hAnsi="Times New Roman"/>
                <w:sz w:val="14"/>
              </w:rPr>
              <w:br/>
              <w:t>• Ukuran = Nilai Nominal (Rp/USD), Warna = Kategori Sektor / Benua Mitra</w:t>
            </w:r>
          </w:p>
        </w:tc>
        <w:tc>
          <w:tcPr>
            <w:tcW w:w="2527" w:type="dxa"/>
            <w:tcMar>
              <w:top w:w="60" w:type="dxa"/>
              <w:left w:w="60" w:type="dxa"/>
              <w:bottom w:w="60" w:type="dxa"/>
              <w:right w:w="60" w:type="dxa"/>
            </w:tcMar>
          </w:tcPr>
          <w:p w14:paraId="61620B2D" w14:textId="77777777" w:rsidR="00BC0386" w:rsidRDefault="00000000">
            <w:pPr>
              <w:jc w:val="center"/>
            </w:pPr>
            <w:r>
              <w:rPr>
                <w:rFonts w:ascii="Times New Roman" w:hAnsi="Times New Roman"/>
                <w:b/>
                <w:sz w:val="14"/>
              </w:rPr>
              <w:t>MEMENUHI (100% Sesuai)</w:t>
            </w:r>
          </w:p>
        </w:tc>
      </w:tr>
      <w:tr w:rsidR="00BC0386" w14:paraId="482C8F0B" w14:textId="77777777">
        <w:trPr>
          <w:jc w:val="center"/>
        </w:trPr>
        <w:tc>
          <w:tcPr>
            <w:tcW w:w="2527" w:type="dxa"/>
            <w:shd w:val="clear" w:color="auto" w:fill="F8FAFC"/>
            <w:tcMar>
              <w:top w:w="60" w:type="dxa"/>
              <w:left w:w="60" w:type="dxa"/>
              <w:bottom w:w="60" w:type="dxa"/>
              <w:right w:w="60" w:type="dxa"/>
            </w:tcMar>
          </w:tcPr>
          <w:p w14:paraId="679C7571" w14:textId="77777777" w:rsidR="00BC0386" w:rsidRDefault="00000000">
            <w:pPr>
              <w:jc w:val="center"/>
            </w:pPr>
            <w:r>
              <w:rPr>
                <w:rFonts w:ascii="Times New Roman" w:hAnsi="Times New Roman"/>
                <w:sz w:val="14"/>
              </w:rPr>
              <w:t>Data Geospasial (Topik e)</w:t>
            </w:r>
          </w:p>
        </w:tc>
        <w:tc>
          <w:tcPr>
            <w:tcW w:w="2527" w:type="dxa"/>
            <w:shd w:val="clear" w:color="auto" w:fill="F8FAFC"/>
            <w:tcMar>
              <w:top w:w="60" w:type="dxa"/>
              <w:left w:w="60" w:type="dxa"/>
              <w:bottom w:w="60" w:type="dxa"/>
              <w:right w:w="60" w:type="dxa"/>
            </w:tcMar>
          </w:tcPr>
          <w:p w14:paraId="7852683C" w14:textId="77777777" w:rsidR="00BC0386" w:rsidRDefault="00000000">
            <w:pPr>
              <w:jc w:val="both"/>
            </w:pPr>
            <w:r>
              <w:rPr>
                <w:rFonts w:ascii="Times New Roman" w:hAnsi="Times New Roman"/>
                <w:sz w:val="14"/>
              </w:rPr>
              <w:t>• Tingkat kab/kota (±500 unit)</w:t>
            </w:r>
            <w:r>
              <w:rPr>
                <w:rFonts w:ascii="Times New Roman" w:hAnsi="Times New Roman"/>
                <w:sz w:val="14"/>
              </w:rPr>
              <w:br/>
              <w:t>• Minimal 2 jenis peta berbeda</w:t>
            </w:r>
            <w:r>
              <w:rPr>
                <w:rFonts w:ascii="Times New Roman" w:hAnsi="Times New Roman"/>
                <w:sz w:val="14"/>
              </w:rPr>
              <w:br/>
              <w:t>• Justifikasi klasifikasi &amp; warna</w:t>
            </w:r>
            <w:r>
              <w:rPr>
                <w:rFonts w:ascii="Times New Roman" w:hAnsi="Times New Roman"/>
                <w:sz w:val="14"/>
              </w:rPr>
              <w:br/>
              <w:t>• Choropleth rasio (bukan absolut)</w:t>
            </w:r>
            <w:r>
              <w:rPr>
                <w:rFonts w:ascii="Times New Roman" w:hAnsi="Times New Roman"/>
                <w:sz w:val="14"/>
              </w:rPr>
              <w:br/>
              <w:t>• Tooltip, legenda, zoom/pan, kontrol</w:t>
            </w:r>
          </w:p>
        </w:tc>
        <w:tc>
          <w:tcPr>
            <w:tcW w:w="2527" w:type="dxa"/>
            <w:shd w:val="clear" w:color="auto" w:fill="F8FAFC"/>
            <w:tcMar>
              <w:top w:w="60" w:type="dxa"/>
              <w:left w:w="60" w:type="dxa"/>
              <w:bottom w:w="60" w:type="dxa"/>
              <w:right w:w="60" w:type="dxa"/>
            </w:tcMar>
          </w:tcPr>
          <w:p w14:paraId="0C75AD20" w14:textId="77777777" w:rsidR="00BC0386" w:rsidRDefault="00000000">
            <w:pPr>
              <w:jc w:val="both"/>
            </w:pPr>
            <w:r>
              <w:rPr>
                <w:rFonts w:ascii="Times New Roman" w:hAnsi="Times New Roman"/>
                <w:sz w:val="14"/>
              </w:rPr>
              <w:t>• Bab 02: Peta Choropleth 514 Kabupaten/Kota se-Indonesia (Rasio Tambang/PDRB %)</w:t>
            </w:r>
            <w:r>
              <w:rPr>
                <w:rFonts w:ascii="Times New Roman" w:hAnsi="Times New Roman"/>
                <w:sz w:val="14"/>
              </w:rPr>
              <w:br/>
              <w:t>• Bab 03: Peta Simbol Proporsional 74 Pelabuhan Muat Tambang</w:t>
            </w:r>
            <w:r>
              <w:rPr>
                <w:rFonts w:ascii="Times New Roman" w:hAnsi="Times New Roman"/>
                <w:sz w:val="14"/>
              </w:rPr>
              <w:br/>
              <w:t>• Klasifikasi Jenks Natural Breaks 5 Kelas + Skala Flannery eksponen 0,57</w:t>
            </w:r>
            <w:r>
              <w:rPr>
                <w:rFonts w:ascii="Times New Roman" w:hAnsi="Times New Roman"/>
                <w:sz w:val="14"/>
              </w:rPr>
              <w:br/>
            </w:r>
            <w:r>
              <w:rPr>
                <w:rFonts w:ascii="Times New Roman" w:hAnsi="Times New Roman"/>
                <w:sz w:val="14"/>
              </w:rPr>
              <w:lastRenderedPageBreak/>
              <w:t>• Layer control toggle choropleth underlay, tooltip detail, zoom/pan</w:t>
            </w:r>
          </w:p>
        </w:tc>
        <w:tc>
          <w:tcPr>
            <w:tcW w:w="2527" w:type="dxa"/>
            <w:shd w:val="clear" w:color="auto" w:fill="F8FAFC"/>
            <w:tcMar>
              <w:top w:w="60" w:type="dxa"/>
              <w:left w:w="60" w:type="dxa"/>
              <w:bottom w:w="60" w:type="dxa"/>
              <w:right w:w="60" w:type="dxa"/>
            </w:tcMar>
          </w:tcPr>
          <w:p w14:paraId="197F6AB0" w14:textId="77777777" w:rsidR="00BC0386" w:rsidRDefault="00000000">
            <w:pPr>
              <w:jc w:val="center"/>
            </w:pPr>
            <w:r>
              <w:rPr>
                <w:rFonts w:ascii="Times New Roman" w:hAnsi="Times New Roman"/>
                <w:b/>
                <w:sz w:val="14"/>
              </w:rPr>
              <w:lastRenderedPageBreak/>
              <w:t>MEMENUHI (100% Sesuai)</w:t>
            </w:r>
          </w:p>
        </w:tc>
      </w:tr>
      <w:tr w:rsidR="00BC0386" w14:paraId="5A73E917" w14:textId="77777777">
        <w:trPr>
          <w:jc w:val="center"/>
        </w:trPr>
        <w:tc>
          <w:tcPr>
            <w:tcW w:w="2527" w:type="dxa"/>
            <w:tcMar>
              <w:top w:w="60" w:type="dxa"/>
              <w:left w:w="60" w:type="dxa"/>
              <w:bottom w:w="60" w:type="dxa"/>
              <w:right w:w="60" w:type="dxa"/>
            </w:tcMar>
          </w:tcPr>
          <w:p w14:paraId="7078802B" w14:textId="77777777" w:rsidR="00BC0386" w:rsidRDefault="00000000">
            <w:pPr>
              <w:jc w:val="center"/>
            </w:pPr>
            <w:r>
              <w:rPr>
                <w:rFonts w:ascii="Times New Roman" w:hAnsi="Times New Roman"/>
                <w:sz w:val="14"/>
              </w:rPr>
              <w:t>Data Aliran / Flow (Topik f)</w:t>
            </w:r>
          </w:p>
        </w:tc>
        <w:tc>
          <w:tcPr>
            <w:tcW w:w="2527" w:type="dxa"/>
            <w:tcMar>
              <w:top w:w="60" w:type="dxa"/>
              <w:left w:w="60" w:type="dxa"/>
              <w:bottom w:w="60" w:type="dxa"/>
              <w:right w:w="60" w:type="dxa"/>
            </w:tcMar>
          </w:tcPr>
          <w:p w14:paraId="59D9F665" w14:textId="77777777" w:rsidR="00BC0386" w:rsidRDefault="00000000">
            <w:pPr>
              <w:jc w:val="both"/>
            </w:pPr>
            <w:r>
              <w:rPr>
                <w:rFonts w:ascii="Times New Roman" w:hAnsi="Times New Roman"/>
                <w:sz w:val="14"/>
              </w:rPr>
              <w:t>• Minimal 15 entitas asal/tujuan</w:t>
            </w:r>
            <w:r>
              <w:rPr>
                <w:rFonts w:ascii="Times New Roman" w:hAnsi="Times New Roman"/>
                <w:sz w:val="14"/>
              </w:rPr>
              <w:br/>
              <w:t>• Minimal 2 teknik aliran berbeda</w:t>
            </w:r>
            <w:r>
              <w:rPr>
                <w:rFonts w:ascii="Times New Roman" w:hAnsi="Times New Roman"/>
                <w:sz w:val="14"/>
              </w:rPr>
              <w:br/>
              <w:t>• Volume &amp; arah dikodekan visual</w:t>
            </w:r>
            <w:r>
              <w:rPr>
                <w:rFonts w:ascii="Times New Roman" w:hAnsi="Times New Roman"/>
                <w:sz w:val="14"/>
              </w:rPr>
              <w:br/>
              <w:t>• Filter periode, asal, atau tujuan</w:t>
            </w:r>
          </w:p>
        </w:tc>
        <w:tc>
          <w:tcPr>
            <w:tcW w:w="2527" w:type="dxa"/>
            <w:tcMar>
              <w:top w:w="60" w:type="dxa"/>
              <w:left w:w="60" w:type="dxa"/>
              <w:bottom w:w="60" w:type="dxa"/>
              <w:right w:w="60" w:type="dxa"/>
            </w:tcMar>
          </w:tcPr>
          <w:p w14:paraId="19CE5570" w14:textId="77777777" w:rsidR="00BC0386" w:rsidRDefault="00000000">
            <w:pPr>
              <w:jc w:val="both"/>
            </w:pPr>
            <w:r>
              <w:rPr>
                <w:rFonts w:ascii="Times New Roman" w:hAnsi="Times New Roman"/>
                <w:sz w:val="14"/>
              </w:rPr>
              <w:t>• Bab 05: Diagram Alir Sankey (30 Pelabuhan Muat -&gt; 20 Negara Mitra, nilai $46,24 B)</w:t>
            </w:r>
            <w:r>
              <w:rPr>
                <w:rFonts w:ascii="Times New Roman" w:hAnsi="Times New Roman"/>
                <w:sz w:val="14"/>
              </w:rPr>
              <w:br/>
              <w:t>• Bab 06: Geo Flow 3D Globe (535 Rute Kargo Laut dari 74 Pelabuhan ke 84 Negara)</w:t>
            </w:r>
            <w:r>
              <w:rPr>
                <w:rFonts w:ascii="Times New Roman" w:hAnsi="Times New Roman"/>
                <w:sz w:val="14"/>
              </w:rPr>
              <w:br/>
              <w:t>• Lebar pita &amp; partikel dinamis searah = volume &amp; arah kargo maritim</w:t>
            </w:r>
            <w:r>
              <w:rPr>
                <w:rFonts w:ascii="Times New Roman" w:hAnsi="Times New Roman"/>
                <w:sz w:val="14"/>
              </w:rPr>
              <w:br/>
              <w:t>• Filter multi-select pelabuhan, filter benua, dan dropdown pelabuhan</w:t>
            </w:r>
          </w:p>
        </w:tc>
        <w:tc>
          <w:tcPr>
            <w:tcW w:w="2527" w:type="dxa"/>
            <w:tcMar>
              <w:top w:w="60" w:type="dxa"/>
              <w:left w:w="60" w:type="dxa"/>
              <w:bottom w:w="60" w:type="dxa"/>
              <w:right w:w="60" w:type="dxa"/>
            </w:tcMar>
          </w:tcPr>
          <w:p w14:paraId="1BB06DE0" w14:textId="77777777" w:rsidR="00BC0386" w:rsidRDefault="00000000">
            <w:pPr>
              <w:jc w:val="center"/>
            </w:pPr>
            <w:r>
              <w:rPr>
                <w:rFonts w:ascii="Times New Roman" w:hAnsi="Times New Roman"/>
                <w:b/>
                <w:sz w:val="14"/>
              </w:rPr>
              <w:t>MEMENUHI (100% Sesuai)</w:t>
            </w:r>
          </w:p>
        </w:tc>
      </w:tr>
    </w:tbl>
    <w:p w14:paraId="2BC1F278" w14:textId="77777777" w:rsidR="00BC0386" w:rsidRDefault="00000000">
      <w:pPr>
        <w:keepNext/>
        <w:spacing w:before="260" w:after="80"/>
        <w:jc w:val="center"/>
      </w:pPr>
      <w:r>
        <w:rPr>
          <w:rFonts w:ascii="Times New Roman" w:hAnsi="Times New Roman"/>
          <w:b/>
          <w:sz w:val="20"/>
        </w:rPr>
        <w:t>III. Metodologi</w:t>
      </w:r>
    </w:p>
    <w:p w14:paraId="4A7FBAA3" w14:textId="77777777" w:rsidR="00BC0386" w:rsidRDefault="00000000">
      <w:pPr>
        <w:keepNext/>
        <w:spacing w:before="180" w:after="60"/>
      </w:pPr>
      <w:r>
        <w:rPr>
          <w:rFonts w:ascii="Times New Roman" w:hAnsi="Times New Roman"/>
          <w:b/>
          <w:i/>
          <w:sz w:val="19"/>
        </w:rPr>
        <w:t>A. Sumber Data Statistik Resmi Badan Pusat Statistik (BPS)</w:t>
      </w:r>
    </w:p>
    <w:p w14:paraId="2127DF46" w14:textId="77777777" w:rsidR="00BC0386" w:rsidRDefault="00000000">
      <w:pPr>
        <w:spacing w:after="70" w:line="252" w:lineRule="auto"/>
        <w:ind w:firstLine="288"/>
        <w:jc w:val="both"/>
      </w:pPr>
      <w:r>
        <w:rPr>
          <w:rFonts w:ascii="Times New Roman" w:hAnsi="Times New Roman"/>
          <w:b/>
          <w:sz w:val="18"/>
        </w:rPr>
        <w:t xml:space="preserve">Karakteristik Korpus Data BPS: </w:t>
      </w:r>
      <w:r>
        <w:rPr>
          <w:rFonts w:ascii="Times New Roman" w:hAnsi="Times New Roman"/>
          <w:sz w:val="18"/>
        </w:rPr>
        <w:t>Seluruh dataset utama yang menjadi landasan komputasi dan visualisasi dalam penelitian ini bersumber secara valid dari publikasi resmi Badan Pusat Statistik (BPS) Republik Indonesia edisi tahun 2025 [11]–[13]. Kredibilitas data dijamin melalui telaah statistik dokumen resmi BPS yang mencakup empat korpus data primer:</w:t>
      </w:r>
    </w:p>
    <w:p w14:paraId="11AD5507" w14:textId="77777777" w:rsidR="00BC0386" w:rsidRDefault="00000000">
      <w:pPr>
        <w:spacing w:after="70" w:line="252" w:lineRule="auto"/>
        <w:ind w:firstLine="288"/>
        <w:jc w:val="both"/>
      </w:pPr>
      <w:r>
        <w:rPr>
          <w:rFonts w:ascii="Times New Roman" w:hAnsi="Times New Roman"/>
          <w:sz w:val="18"/>
        </w:rPr>
        <w:t>1) Produk Domestik Bruto (PDB) Menurut Lapangan Usaha 2021–2025: Mencakup nilai PDB Atas Dasar Harga Berlaku (ADHB) untuk 17 sektor lapangan usaha standar BPS (Kategori A sampai Q) dengan agregat nasional mencapai Rp26.621,34 triliun pada tahun 2025 [11].</w:t>
      </w:r>
      <w:r>
        <w:rPr>
          <w:rFonts w:ascii="Times New Roman" w:hAnsi="Times New Roman"/>
          <w:sz w:val="18"/>
        </w:rPr>
        <w:br/>
        <w:t>2) Produk Domestik Regional Bruto (PDRB) Kabupaten/Kota di Indonesia Menurut Lapangan Usaha 2021–2025: Mencakup 514 unit observasi kabupaten/kota di 38 provinsi di Indonesia. Variabel yang diekstraksi adalah total PDRB ADHB dan nilai PDRB subsektor Pertambangan dan Penggalian untuk mengukur rasio kontribusi relatif lokal (% share) [13].</w:t>
      </w:r>
      <w:r>
        <w:rPr>
          <w:rFonts w:ascii="Times New Roman" w:hAnsi="Times New Roman"/>
          <w:sz w:val="18"/>
        </w:rPr>
        <w:br/>
        <w:t>3) Statistik Ekspor Komoditas Tambang Menurut Pelabuhan Muat 2025: Mencakup data logistik ekspor riil dari 74 simpul pelabuhan muat laut resmi di Indonesia, dengan pemilahan kode Harmonized System 2-digit: HS 26 (Bijih Logam, Terak, dan Abu) serta HS 27 (Bahan Bakar Mineral, Minyak Bumi, dan Produk Penyulingannya) [12].</w:t>
      </w:r>
      <w:r>
        <w:rPr>
          <w:rFonts w:ascii="Times New Roman" w:hAnsi="Times New Roman"/>
          <w:sz w:val="18"/>
        </w:rPr>
        <w:br/>
        <w:t>4) Statistik Ekspor Komoditas Tambang Menurut Negara Tujuan 2025: Mencakup volume (ton) dan nilai Free On Board (FOB dalam US$) ekspor tambang yang dikirim ke 84 negara mitra dagang di enam benua (Asia, Eropa, Oseania, Amerika, Afrika, dan Lainnya) [12].</w:t>
      </w:r>
      <w:r>
        <w:rPr>
          <w:rFonts w:ascii="Times New Roman" w:hAnsi="Times New Roman"/>
          <w:sz w:val="18"/>
        </w:rPr>
        <w:br/>
        <w:t>5) Data Pendukung Batas Wilayah Digital: GeoJSON batas administrasi 514 kabupaten/kota dan batas daratan dunia yang bersumber dari Badan Informasi Geospasial (BIG) dan Natural Earth Data, diproyeksikan menggunakan WGS84 (EPSG:4326).</w:t>
      </w:r>
    </w:p>
    <w:p w14:paraId="41A3A3CB" w14:textId="77777777" w:rsidR="00BC0386" w:rsidRDefault="00000000">
      <w:pPr>
        <w:keepNext/>
        <w:spacing w:before="180" w:after="60"/>
      </w:pPr>
      <w:r>
        <w:rPr>
          <w:rFonts w:ascii="Times New Roman" w:hAnsi="Times New Roman"/>
          <w:b/>
          <w:i/>
          <w:sz w:val="19"/>
        </w:rPr>
        <w:t>B. Pra-Pemrosesan dan Integrasi Relasional</w:t>
      </w:r>
    </w:p>
    <w:p w14:paraId="3DCF69B4" w14:textId="77777777" w:rsidR="00BC0386" w:rsidRDefault="00000000">
      <w:pPr>
        <w:spacing w:after="70" w:line="252" w:lineRule="auto"/>
        <w:ind w:firstLine="288"/>
        <w:jc w:val="both"/>
      </w:pPr>
      <w:r>
        <w:rPr>
          <w:rFonts w:ascii="Times New Roman" w:hAnsi="Times New Roman"/>
          <w:b/>
          <w:sz w:val="18"/>
        </w:rPr>
        <w:t xml:space="preserve">Alur ETL (Extract, Transform, Load): </w:t>
      </w:r>
      <w:r>
        <w:rPr>
          <w:rFonts w:ascii="Times New Roman" w:hAnsi="Times New Roman"/>
          <w:sz w:val="18"/>
        </w:rPr>
        <w:t xml:space="preserve">Data statistik mentah BPS melalui serangkaian tahapan pra-pemrosesan data terstruktur menggunakan bahasa pemrograman Python (pustaka </w:t>
      </w:r>
      <w:r>
        <w:rPr>
          <w:rFonts w:ascii="Times New Roman" w:hAnsi="Times New Roman"/>
          <w:sz w:val="18"/>
        </w:rPr>
        <w:t>Pandas dan NumPy) untuk memastikan konsistensi relasional dan integritas topologis:</w:t>
      </w:r>
    </w:p>
    <w:p w14:paraId="5916F8C1" w14:textId="77777777" w:rsidR="00BC0386" w:rsidRDefault="00000000">
      <w:pPr>
        <w:spacing w:after="70" w:line="252" w:lineRule="auto"/>
        <w:ind w:firstLine="288"/>
        <w:jc w:val="both"/>
      </w:pPr>
      <w:r>
        <w:rPr>
          <w:rFonts w:ascii="Times New Roman" w:hAnsi="Times New Roman"/>
          <w:sz w:val="18"/>
        </w:rPr>
        <w:t>a) Penyelarasan Kode Administrasi Wilayah: Penyelarasan kode wilayah BPS 514 daerah dengan master code Kementerian Dalam Negeri (Kemendagri) untuk mengatasi perubahan nomenklatur pemekaran wilayah di empat provinsi baru Papua (Papua Selatan, Papua Tengah, Papua Pegunungan, dan Papua Barat Daya).</w:t>
      </w:r>
      <w:r>
        <w:rPr>
          <w:rFonts w:ascii="Times New Roman" w:hAnsi="Times New Roman"/>
          <w:sz w:val="18"/>
        </w:rPr>
        <w:br/>
        <w:t>b) Perhitungan Rasio Intensitas Pertambangan: Menghindari distorsi angka absolut akibat disparitas ukuran ekonomi daerah dengan menghitung rasio relatif:</w:t>
      </w:r>
    </w:p>
    <w:p w14:paraId="6151E033" w14:textId="77777777" w:rsidR="00BC0386" w:rsidRDefault="00000000">
      <w:pPr>
        <w:spacing w:before="80" w:after="80"/>
        <w:jc w:val="center"/>
      </w:pPr>
      <w:r>
        <w:rPr>
          <w:rFonts w:ascii="Times New Roman" w:hAnsi="Times New Roman"/>
          <w:i/>
          <w:sz w:val="17"/>
        </w:rPr>
        <w:t>R_{tambang, i} = \frac{PDRB_{tambang, i}}{PDRB_{total, i}} \times 100\%                               (1)</w:t>
      </w:r>
    </w:p>
    <w:p w14:paraId="1D12E76F" w14:textId="77777777" w:rsidR="00BC0386" w:rsidRDefault="00000000">
      <w:pPr>
        <w:spacing w:after="70" w:line="252" w:lineRule="auto"/>
        <w:ind w:firstLine="288"/>
        <w:jc w:val="both"/>
      </w:pPr>
      <w:r>
        <w:rPr>
          <w:rFonts w:ascii="Times New Roman" w:hAnsi="Times New Roman"/>
          <w:sz w:val="18"/>
        </w:rPr>
        <w:t>c) Geocoding Pelabuhan Laut: Melakukan georeferensi koordinat spasial (latitude, longitude) terhadap 74 pelabuhan muat BPS yang belum memiliki koordinat resmi, memvalidasi lokasi dermaga kargo tambang khusus (seperti Terminal KPC Tanjung Bara, Amamapare Freeport, Tangguh LNG Bintuni, dan Morowali Jetty).</w:t>
      </w:r>
      <w:r>
        <w:rPr>
          <w:rFonts w:ascii="Times New Roman" w:hAnsi="Times New Roman"/>
          <w:sz w:val="18"/>
        </w:rPr>
        <w:br/>
        <w:t>d) Rekonstruksi Relasi Matriks Asal-Tujuan (Origin-Destination): Membangun matriks relasional O-D antara 74 pelabuhan muat dan 84 negara mitra dagang yang menghasilkan 535 rute pelayaran unik bernilai transaksi kargo ekspor riil sebesar US$49,69 miliar.</w:t>
      </w:r>
    </w:p>
    <w:p w14:paraId="79455E2B" w14:textId="77777777" w:rsidR="00BC0386" w:rsidRDefault="00000000">
      <w:pPr>
        <w:keepNext/>
        <w:spacing w:before="180" w:after="60"/>
      </w:pPr>
      <w:r>
        <w:rPr>
          <w:rFonts w:ascii="Times New Roman" w:hAnsi="Times New Roman"/>
          <w:b/>
          <w:i/>
          <w:sz w:val="19"/>
        </w:rPr>
        <w:t>C. Rancangan Visualisasi dan Pemilihan Encoding</w:t>
      </w:r>
    </w:p>
    <w:p w14:paraId="753A9772" w14:textId="77777777" w:rsidR="00BC0386" w:rsidRDefault="00000000">
      <w:pPr>
        <w:spacing w:after="70" w:line="252" w:lineRule="auto"/>
        <w:ind w:firstLine="288"/>
        <w:jc w:val="both"/>
      </w:pPr>
      <w:r>
        <w:rPr>
          <w:rFonts w:ascii="Times New Roman" w:hAnsi="Times New Roman"/>
          <w:b/>
          <w:sz w:val="18"/>
        </w:rPr>
        <w:t xml:space="preserve">Rancangan Encoding Visual: </w:t>
      </w:r>
      <w:r>
        <w:rPr>
          <w:rFonts w:ascii="Times New Roman" w:hAnsi="Times New Roman"/>
          <w:sz w:val="18"/>
        </w:rPr>
        <w:t>Sesuai ketentuan akademis pada Lampiran A, sistem mengintegrasikan enam bentuk visualisasi yang mencakup tiga topik inti:</w:t>
      </w:r>
    </w:p>
    <w:p w14:paraId="63D0EC1E" w14:textId="77777777" w:rsidR="00BC0386" w:rsidRDefault="00000000">
      <w:pPr>
        <w:spacing w:after="70" w:line="252" w:lineRule="auto"/>
        <w:ind w:firstLine="288"/>
        <w:jc w:val="both"/>
      </w:pPr>
      <w:r>
        <w:rPr>
          <w:rFonts w:ascii="Times New Roman" w:hAnsi="Times New Roman"/>
          <w:sz w:val="18"/>
        </w:rPr>
        <w:t>1) Topik c - Data Berhierarki (Bab 01 &amp; Bab 04): Pada Bab 01, Treemap squarified digunakan untuk memvisualisasikan PDB 17 sektor. Struktur hierarki dibangun dalam tiga tingkat: Total PDB -&gt; Kategori Makro (Primer, Sekunder, Tersier) -&gt; 17 Lapangan Usaha. Variabel ukuran persegi panjang (size encoding) mengkodekan nilai PDB nominal (Rp triliun), sedangkan variabel warna (hue) mengkodekan rumpun sektor. Pada Bab 04, diagram Sunburst menampilkan struktur ekspor global berjenjang tiga tingkat: Total Ekspor Tambang -&gt; Kawasan Benua -&gt; Negara Tujuan. Sudut irisan melingkar proporsional terhadap nilai FOB US$, dilengkapi kemampuan zoom interaktif dengan breadcrumb status.</w:t>
      </w:r>
      <w:r>
        <w:rPr>
          <w:rFonts w:ascii="Times New Roman" w:hAnsi="Times New Roman"/>
          <w:sz w:val="18"/>
        </w:rPr>
        <w:br/>
        <w:t>2) Topik e - Data Geospasial (Bab 02 &amp; Bab 03): Pada Bab 02, peta Choropleth memetakan rasio R_{tambang} pada 514 kabupaten/kota. Metode klasifikasi dijustifikasi menggunakan algoritma Jenks Natural Breaks 5 kelas untuk meminimalkan deviasi rata-rata internal kelas:</w:t>
      </w:r>
    </w:p>
    <w:p w14:paraId="60FF36E7" w14:textId="77777777" w:rsidR="00BC0386" w:rsidRDefault="00000000">
      <w:pPr>
        <w:spacing w:before="80" w:after="80"/>
        <w:jc w:val="center"/>
      </w:pPr>
      <w:r>
        <w:rPr>
          <w:rFonts w:ascii="Times New Roman" w:hAnsi="Times New Roman"/>
          <w:i/>
          <w:sz w:val="17"/>
        </w:rPr>
        <w:t>GVF = 1 - \frac{\sum_{j=1}^k \sum_{i=1}^{n_j} (x_{ij} - \bar{x}_j)^2}{\sum_{i=1}^n (x_i - \bar{x})^2}                               (2)</w:t>
      </w:r>
    </w:p>
    <w:p w14:paraId="39EA2D5C" w14:textId="77777777" w:rsidR="00BC0386" w:rsidRDefault="00000000">
      <w:pPr>
        <w:spacing w:after="70" w:line="252" w:lineRule="auto"/>
        <w:ind w:firstLine="288"/>
        <w:jc w:val="both"/>
      </w:pPr>
      <w:r>
        <w:rPr>
          <w:rFonts w:ascii="Times New Roman" w:hAnsi="Times New Roman"/>
          <w:sz w:val="18"/>
        </w:rPr>
        <w:t>Palet warna yang dipilih adalah gradasi univariat warm earth-tone (stone-orange) yang terbukti ramah buta warna (colorblind-safe) dan bebas dari artefak perceptual rainbow map. Pada Bab 03, peta Simbol Proporsional 74 pelabuhan laut menerapkan kompensasi Flannery [6]:</w:t>
      </w:r>
    </w:p>
    <w:p w14:paraId="67DAFC69" w14:textId="77777777" w:rsidR="00BC0386" w:rsidRDefault="00000000">
      <w:pPr>
        <w:spacing w:before="80" w:after="80"/>
        <w:jc w:val="center"/>
      </w:pPr>
      <w:r>
        <w:rPr>
          <w:rFonts w:ascii="Times New Roman" w:hAnsi="Times New Roman"/>
          <w:i/>
          <w:sz w:val="17"/>
        </w:rPr>
        <w:t>R_i = R_{min} + (R_{max} - R_{min}) \times \left(\frac{V_i - V_{min}}{V_{max} - V_{min}}\right)^{0,57}                               (3)</w:t>
      </w:r>
    </w:p>
    <w:p w14:paraId="571227C0" w14:textId="77777777" w:rsidR="00BC0386" w:rsidRDefault="00000000">
      <w:pPr>
        <w:spacing w:after="70" w:line="252" w:lineRule="auto"/>
        <w:ind w:firstLine="288"/>
        <w:jc w:val="both"/>
      </w:pPr>
      <w:r>
        <w:rPr>
          <w:rFonts w:ascii="Times New Roman" w:hAnsi="Times New Roman"/>
          <w:sz w:val="18"/>
        </w:rPr>
        <w:t>di mana R_i adalah radius piksel lingkaran pada layar, V_i adalah nilai ekspor pelabuhan (US$), dan eksponen 0,57 berfungsi mengoreksi kecenderungan persepsi visual manusia yang secara psikologis meremehkan luas lingkaran besar.</w:t>
      </w:r>
      <w:r>
        <w:rPr>
          <w:rFonts w:ascii="Times New Roman" w:hAnsi="Times New Roman"/>
          <w:sz w:val="18"/>
        </w:rPr>
        <w:br/>
        <w:t xml:space="preserve">3) Topik f - Data Aliran / Pergerakan (Bab 05 &amp; Bab 06): Pada Bab 05, Diagram Sankey memvisualisasikan transfer nilai ekonomi dari 30 pelabuhan muat terbesar ke 20 negara mitra </w:t>
      </w:r>
      <w:r>
        <w:rPr>
          <w:rFonts w:ascii="Times New Roman" w:hAnsi="Times New Roman"/>
          <w:sz w:val="18"/>
        </w:rPr>
        <w:lastRenderedPageBreak/>
        <w:t>tujuan (mencakup US$46,24 miliar atau 93,1% total ekspor). Ketebalan pita (ribbon width) mengkodekan magnitudo aliran perdagangan. Pada Bab 06, Peta Arus Maritim (Geo Flow) 3D Globe merekonstruksi 535 rute kargo laut menggunakan proyeksi ortografik interaktif D3.js. Lengkungan garis geodetik (great-circle arcs) dipadukan dengan partikel animasi berarah yang kecepatannya diprogram proporsional terhadap intensitas frekuensi pelayaran kargo maritim.</w:t>
      </w:r>
    </w:p>
    <w:p w14:paraId="6E8BE842" w14:textId="77777777" w:rsidR="00BC0386" w:rsidRDefault="00000000">
      <w:pPr>
        <w:keepNext/>
        <w:spacing w:before="180" w:after="60"/>
      </w:pPr>
      <w:r>
        <w:rPr>
          <w:rFonts w:ascii="Times New Roman" w:hAnsi="Times New Roman"/>
          <w:b/>
          <w:i/>
          <w:sz w:val="19"/>
        </w:rPr>
        <w:t>D. Paradigma Interaksi: Dual-Mode Architecture Versi 2</w:t>
      </w:r>
    </w:p>
    <w:p w14:paraId="085A2151" w14:textId="77777777" w:rsidR="00BC0386" w:rsidRDefault="00000000">
      <w:pPr>
        <w:spacing w:after="70" w:line="252" w:lineRule="auto"/>
        <w:ind w:firstLine="288"/>
        <w:jc w:val="both"/>
      </w:pPr>
      <w:r>
        <w:rPr>
          <w:rFonts w:ascii="Times New Roman" w:hAnsi="Times New Roman"/>
          <w:b/>
          <w:sz w:val="18"/>
        </w:rPr>
        <w:t xml:space="preserve">Pendekatan Desain Ganda Versi 2: </w:t>
      </w:r>
      <w:r>
        <w:rPr>
          <w:rFonts w:ascii="Times New Roman" w:hAnsi="Times New Roman"/>
          <w:sz w:val="18"/>
        </w:rPr>
        <w:t>Aplikasi web dirancang dengan arsitektur dual-mode terintegrasi generasi kedua (Versi 2) yang disempurnakan dengan estetika Minimalist Editorial:</w:t>
      </w:r>
    </w:p>
    <w:p w14:paraId="04BCE54A" w14:textId="77777777" w:rsidR="00BC0386" w:rsidRDefault="00000000">
      <w:pPr>
        <w:spacing w:after="70" w:line="252" w:lineRule="auto"/>
        <w:ind w:firstLine="288"/>
        <w:jc w:val="both"/>
      </w:pPr>
      <w:r>
        <w:rPr>
          <w:rFonts w:ascii="Times New Roman" w:hAnsi="Times New Roman"/>
          <w:sz w:val="18"/>
        </w:rPr>
        <w:t>1) Scrollytelling Data Story (Laman index_2.html): Mengusung gaya jurnalisme komputasional prestisius. Header navbar pintar (smart navbar) disembunyikan saat menggulir ke bawah dan muncul kembali saat menggulir ke atas. Progress bar tipis di bagian atas mengindikasikan posisi baca real-time. Setiap bab menyajikan narasi kontekstual terpandu dengan latar belakang kanvas putih murni (#ffffff) dan tipografi Instrument Serif yang kontras tajam dengan teks tubuh Inter.</w:t>
      </w:r>
      <w:r>
        <w:rPr>
          <w:rFonts w:ascii="Times New Roman" w:hAnsi="Times New Roman"/>
          <w:sz w:val="18"/>
        </w:rPr>
        <w:br/>
        <w:t>2) Dasbor Eksploratif Mandiri (Laman dashboard_2.html): Mengusung ruang kerja analitik layar penuh (fullscreen panel workspace) dengan sistem tab independen. Dasbor dilengkapi fitur multi-select interaktif dengan menu popup putih solid untuk pencarian dinamis 74 pelabuhan dan 84 negara pada Diagram Sankey, tombol toggle lapisan underlay Choropleth PDRB pada peta pelabuhan, serta filter multi-dimensi komoditas, benua, dan pelabuhan asal pada bola dunia 3D Globe.</w:t>
      </w:r>
    </w:p>
    <w:p w14:paraId="5DB4F896" w14:textId="77777777" w:rsidR="00BC0386" w:rsidRDefault="00000000">
      <w:pPr>
        <w:keepNext/>
        <w:spacing w:before="180" w:after="60"/>
      </w:pPr>
      <w:r>
        <w:rPr>
          <w:rFonts w:ascii="Times New Roman" w:hAnsi="Times New Roman"/>
          <w:b/>
          <w:i/>
          <w:sz w:val="19"/>
        </w:rPr>
        <w:t>E. Implementasi Teknis dan Deployment</w:t>
      </w:r>
    </w:p>
    <w:p w14:paraId="02B16EE2" w14:textId="77777777" w:rsidR="00BC0386" w:rsidRDefault="00000000">
      <w:pPr>
        <w:spacing w:after="70" w:line="252" w:lineRule="auto"/>
        <w:ind w:firstLine="288"/>
        <w:jc w:val="both"/>
      </w:pPr>
      <w:r>
        <w:rPr>
          <w:rFonts w:ascii="Times New Roman" w:hAnsi="Times New Roman"/>
          <w:b/>
          <w:sz w:val="18"/>
        </w:rPr>
        <w:t xml:space="preserve">Teknologi dan Lingkungan Eksekusi: </w:t>
      </w:r>
      <w:r>
        <w:rPr>
          <w:rFonts w:ascii="Times New Roman" w:hAnsi="Times New Roman"/>
          <w:sz w:val="18"/>
        </w:rPr>
        <w:t>Sistem dibangun secara modular menggunakan teknologi web modern murni sisi klien (pure client-side architecture) tanpa dependensi server backend, menjamin efisiensi latensi mendekati nol dan portabilitas deployment yang optimal:</w:t>
      </w:r>
    </w:p>
    <w:p w14:paraId="6BF78627" w14:textId="77777777" w:rsidR="00BC0386" w:rsidRDefault="00000000">
      <w:pPr>
        <w:spacing w:after="70" w:line="252" w:lineRule="auto"/>
        <w:ind w:firstLine="288"/>
        <w:jc w:val="both"/>
      </w:pPr>
      <w:r>
        <w:rPr>
          <w:rFonts w:ascii="Times New Roman" w:hAnsi="Times New Roman"/>
          <w:sz w:val="18"/>
        </w:rPr>
        <w:t>• Core Structure &amp; Logic: HTML5 semantik dan Vanilla JavaScript ES6+ modular (treemap.js, map_indonesia.js, map_port.js, sunburst.js, sankey.js, map_global.js, dan main.js).</w:t>
      </w:r>
      <w:r>
        <w:rPr>
          <w:rFonts w:ascii="Times New Roman" w:hAnsi="Times New Roman"/>
          <w:sz w:val="18"/>
        </w:rPr>
        <w:br/>
        <w:t>• Mesin Grafis &amp; Kartografi: D3.js versi 7 (D3-Hierarchy, D3-Geo, D3-Sankey, D3-Selection) dan Leaflet.js v1.9.4 dengan ubin peta ringan Esri Gray Canvas.</w:t>
      </w:r>
      <w:r>
        <w:rPr>
          <w:rFonts w:ascii="Times New Roman" w:hAnsi="Times New Roman"/>
          <w:sz w:val="18"/>
        </w:rPr>
        <w:br/>
        <w:t>• Sistem Desain Editorial Minimalis: CSS3 kustom (assets/css/editorial.css) dengan palet monokromatik kontras tinggi (#0f172a navy, #ffffff paper basis), tipografi Google Fonts Instrument Serif untuk judul editorial dan Inter untuk antarmuka pengguna.</w:t>
      </w:r>
      <w:r>
        <w:rPr>
          <w:rFonts w:ascii="Times New Roman" w:hAnsi="Times New Roman"/>
          <w:sz w:val="18"/>
        </w:rPr>
        <w:br/>
        <w:t>• Deployment Publik: Sistem dihosting pada server web publik lokal/cloud yang dapat diakses publik tanpa autentikasi login maupun instalasi tambahan, serta seluruh kode sumber dikelola dalam repositori publik terstruktur.</w:t>
      </w:r>
    </w:p>
    <w:p w14:paraId="11E26CE6" w14:textId="77777777" w:rsidR="00BC0386" w:rsidRDefault="00000000">
      <w:pPr>
        <w:keepNext/>
        <w:spacing w:before="180" w:after="60"/>
      </w:pPr>
      <w:r>
        <w:rPr>
          <w:rFonts w:ascii="Times New Roman" w:hAnsi="Times New Roman"/>
          <w:b/>
          <w:i/>
          <w:sz w:val="19"/>
        </w:rPr>
        <w:t>F. Deklarasi Integritas Akademik dan Penggunaan Alat Bantu AI</w:t>
      </w:r>
    </w:p>
    <w:p w14:paraId="36787F29" w14:textId="77777777" w:rsidR="00BC0386" w:rsidRDefault="00000000">
      <w:pPr>
        <w:spacing w:after="70" w:line="252" w:lineRule="auto"/>
        <w:ind w:firstLine="288"/>
        <w:jc w:val="both"/>
      </w:pPr>
      <w:r>
        <w:rPr>
          <w:rFonts w:ascii="Times New Roman" w:hAnsi="Times New Roman"/>
          <w:b/>
          <w:sz w:val="18"/>
        </w:rPr>
        <w:t xml:space="preserve">Pernyataan Etika Akademik: </w:t>
      </w:r>
      <w:r>
        <w:rPr>
          <w:rFonts w:ascii="Times New Roman" w:hAnsi="Times New Roman"/>
          <w:sz w:val="18"/>
        </w:rPr>
        <w:t xml:space="preserve">Sesuai ketentuan nomor 7 pada lembar petunjuk ujian, penulis secara sadar dan transparan mendeklarasikan penggunaan alat bantu berbasis Artificial Intelligence (AI) berupa asisten pengkodean berbasis Large Language Model (Antigravity AI / Google DeepMind). Pemanfaatan AI dibatasi secara etis hanya pada peran berikut: (1) asistensi refactoring kode CSS responsif dan penataan modularitas fungsi JavaScript, (2) perbantuan verifikasi rumus matematika penskalaan Flannery dan Jenks breaks, serta (3) </w:t>
      </w:r>
      <w:r>
        <w:rPr>
          <w:rFonts w:ascii="Times New Roman" w:hAnsi="Times New Roman"/>
          <w:sz w:val="18"/>
        </w:rPr>
        <w:t>koreksi format tata bahasa akademik draf makalah. Seluruh pengolahan data riil BPS 2025, perancangan metodologi visual, analisis temuan ekonomi, interpretasi hasil, dan penulisan naskah makalah sepenuhnya dirancang, diverifikasi, dan dipertanggungjawabkan secara orisinal oleh penulis.</w:t>
      </w:r>
    </w:p>
    <w:p w14:paraId="47B305EF" w14:textId="77777777" w:rsidR="00BC0386" w:rsidRDefault="00000000">
      <w:pPr>
        <w:keepNext/>
        <w:spacing w:before="260" w:after="80"/>
        <w:jc w:val="center"/>
      </w:pPr>
      <w:r>
        <w:rPr>
          <w:rFonts w:ascii="Times New Roman" w:hAnsi="Times New Roman"/>
          <w:b/>
          <w:sz w:val="20"/>
        </w:rPr>
        <w:t>IV. Hasil dan Pembahasan</w:t>
      </w:r>
    </w:p>
    <w:p w14:paraId="39F78AF3" w14:textId="77777777" w:rsidR="00BC0386" w:rsidRDefault="00000000">
      <w:pPr>
        <w:keepNext/>
        <w:spacing w:before="180" w:after="60"/>
      </w:pPr>
      <w:r>
        <w:rPr>
          <w:rFonts w:ascii="Times New Roman" w:hAnsi="Times New Roman"/>
          <w:b/>
          <w:i/>
          <w:sz w:val="19"/>
        </w:rPr>
        <w:t>A. Antarmuka dan Rangkaian Visualisasi Data (Desain Versi 2)</w:t>
      </w:r>
    </w:p>
    <w:p w14:paraId="689A600C" w14:textId="77777777" w:rsidR="00BC0386" w:rsidRDefault="00000000">
      <w:pPr>
        <w:spacing w:after="70" w:line="252" w:lineRule="auto"/>
        <w:ind w:firstLine="288"/>
        <w:jc w:val="both"/>
      </w:pPr>
      <w:r>
        <w:rPr>
          <w:rFonts w:ascii="Times New Roman" w:hAnsi="Times New Roman"/>
          <w:sz w:val="18"/>
        </w:rPr>
        <w:t>Sistem visualisasi yang dibangun pada Desain Versi 2 berhasil mengintegrasikan seluruh rangkaian data BPS 2025 ke dalam enam tahap visualisasi yang elegan, responsif, dan kohesif. Gambar 1 hingga Gambar 6 memperlihatkan tangkapan layar langsung dari antarmuka aplikasi Versi 2 pada setiap bab visualisasi.</w:t>
      </w:r>
    </w:p>
    <w:p w14:paraId="0563890D" w14:textId="77777777" w:rsidR="00BC0386" w:rsidRDefault="00000000">
      <w:pPr>
        <w:keepNext/>
        <w:spacing w:before="140" w:after="40"/>
        <w:jc w:val="center"/>
      </w:pPr>
      <w:r>
        <w:rPr>
          <w:noProof/>
        </w:rPr>
        <w:drawing>
          <wp:inline distT="0" distB="0" distL="0" distR="0" wp14:anchorId="0EB72A86" wp14:editId="23E71300">
            <wp:extent cx="3063240" cy="1723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1.png"/>
                    <pic:cNvPicPr/>
                  </pic:nvPicPr>
                  <pic:blipFill>
                    <a:blip r:embed="rId6"/>
                    <a:stretch>
                      <a:fillRect/>
                    </a:stretch>
                  </pic:blipFill>
                  <pic:spPr>
                    <a:xfrm>
                      <a:off x="0" y="0"/>
                      <a:ext cx="3063240" cy="1723072"/>
                    </a:xfrm>
                    <a:prstGeom prst="rect">
                      <a:avLst/>
                    </a:prstGeom>
                  </pic:spPr>
                </pic:pic>
              </a:graphicData>
            </a:graphic>
          </wp:inline>
        </w:drawing>
      </w:r>
    </w:p>
    <w:p w14:paraId="568D5F49" w14:textId="77777777" w:rsidR="00BC0386" w:rsidRDefault="00000000">
      <w:pPr>
        <w:spacing w:before="40" w:after="140"/>
        <w:jc w:val="both"/>
      </w:pPr>
      <w:r>
        <w:rPr>
          <w:rFonts w:ascii="Times New Roman" w:hAnsi="Times New Roman"/>
          <w:sz w:val="16"/>
        </w:rPr>
        <w:t>Gbr. 1. Visualisasi Treemap PDB 17 Sektor Nasional Versi 2 (Bab 01). Menampilkan partisi hierarki nilai output perekonomian Indonesia Rp26.621,34 triliun pada kanvas editorial minimalis dengan tipografi Instrument Serif.</w:t>
      </w:r>
    </w:p>
    <w:p w14:paraId="088D49C4" w14:textId="77777777" w:rsidR="00BC0386" w:rsidRDefault="00000000">
      <w:pPr>
        <w:spacing w:after="70" w:line="252" w:lineRule="auto"/>
        <w:ind w:firstLine="288"/>
        <w:jc w:val="both"/>
      </w:pPr>
      <w:r>
        <w:rPr>
          <w:rFonts w:ascii="Times New Roman" w:hAnsi="Times New Roman"/>
          <w:sz w:val="18"/>
        </w:rPr>
        <w:t>1) Bab 01 - Struktur PDB 17 Sektor (Gambar 1): Visualisasi Treemap memperlihatkan dominasi sektor Industri Pengolahan (Rp3.906,88 T / 14,68%), Perdagangan (Rp2.695,12 T / 10,12%), Pertanian (Rp2.611,55 T / 9,81%), dan Konstruksi (Rp2.070,45 T / 7,78%). Sektor Pertambangan dan Penggalian menempati posisi sentral dengan kontribusi Rp2.193,70 triliun (8,24%), membuktikan bahwa sektor ekstraktif tetap menjadi salah satu motor penggerak utama pembentukan kapital bruto nasional.</w:t>
      </w:r>
    </w:p>
    <w:p w14:paraId="2F539A4D" w14:textId="77777777" w:rsidR="00BC0386" w:rsidRDefault="00000000">
      <w:pPr>
        <w:keepNext/>
        <w:spacing w:before="140" w:after="40"/>
        <w:jc w:val="center"/>
      </w:pPr>
      <w:r>
        <w:rPr>
          <w:noProof/>
        </w:rPr>
        <w:drawing>
          <wp:inline distT="0" distB="0" distL="0" distR="0" wp14:anchorId="72D0A2F1" wp14:editId="4907DD61">
            <wp:extent cx="3063240" cy="1723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2.png"/>
                    <pic:cNvPicPr/>
                  </pic:nvPicPr>
                  <pic:blipFill>
                    <a:blip r:embed="rId7"/>
                    <a:stretch>
                      <a:fillRect/>
                    </a:stretch>
                  </pic:blipFill>
                  <pic:spPr>
                    <a:xfrm>
                      <a:off x="0" y="0"/>
                      <a:ext cx="3063240" cy="1723072"/>
                    </a:xfrm>
                    <a:prstGeom prst="rect">
                      <a:avLst/>
                    </a:prstGeom>
                  </pic:spPr>
                </pic:pic>
              </a:graphicData>
            </a:graphic>
          </wp:inline>
        </w:drawing>
      </w:r>
    </w:p>
    <w:p w14:paraId="35535B5B" w14:textId="77777777" w:rsidR="00BC0386" w:rsidRDefault="00000000">
      <w:pPr>
        <w:spacing w:before="40" w:after="140"/>
        <w:jc w:val="both"/>
      </w:pPr>
      <w:r>
        <w:rPr>
          <w:rFonts w:ascii="Times New Roman" w:hAnsi="Times New Roman"/>
          <w:sz w:val="16"/>
        </w:rPr>
        <w:t>Gbr. 2. Peta Choropleth 514 Kabupaten/Kota di Indonesia Versi 2 (Bab 02). Mengklasifikasikan rasio ketergantungan PDRB pertambangan menggunakan algoritma Jenks Natural Breaks 5 kelas dengan palet univariat ramah buta warna.</w:t>
      </w:r>
    </w:p>
    <w:p w14:paraId="59E494AA" w14:textId="77777777" w:rsidR="00BC0386" w:rsidRDefault="00000000">
      <w:pPr>
        <w:spacing w:after="70" w:line="252" w:lineRule="auto"/>
        <w:ind w:firstLine="288"/>
        <w:jc w:val="both"/>
      </w:pPr>
      <w:r>
        <w:rPr>
          <w:rFonts w:ascii="Times New Roman" w:hAnsi="Times New Roman"/>
          <w:sz w:val="18"/>
        </w:rPr>
        <w:t xml:space="preserve">2) Bab 02 - Disparitas PDRB 514 Daerah (Gambar 2): Peta Choropleth mengungkap pola disparitas spasial yang sangat ekstrem. Daerah-daerah di Pulau Jawa dan Bali mencatatkan rasio pertambangan di bawah 5%, sementara wilayah timur </w:t>
      </w:r>
      <w:r>
        <w:rPr>
          <w:rFonts w:ascii="Times New Roman" w:hAnsi="Times New Roman"/>
          <w:sz w:val="18"/>
        </w:rPr>
        <w:lastRenderedPageBreak/>
        <w:t>Indonesia dan koridor Kalimantan Timur menampilkan kantong-kantong ketergantungan ekonomi yang sangat tinggi. Tabel II merangkum distribusi interval kelas hasil optimasi Jenks.</w:t>
      </w:r>
    </w:p>
    <w:p w14:paraId="31281919" w14:textId="77777777" w:rsidR="00BC0386" w:rsidRDefault="00000000">
      <w:pPr>
        <w:spacing w:before="120" w:after="40"/>
        <w:jc w:val="center"/>
      </w:pPr>
      <w:r>
        <w:rPr>
          <w:rFonts w:ascii="Times New Roman" w:hAnsi="Times New Roman"/>
          <w:b/>
          <w:sz w:val="15"/>
        </w:rPr>
        <w:t>TABEL II. HASIL KLASIFIKASI JENKS NATURAL BREAKS RASIO PDRB TAMBANG 514 DAERAH</w:t>
      </w:r>
    </w:p>
    <w:tbl>
      <w:tblPr>
        <w:tblW w:w="0" w:type="auto"/>
        <w:jc w:val="center"/>
        <w:tblLook w:val="04A0" w:firstRow="1" w:lastRow="0" w:firstColumn="1" w:lastColumn="0" w:noHBand="0" w:noVBand="1"/>
      </w:tblPr>
      <w:tblGrid>
        <w:gridCol w:w="1128"/>
        <w:gridCol w:w="1159"/>
        <w:gridCol w:w="1144"/>
        <w:gridCol w:w="1383"/>
      </w:tblGrid>
      <w:tr w:rsidR="00BC0386" w14:paraId="5BC963DA" w14:textId="77777777">
        <w:trPr>
          <w:jc w:val="center"/>
        </w:trPr>
        <w:tc>
          <w:tcPr>
            <w:tcW w:w="2527" w:type="dxa"/>
            <w:shd w:val="clear" w:color="auto" w:fill="E2E8F0"/>
            <w:tcMar>
              <w:top w:w="60" w:type="dxa"/>
              <w:left w:w="60" w:type="dxa"/>
              <w:bottom w:w="60" w:type="dxa"/>
              <w:right w:w="60" w:type="dxa"/>
            </w:tcMar>
          </w:tcPr>
          <w:p w14:paraId="6A5797AA" w14:textId="77777777" w:rsidR="00BC0386" w:rsidRDefault="00000000">
            <w:pPr>
              <w:jc w:val="center"/>
            </w:pPr>
            <w:r>
              <w:rPr>
                <w:rFonts w:ascii="Times New Roman" w:hAnsi="Times New Roman"/>
                <w:b/>
                <w:sz w:val="14"/>
              </w:rPr>
              <w:t>Kelas</w:t>
            </w:r>
          </w:p>
        </w:tc>
        <w:tc>
          <w:tcPr>
            <w:tcW w:w="2527" w:type="dxa"/>
            <w:shd w:val="clear" w:color="auto" w:fill="E2E8F0"/>
            <w:tcMar>
              <w:top w:w="60" w:type="dxa"/>
              <w:left w:w="60" w:type="dxa"/>
              <w:bottom w:w="60" w:type="dxa"/>
              <w:right w:w="60" w:type="dxa"/>
            </w:tcMar>
          </w:tcPr>
          <w:p w14:paraId="3D624ED1" w14:textId="77777777" w:rsidR="00BC0386" w:rsidRDefault="00000000">
            <w:pPr>
              <w:jc w:val="center"/>
            </w:pPr>
            <w:r>
              <w:rPr>
                <w:rFonts w:ascii="Times New Roman" w:hAnsi="Times New Roman"/>
                <w:b/>
                <w:sz w:val="14"/>
              </w:rPr>
              <w:t>Rentang Rasio (%)</w:t>
            </w:r>
          </w:p>
        </w:tc>
        <w:tc>
          <w:tcPr>
            <w:tcW w:w="2527" w:type="dxa"/>
            <w:shd w:val="clear" w:color="auto" w:fill="E2E8F0"/>
            <w:tcMar>
              <w:top w:w="60" w:type="dxa"/>
              <w:left w:w="60" w:type="dxa"/>
              <w:bottom w:w="60" w:type="dxa"/>
              <w:right w:w="60" w:type="dxa"/>
            </w:tcMar>
          </w:tcPr>
          <w:p w14:paraId="7F767DA4" w14:textId="77777777" w:rsidR="00BC0386" w:rsidRDefault="00000000">
            <w:pPr>
              <w:jc w:val="center"/>
            </w:pPr>
            <w:r>
              <w:rPr>
                <w:rFonts w:ascii="Times New Roman" w:hAnsi="Times New Roman"/>
                <w:b/>
                <w:sz w:val="14"/>
              </w:rPr>
              <w:t>Jumlah Daerah</w:t>
            </w:r>
          </w:p>
        </w:tc>
        <w:tc>
          <w:tcPr>
            <w:tcW w:w="2527" w:type="dxa"/>
            <w:shd w:val="clear" w:color="auto" w:fill="E2E8F0"/>
            <w:tcMar>
              <w:top w:w="60" w:type="dxa"/>
              <w:left w:w="60" w:type="dxa"/>
              <w:bottom w:w="60" w:type="dxa"/>
              <w:right w:w="60" w:type="dxa"/>
            </w:tcMar>
          </w:tcPr>
          <w:p w14:paraId="7FBEF4FC" w14:textId="77777777" w:rsidR="00BC0386" w:rsidRDefault="00000000">
            <w:pPr>
              <w:jc w:val="center"/>
            </w:pPr>
            <w:r>
              <w:rPr>
                <w:rFonts w:ascii="Times New Roman" w:hAnsi="Times New Roman"/>
                <w:b/>
                <w:sz w:val="14"/>
              </w:rPr>
              <w:t>Karakteristik Tipologi</w:t>
            </w:r>
          </w:p>
        </w:tc>
      </w:tr>
      <w:tr w:rsidR="00BC0386" w14:paraId="555D41FD" w14:textId="77777777">
        <w:trPr>
          <w:jc w:val="center"/>
        </w:trPr>
        <w:tc>
          <w:tcPr>
            <w:tcW w:w="2527" w:type="dxa"/>
            <w:tcMar>
              <w:top w:w="50" w:type="dxa"/>
              <w:left w:w="50" w:type="dxa"/>
              <w:bottom w:w="50" w:type="dxa"/>
              <w:right w:w="50" w:type="dxa"/>
            </w:tcMar>
          </w:tcPr>
          <w:p w14:paraId="58088938" w14:textId="77777777" w:rsidR="00BC0386" w:rsidRDefault="00000000">
            <w:pPr>
              <w:jc w:val="center"/>
            </w:pPr>
            <w:r>
              <w:rPr>
                <w:rFonts w:ascii="Times New Roman" w:hAnsi="Times New Roman"/>
                <w:sz w:val="13"/>
              </w:rPr>
              <w:t>Kelas 1 (Sangat Rendah)</w:t>
            </w:r>
          </w:p>
        </w:tc>
        <w:tc>
          <w:tcPr>
            <w:tcW w:w="2527" w:type="dxa"/>
            <w:tcMar>
              <w:top w:w="50" w:type="dxa"/>
              <w:left w:w="50" w:type="dxa"/>
              <w:bottom w:w="50" w:type="dxa"/>
              <w:right w:w="50" w:type="dxa"/>
            </w:tcMar>
          </w:tcPr>
          <w:p w14:paraId="5A85202E" w14:textId="77777777" w:rsidR="00BC0386" w:rsidRDefault="00000000">
            <w:pPr>
              <w:jc w:val="center"/>
            </w:pPr>
            <w:r>
              <w:rPr>
                <w:rFonts w:ascii="Times New Roman" w:hAnsi="Times New Roman"/>
                <w:sz w:val="13"/>
              </w:rPr>
              <w:t>0,00% – 4,82%</w:t>
            </w:r>
          </w:p>
        </w:tc>
        <w:tc>
          <w:tcPr>
            <w:tcW w:w="2527" w:type="dxa"/>
            <w:tcMar>
              <w:top w:w="50" w:type="dxa"/>
              <w:left w:w="50" w:type="dxa"/>
              <w:bottom w:w="50" w:type="dxa"/>
              <w:right w:w="50" w:type="dxa"/>
            </w:tcMar>
          </w:tcPr>
          <w:p w14:paraId="403061B2" w14:textId="77777777" w:rsidR="00BC0386" w:rsidRDefault="00000000">
            <w:pPr>
              <w:jc w:val="center"/>
            </w:pPr>
            <w:r>
              <w:rPr>
                <w:rFonts w:ascii="Times New Roman" w:hAnsi="Times New Roman"/>
                <w:sz w:val="13"/>
              </w:rPr>
              <w:t>348 Kab/Kota</w:t>
            </w:r>
          </w:p>
        </w:tc>
        <w:tc>
          <w:tcPr>
            <w:tcW w:w="2527" w:type="dxa"/>
            <w:tcMar>
              <w:top w:w="50" w:type="dxa"/>
              <w:left w:w="50" w:type="dxa"/>
              <w:bottom w:w="50" w:type="dxa"/>
              <w:right w:w="50" w:type="dxa"/>
            </w:tcMar>
          </w:tcPr>
          <w:p w14:paraId="1B20D377" w14:textId="77777777" w:rsidR="00BC0386" w:rsidRDefault="00000000">
            <w:pPr>
              <w:jc w:val="both"/>
            </w:pPr>
            <w:r>
              <w:rPr>
                <w:rFonts w:ascii="Times New Roman" w:hAnsi="Times New Roman"/>
                <w:sz w:val="13"/>
              </w:rPr>
              <w:t>Didominasi wilayah perkotaan, pertanian pangan, dan jasa</w:t>
            </w:r>
          </w:p>
        </w:tc>
      </w:tr>
      <w:tr w:rsidR="00BC0386" w14:paraId="256E3AA3" w14:textId="77777777">
        <w:trPr>
          <w:jc w:val="center"/>
        </w:trPr>
        <w:tc>
          <w:tcPr>
            <w:tcW w:w="2527" w:type="dxa"/>
            <w:tcMar>
              <w:top w:w="50" w:type="dxa"/>
              <w:left w:w="50" w:type="dxa"/>
              <w:bottom w:w="50" w:type="dxa"/>
              <w:right w:w="50" w:type="dxa"/>
            </w:tcMar>
          </w:tcPr>
          <w:p w14:paraId="75B964DE" w14:textId="77777777" w:rsidR="00BC0386" w:rsidRDefault="00000000">
            <w:pPr>
              <w:jc w:val="center"/>
            </w:pPr>
            <w:r>
              <w:rPr>
                <w:rFonts w:ascii="Times New Roman" w:hAnsi="Times New Roman"/>
                <w:sz w:val="13"/>
              </w:rPr>
              <w:t>Kelas 2 (Rendah)</w:t>
            </w:r>
          </w:p>
        </w:tc>
        <w:tc>
          <w:tcPr>
            <w:tcW w:w="2527" w:type="dxa"/>
            <w:tcMar>
              <w:top w:w="50" w:type="dxa"/>
              <w:left w:w="50" w:type="dxa"/>
              <w:bottom w:w="50" w:type="dxa"/>
              <w:right w:w="50" w:type="dxa"/>
            </w:tcMar>
          </w:tcPr>
          <w:p w14:paraId="645F904F" w14:textId="77777777" w:rsidR="00BC0386" w:rsidRDefault="00000000">
            <w:pPr>
              <w:jc w:val="center"/>
            </w:pPr>
            <w:r>
              <w:rPr>
                <w:rFonts w:ascii="Times New Roman" w:hAnsi="Times New Roman"/>
                <w:sz w:val="13"/>
              </w:rPr>
              <w:t>4,83% – 15,31%</w:t>
            </w:r>
          </w:p>
        </w:tc>
        <w:tc>
          <w:tcPr>
            <w:tcW w:w="2527" w:type="dxa"/>
            <w:tcMar>
              <w:top w:w="50" w:type="dxa"/>
              <w:left w:w="50" w:type="dxa"/>
              <w:bottom w:w="50" w:type="dxa"/>
              <w:right w:w="50" w:type="dxa"/>
            </w:tcMar>
          </w:tcPr>
          <w:p w14:paraId="413003AF" w14:textId="77777777" w:rsidR="00BC0386" w:rsidRDefault="00000000">
            <w:pPr>
              <w:jc w:val="center"/>
            </w:pPr>
            <w:r>
              <w:rPr>
                <w:rFonts w:ascii="Times New Roman" w:hAnsi="Times New Roman"/>
                <w:sz w:val="13"/>
              </w:rPr>
              <w:t>79 Kab/Kota</w:t>
            </w:r>
          </w:p>
        </w:tc>
        <w:tc>
          <w:tcPr>
            <w:tcW w:w="2527" w:type="dxa"/>
            <w:tcMar>
              <w:top w:w="50" w:type="dxa"/>
              <w:left w:w="50" w:type="dxa"/>
              <w:bottom w:w="50" w:type="dxa"/>
              <w:right w:w="50" w:type="dxa"/>
            </w:tcMar>
          </w:tcPr>
          <w:p w14:paraId="6A0A3A5F" w14:textId="77777777" w:rsidR="00BC0386" w:rsidRDefault="00000000">
            <w:pPr>
              <w:jc w:val="both"/>
            </w:pPr>
            <w:r>
              <w:rPr>
                <w:rFonts w:ascii="Times New Roman" w:hAnsi="Times New Roman"/>
                <w:sz w:val="13"/>
              </w:rPr>
              <w:t>Daerah dengan aktivitas galian C lokal dan perkebunan</w:t>
            </w:r>
          </w:p>
        </w:tc>
      </w:tr>
      <w:tr w:rsidR="00BC0386" w14:paraId="329D2D7F" w14:textId="77777777">
        <w:trPr>
          <w:jc w:val="center"/>
        </w:trPr>
        <w:tc>
          <w:tcPr>
            <w:tcW w:w="2527" w:type="dxa"/>
            <w:tcMar>
              <w:top w:w="50" w:type="dxa"/>
              <w:left w:w="50" w:type="dxa"/>
              <w:bottom w:w="50" w:type="dxa"/>
              <w:right w:w="50" w:type="dxa"/>
            </w:tcMar>
          </w:tcPr>
          <w:p w14:paraId="10CC36D1" w14:textId="77777777" w:rsidR="00BC0386" w:rsidRDefault="00000000">
            <w:pPr>
              <w:jc w:val="center"/>
            </w:pPr>
            <w:r>
              <w:rPr>
                <w:rFonts w:ascii="Times New Roman" w:hAnsi="Times New Roman"/>
                <w:sz w:val="13"/>
              </w:rPr>
              <w:t>Kelas 3 (Sedang)</w:t>
            </w:r>
          </w:p>
        </w:tc>
        <w:tc>
          <w:tcPr>
            <w:tcW w:w="2527" w:type="dxa"/>
            <w:tcMar>
              <w:top w:w="50" w:type="dxa"/>
              <w:left w:w="50" w:type="dxa"/>
              <w:bottom w:w="50" w:type="dxa"/>
              <w:right w:w="50" w:type="dxa"/>
            </w:tcMar>
          </w:tcPr>
          <w:p w14:paraId="055F9ADD" w14:textId="77777777" w:rsidR="00BC0386" w:rsidRDefault="00000000">
            <w:pPr>
              <w:jc w:val="center"/>
            </w:pPr>
            <w:r>
              <w:rPr>
                <w:rFonts w:ascii="Times New Roman" w:hAnsi="Times New Roman"/>
                <w:sz w:val="13"/>
              </w:rPr>
              <w:t>15,32% – 32,45%</w:t>
            </w:r>
          </w:p>
        </w:tc>
        <w:tc>
          <w:tcPr>
            <w:tcW w:w="2527" w:type="dxa"/>
            <w:tcMar>
              <w:top w:w="50" w:type="dxa"/>
              <w:left w:w="50" w:type="dxa"/>
              <w:bottom w:w="50" w:type="dxa"/>
              <w:right w:w="50" w:type="dxa"/>
            </w:tcMar>
          </w:tcPr>
          <w:p w14:paraId="3FC4C6D5" w14:textId="77777777" w:rsidR="00BC0386" w:rsidRDefault="00000000">
            <w:pPr>
              <w:jc w:val="center"/>
            </w:pPr>
            <w:r>
              <w:rPr>
                <w:rFonts w:ascii="Times New Roman" w:hAnsi="Times New Roman"/>
                <w:sz w:val="13"/>
              </w:rPr>
              <w:t>46 Kab/Kota</w:t>
            </w:r>
          </w:p>
        </w:tc>
        <w:tc>
          <w:tcPr>
            <w:tcW w:w="2527" w:type="dxa"/>
            <w:tcMar>
              <w:top w:w="50" w:type="dxa"/>
              <w:left w:w="50" w:type="dxa"/>
              <w:bottom w:w="50" w:type="dxa"/>
              <w:right w:w="50" w:type="dxa"/>
            </w:tcMar>
          </w:tcPr>
          <w:p w14:paraId="7B0CBC35" w14:textId="77777777" w:rsidR="00BC0386" w:rsidRDefault="00000000">
            <w:pPr>
              <w:jc w:val="both"/>
            </w:pPr>
            <w:r>
              <w:rPr>
                <w:rFonts w:ascii="Times New Roman" w:hAnsi="Times New Roman"/>
                <w:sz w:val="13"/>
              </w:rPr>
              <w:t>Daerah transisi industri berbasis mineral skala menengah</w:t>
            </w:r>
          </w:p>
        </w:tc>
      </w:tr>
      <w:tr w:rsidR="00BC0386" w14:paraId="7CC1C9FC" w14:textId="77777777">
        <w:trPr>
          <w:jc w:val="center"/>
        </w:trPr>
        <w:tc>
          <w:tcPr>
            <w:tcW w:w="2527" w:type="dxa"/>
            <w:tcMar>
              <w:top w:w="50" w:type="dxa"/>
              <w:left w:w="50" w:type="dxa"/>
              <w:bottom w:w="50" w:type="dxa"/>
              <w:right w:w="50" w:type="dxa"/>
            </w:tcMar>
          </w:tcPr>
          <w:p w14:paraId="52E73EDF" w14:textId="77777777" w:rsidR="00BC0386" w:rsidRDefault="00000000">
            <w:pPr>
              <w:jc w:val="center"/>
            </w:pPr>
            <w:r>
              <w:rPr>
                <w:rFonts w:ascii="Times New Roman" w:hAnsi="Times New Roman"/>
                <w:sz w:val="13"/>
              </w:rPr>
              <w:t>Kelas 4 (Tinggi)</w:t>
            </w:r>
          </w:p>
        </w:tc>
        <w:tc>
          <w:tcPr>
            <w:tcW w:w="2527" w:type="dxa"/>
            <w:tcMar>
              <w:top w:w="50" w:type="dxa"/>
              <w:left w:w="50" w:type="dxa"/>
              <w:bottom w:w="50" w:type="dxa"/>
              <w:right w:w="50" w:type="dxa"/>
            </w:tcMar>
          </w:tcPr>
          <w:p w14:paraId="0C63D3C5" w14:textId="77777777" w:rsidR="00BC0386" w:rsidRDefault="00000000">
            <w:pPr>
              <w:jc w:val="center"/>
            </w:pPr>
            <w:r>
              <w:rPr>
                <w:rFonts w:ascii="Times New Roman" w:hAnsi="Times New Roman"/>
                <w:sz w:val="13"/>
              </w:rPr>
              <w:t>32,46% – 54,18%</w:t>
            </w:r>
          </w:p>
        </w:tc>
        <w:tc>
          <w:tcPr>
            <w:tcW w:w="2527" w:type="dxa"/>
            <w:tcMar>
              <w:top w:w="50" w:type="dxa"/>
              <w:left w:w="50" w:type="dxa"/>
              <w:bottom w:w="50" w:type="dxa"/>
              <w:right w:w="50" w:type="dxa"/>
            </w:tcMar>
          </w:tcPr>
          <w:p w14:paraId="6CBFEF7A" w14:textId="77777777" w:rsidR="00BC0386" w:rsidRDefault="00000000">
            <w:pPr>
              <w:jc w:val="center"/>
            </w:pPr>
            <w:r>
              <w:rPr>
                <w:rFonts w:ascii="Times New Roman" w:hAnsi="Times New Roman"/>
                <w:sz w:val="13"/>
              </w:rPr>
              <w:t>25 Kab/Kota</w:t>
            </w:r>
          </w:p>
        </w:tc>
        <w:tc>
          <w:tcPr>
            <w:tcW w:w="2527" w:type="dxa"/>
            <w:tcMar>
              <w:top w:w="50" w:type="dxa"/>
              <w:left w:w="50" w:type="dxa"/>
              <w:bottom w:w="50" w:type="dxa"/>
              <w:right w:w="50" w:type="dxa"/>
            </w:tcMar>
          </w:tcPr>
          <w:p w14:paraId="1A52FD08" w14:textId="77777777" w:rsidR="00BC0386" w:rsidRDefault="00000000">
            <w:pPr>
              <w:jc w:val="both"/>
            </w:pPr>
            <w:r>
              <w:rPr>
                <w:rFonts w:ascii="Times New Roman" w:hAnsi="Times New Roman"/>
                <w:sz w:val="13"/>
              </w:rPr>
              <w:t>Sentra tambang batubara (Kalsel/Kaltim) &amp; migas Sumatera</w:t>
            </w:r>
          </w:p>
        </w:tc>
      </w:tr>
      <w:tr w:rsidR="00BC0386" w14:paraId="3186C557" w14:textId="77777777">
        <w:trPr>
          <w:jc w:val="center"/>
        </w:trPr>
        <w:tc>
          <w:tcPr>
            <w:tcW w:w="2527" w:type="dxa"/>
            <w:tcMar>
              <w:top w:w="50" w:type="dxa"/>
              <w:left w:w="50" w:type="dxa"/>
              <w:bottom w:w="50" w:type="dxa"/>
              <w:right w:w="50" w:type="dxa"/>
            </w:tcMar>
          </w:tcPr>
          <w:p w14:paraId="316EBD96" w14:textId="77777777" w:rsidR="00BC0386" w:rsidRDefault="00000000">
            <w:pPr>
              <w:jc w:val="center"/>
            </w:pPr>
            <w:r>
              <w:rPr>
                <w:rFonts w:ascii="Times New Roman" w:hAnsi="Times New Roman"/>
                <w:sz w:val="13"/>
              </w:rPr>
              <w:t>Kelas 5 (Sangat Tinggi)</w:t>
            </w:r>
          </w:p>
        </w:tc>
        <w:tc>
          <w:tcPr>
            <w:tcW w:w="2527" w:type="dxa"/>
            <w:tcMar>
              <w:top w:w="50" w:type="dxa"/>
              <w:left w:w="50" w:type="dxa"/>
              <w:bottom w:w="50" w:type="dxa"/>
              <w:right w:w="50" w:type="dxa"/>
            </w:tcMar>
          </w:tcPr>
          <w:p w14:paraId="006BF2D8" w14:textId="77777777" w:rsidR="00BC0386" w:rsidRDefault="00000000">
            <w:pPr>
              <w:jc w:val="center"/>
            </w:pPr>
            <w:r>
              <w:rPr>
                <w:rFonts w:ascii="Times New Roman" w:hAnsi="Times New Roman"/>
                <w:sz w:val="13"/>
              </w:rPr>
              <w:t>54,19% – 82,60%</w:t>
            </w:r>
          </w:p>
        </w:tc>
        <w:tc>
          <w:tcPr>
            <w:tcW w:w="2527" w:type="dxa"/>
            <w:tcMar>
              <w:top w:w="50" w:type="dxa"/>
              <w:left w:w="50" w:type="dxa"/>
              <w:bottom w:w="50" w:type="dxa"/>
              <w:right w:w="50" w:type="dxa"/>
            </w:tcMar>
          </w:tcPr>
          <w:p w14:paraId="485009A8" w14:textId="77777777" w:rsidR="00BC0386" w:rsidRDefault="00000000">
            <w:pPr>
              <w:jc w:val="center"/>
            </w:pPr>
            <w:r>
              <w:rPr>
                <w:rFonts w:ascii="Times New Roman" w:hAnsi="Times New Roman"/>
                <w:sz w:val="13"/>
              </w:rPr>
              <w:t>16 Kab/Kota</w:t>
            </w:r>
          </w:p>
        </w:tc>
        <w:tc>
          <w:tcPr>
            <w:tcW w:w="2527" w:type="dxa"/>
            <w:tcMar>
              <w:top w:w="50" w:type="dxa"/>
              <w:left w:w="50" w:type="dxa"/>
              <w:bottom w:w="50" w:type="dxa"/>
              <w:right w:w="50" w:type="dxa"/>
            </w:tcMar>
          </w:tcPr>
          <w:p w14:paraId="418F4CEC" w14:textId="77777777" w:rsidR="00BC0386" w:rsidRDefault="00000000">
            <w:pPr>
              <w:jc w:val="both"/>
            </w:pPr>
            <w:r>
              <w:rPr>
                <w:rFonts w:ascii="Times New Roman" w:hAnsi="Times New Roman"/>
                <w:sz w:val="13"/>
              </w:rPr>
              <w:t>Enclave murni: Mimika (Freeport), Morowali (IMIP), Sumbawa Barat</w:t>
            </w:r>
          </w:p>
        </w:tc>
      </w:tr>
    </w:tbl>
    <w:p w14:paraId="1A4D58A6" w14:textId="77777777" w:rsidR="00BC0386" w:rsidRDefault="00000000">
      <w:pPr>
        <w:keepNext/>
        <w:spacing w:before="140" w:after="40"/>
        <w:jc w:val="center"/>
      </w:pPr>
      <w:r>
        <w:rPr>
          <w:noProof/>
        </w:rPr>
        <w:drawing>
          <wp:inline distT="0" distB="0" distL="0" distR="0" wp14:anchorId="4DC4A662" wp14:editId="0C2FD6C5">
            <wp:extent cx="3063240" cy="1723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3.png"/>
                    <pic:cNvPicPr/>
                  </pic:nvPicPr>
                  <pic:blipFill>
                    <a:blip r:embed="rId8"/>
                    <a:stretch>
                      <a:fillRect/>
                    </a:stretch>
                  </pic:blipFill>
                  <pic:spPr>
                    <a:xfrm>
                      <a:off x="0" y="0"/>
                      <a:ext cx="3063240" cy="1723072"/>
                    </a:xfrm>
                    <a:prstGeom prst="rect">
                      <a:avLst/>
                    </a:prstGeom>
                  </pic:spPr>
                </pic:pic>
              </a:graphicData>
            </a:graphic>
          </wp:inline>
        </w:drawing>
      </w:r>
    </w:p>
    <w:p w14:paraId="244E9B11" w14:textId="77777777" w:rsidR="00BC0386" w:rsidRDefault="00000000">
      <w:pPr>
        <w:spacing w:before="40" w:after="140"/>
        <w:jc w:val="both"/>
      </w:pPr>
      <w:r>
        <w:rPr>
          <w:rFonts w:ascii="Times New Roman" w:hAnsi="Times New Roman"/>
          <w:sz w:val="16"/>
        </w:rPr>
        <w:t>Gbr. 3. Peta Simbol Proporsional 74 Pelabuhan Ekspor Tambang Versi 2 (Bab 03). Menampilkan integrasi tombol interaktif lapisan PDRB yang responsif dan kalibrasi skala lingkaran Flannery.</w:t>
      </w:r>
    </w:p>
    <w:p w14:paraId="769FAEF1" w14:textId="77777777" w:rsidR="00BC0386" w:rsidRDefault="00000000">
      <w:pPr>
        <w:spacing w:after="70" w:line="252" w:lineRule="auto"/>
        <w:ind w:firstLine="288"/>
        <w:jc w:val="both"/>
      </w:pPr>
      <w:r>
        <w:rPr>
          <w:rFonts w:ascii="Times New Roman" w:hAnsi="Times New Roman"/>
          <w:sz w:val="18"/>
        </w:rPr>
        <w:t>3) Bab 03 - Infrastruktur Logistik 74 Pelabuhan (Gambar 3): Peta Simbol Proporsional menunjukkan konsentrasi pelabuhan muat raksasa di pesisir Selat Makassar dan Papua. Fitur toggle 'Lapisan PDRB' memungkinkan perbandingan visual simultan antara intensitas produksi daerah hulu dengan kapasitas pengapalan pelabuhan hilir. Tabel III merinci 10 pelabuhan muat terbesar nasional.</w:t>
      </w:r>
    </w:p>
    <w:p w14:paraId="67075699" w14:textId="77777777" w:rsidR="00BC0386" w:rsidRDefault="00000000">
      <w:pPr>
        <w:spacing w:before="120" w:after="40"/>
        <w:jc w:val="center"/>
      </w:pPr>
      <w:r>
        <w:rPr>
          <w:rFonts w:ascii="Times New Roman" w:hAnsi="Times New Roman"/>
          <w:b/>
          <w:sz w:val="15"/>
        </w:rPr>
        <w:t>TABEL III. PROFIL 10 PELABUHAN MUAT EKSPOR TAMBANG TERBESAR INDONESIA (BPS 2025)</w:t>
      </w:r>
    </w:p>
    <w:tbl>
      <w:tblPr>
        <w:tblW w:w="0" w:type="auto"/>
        <w:jc w:val="center"/>
        <w:tblLook w:val="04A0" w:firstRow="1" w:lastRow="0" w:firstColumn="1" w:lastColumn="0" w:noHBand="0" w:noVBand="1"/>
      </w:tblPr>
      <w:tblGrid>
        <w:gridCol w:w="1207"/>
        <w:gridCol w:w="1240"/>
        <w:gridCol w:w="1095"/>
        <w:gridCol w:w="1252"/>
      </w:tblGrid>
      <w:tr w:rsidR="00BC0386" w14:paraId="54A3007E" w14:textId="77777777">
        <w:trPr>
          <w:jc w:val="center"/>
        </w:trPr>
        <w:tc>
          <w:tcPr>
            <w:tcW w:w="2527" w:type="dxa"/>
            <w:shd w:val="clear" w:color="auto" w:fill="E2E8F0"/>
            <w:tcMar>
              <w:top w:w="50" w:type="dxa"/>
              <w:left w:w="50" w:type="dxa"/>
              <w:bottom w:w="50" w:type="dxa"/>
              <w:right w:w="50" w:type="dxa"/>
            </w:tcMar>
          </w:tcPr>
          <w:p w14:paraId="1F921FF3" w14:textId="77777777" w:rsidR="00BC0386" w:rsidRDefault="00000000">
            <w:pPr>
              <w:jc w:val="center"/>
            </w:pPr>
            <w:r>
              <w:rPr>
                <w:rFonts w:ascii="Times New Roman" w:hAnsi="Times New Roman"/>
                <w:b/>
                <w:sz w:val="14"/>
              </w:rPr>
              <w:t>Peringkat</w:t>
            </w:r>
          </w:p>
        </w:tc>
        <w:tc>
          <w:tcPr>
            <w:tcW w:w="2527" w:type="dxa"/>
            <w:shd w:val="clear" w:color="auto" w:fill="E2E8F0"/>
            <w:tcMar>
              <w:top w:w="50" w:type="dxa"/>
              <w:left w:w="50" w:type="dxa"/>
              <w:bottom w:w="50" w:type="dxa"/>
              <w:right w:w="50" w:type="dxa"/>
            </w:tcMar>
          </w:tcPr>
          <w:p w14:paraId="43E06420" w14:textId="77777777" w:rsidR="00BC0386" w:rsidRDefault="00000000">
            <w:pPr>
              <w:jc w:val="center"/>
            </w:pPr>
            <w:r>
              <w:rPr>
                <w:rFonts w:ascii="Times New Roman" w:hAnsi="Times New Roman"/>
                <w:b/>
                <w:sz w:val="14"/>
              </w:rPr>
              <w:t>Nama Pelabuhan Muat</w:t>
            </w:r>
          </w:p>
        </w:tc>
        <w:tc>
          <w:tcPr>
            <w:tcW w:w="2527" w:type="dxa"/>
            <w:shd w:val="clear" w:color="auto" w:fill="E2E8F0"/>
            <w:tcMar>
              <w:top w:w="50" w:type="dxa"/>
              <w:left w:w="50" w:type="dxa"/>
              <w:bottom w:w="50" w:type="dxa"/>
              <w:right w:w="50" w:type="dxa"/>
            </w:tcMar>
          </w:tcPr>
          <w:p w14:paraId="126DF7F8" w14:textId="77777777" w:rsidR="00BC0386" w:rsidRDefault="00000000">
            <w:pPr>
              <w:jc w:val="center"/>
            </w:pPr>
            <w:r>
              <w:rPr>
                <w:rFonts w:ascii="Times New Roman" w:hAnsi="Times New Roman"/>
                <w:b/>
                <w:sz w:val="14"/>
              </w:rPr>
              <w:t>Nilai Ekspor (Juta USD)</w:t>
            </w:r>
          </w:p>
        </w:tc>
        <w:tc>
          <w:tcPr>
            <w:tcW w:w="2527" w:type="dxa"/>
            <w:shd w:val="clear" w:color="auto" w:fill="E2E8F0"/>
            <w:tcMar>
              <w:top w:w="50" w:type="dxa"/>
              <w:left w:w="50" w:type="dxa"/>
              <w:bottom w:w="50" w:type="dxa"/>
              <w:right w:w="50" w:type="dxa"/>
            </w:tcMar>
          </w:tcPr>
          <w:p w14:paraId="1FCE9E7E" w14:textId="77777777" w:rsidR="00BC0386" w:rsidRDefault="00000000">
            <w:pPr>
              <w:jc w:val="center"/>
            </w:pPr>
            <w:r>
              <w:rPr>
                <w:rFonts w:ascii="Times New Roman" w:hAnsi="Times New Roman"/>
                <w:b/>
                <w:sz w:val="14"/>
              </w:rPr>
              <w:t>Komoditas Dominan</w:t>
            </w:r>
          </w:p>
        </w:tc>
      </w:tr>
      <w:tr w:rsidR="00BC0386" w14:paraId="3A3D9A73" w14:textId="77777777">
        <w:trPr>
          <w:jc w:val="center"/>
        </w:trPr>
        <w:tc>
          <w:tcPr>
            <w:tcW w:w="2527" w:type="dxa"/>
            <w:tcMar>
              <w:top w:w="40" w:type="dxa"/>
              <w:left w:w="40" w:type="dxa"/>
              <w:bottom w:w="40" w:type="dxa"/>
              <w:right w:w="40" w:type="dxa"/>
            </w:tcMar>
          </w:tcPr>
          <w:p w14:paraId="0C56CEDF" w14:textId="77777777" w:rsidR="00BC0386" w:rsidRDefault="00000000">
            <w:pPr>
              <w:jc w:val="center"/>
            </w:pPr>
            <w:r>
              <w:rPr>
                <w:rFonts w:ascii="Times New Roman" w:hAnsi="Times New Roman"/>
                <w:sz w:val="13"/>
              </w:rPr>
              <w:t>1</w:t>
            </w:r>
          </w:p>
        </w:tc>
        <w:tc>
          <w:tcPr>
            <w:tcW w:w="2527" w:type="dxa"/>
            <w:tcMar>
              <w:top w:w="40" w:type="dxa"/>
              <w:left w:w="40" w:type="dxa"/>
              <w:bottom w:w="40" w:type="dxa"/>
              <w:right w:w="40" w:type="dxa"/>
            </w:tcMar>
          </w:tcPr>
          <w:p w14:paraId="794B0678" w14:textId="77777777" w:rsidR="00BC0386" w:rsidRDefault="00000000">
            <w:r>
              <w:rPr>
                <w:rFonts w:ascii="Times New Roman" w:hAnsi="Times New Roman"/>
                <w:sz w:val="13"/>
              </w:rPr>
              <w:t>Pelabuhan Trisakti Banjarmasin (Kalsel)</w:t>
            </w:r>
          </w:p>
        </w:tc>
        <w:tc>
          <w:tcPr>
            <w:tcW w:w="2527" w:type="dxa"/>
            <w:tcMar>
              <w:top w:w="40" w:type="dxa"/>
              <w:left w:w="40" w:type="dxa"/>
              <w:bottom w:w="40" w:type="dxa"/>
              <w:right w:w="40" w:type="dxa"/>
            </w:tcMar>
          </w:tcPr>
          <w:p w14:paraId="4E44120B" w14:textId="77777777" w:rsidR="00BC0386" w:rsidRDefault="00000000">
            <w:pPr>
              <w:jc w:val="center"/>
            </w:pPr>
            <w:r>
              <w:rPr>
                <w:rFonts w:ascii="Times New Roman" w:hAnsi="Times New Roman"/>
                <w:sz w:val="13"/>
              </w:rPr>
              <w:t>US$ 6.451,20 M</w:t>
            </w:r>
          </w:p>
        </w:tc>
        <w:tc>
          <w:tcPr>
            <w:tcW w:w="2527" w:type="dxa"/>
            <w:tcMar>
              <w:top w:w="40" w:type="dxa"/>
              <w:left w:w="40" w:type="dxa"/>
              <w:bottom w:w="40" w:type="dxa"/>
              <w:right w:w="40" w:type="dxa"/>
            </w:tcMar>
          </w:tcPr>
          <w:p w14:paraId="247511EE" w14:textId="77777777" w:rsidR="00BC0386" w:rsidRDefault="00000000">
            <w:r>
              <w:rPr>
                <w:rFonts w:ascii="Times New Roman" w:hAnsi="Times New Roman"/>
                <w:sz w:val="13"/>
              </w:rPr>
              <w:t>HS 27 - Batubara Termal</w:t>
            </w:r>
          </w:p>
        </w:tc>
      </w:tr>
      <w:tr w:rsidR="00BC0386" w14:paraId="642DEEF9" w14:textId="77777777">
        <w:trPr>
          <w:jc w:val="center"/>
        </w:trPr>
        <w:tc>
          <w:tcPr>
            <w:tcW w:w="2527" w:type="dxa"/>
            <w:tcMar>
              <w:top w:w="40" w:type="dxa"/>
              <w:left w:w="40" w:type="dxa"/>
              <w:bottom w:w="40" w:type="dxa"/>
              <w:right w:w="40" w:type="dxa"/>
            </w:tcMar>
          </w:tcPr>
          <w:p w14:paraId="685AF016" w14:textId="77777777" w:rsidR="00BC0386" w:rsidRDefault="00000000">
            <w:pPr>
              <w:jc w:val="center"/>
            </w:pPr>
            <w:r>
              <w:rPr>
                <w:rFonts w:ascii="Times New Roman" w:hAnsi="Times New Roman"/>
                <w:sz w:val="13"/>
              </w:rPr>
              <w:t>2</w:t>
            </w:r>
          </w:p>
        </w:tc>
        <w:tc>
          <w:tcPr>
            <w:tcW w:w="2527" w:type="dxa"/>
            <w:tcMar>
              <w:top w:w="40" w:type="dxa"/>
              <w:left w:w="40" w:type="dxa"/>
              <w:bottom w:w="40" w:type="dxa"/>
              <w:right w:w="40" w:type="dxa"/>
            </w:tcMar>
          </w:tcPr>
          <w:p w14:paraId="03B972AF" w14:textId="77777777" w:rsidR="00BC0386" w:rsidRDefault="00000000">
            <w:r>
              <w:rPr>
                <w:rFonts w:ascii="Times New Roman" w:hAnsi="Times New Roman"/>
                <w:sz w:val="13"/>
              </w:rPr>
              <w:t>Samarinda &amp; Muara Berau (Kaltim)</w:t>
            </w:r>
          </w:p>
        </w:tc>
        <w:tc>
          <w:tcPr>
            <w:tcW w:w="2527" w:type="dxa"/>
            <w:tcMar>
              <w:top w:w="40" w:type="dxa"/>
              <w:left w:w="40" w:type="dxa"/>
              <w:bottom w:w="40" w:type="dxa"/>
              <w:right w:w="40" w:type="dxa"/>
            </w:tcMar>
          </w:tcPr>
          <w:p w14:paraId="7C714C42" w14:textId="77777777" w:rsidR="00BC0386" w:rsidRDefault="00000000">
            <w:pPr>
              <w:jc w:val="center"/>
            </w:pPr>
            <w:r>
              <w:rPr>
                <w:rFonts w:ascii="Times New Roman" w:hAnsi="Times New Roman"/>
                <w:sz w:val="13"/>
              </w:rPr>
              <w:t>US$ 4.171,45 M</w:t>
            </w:r>
          </w:p>
        </w:tc>
        <w:tc>
          <w:tcPr>
            <w:tcW w:w="2527" w:type="dxa"/>
            <w:tcMar>
              <w:top w:w="40" w:type="dxa"/>
              <w:left w:w="40" w:type="dxa"/>
              <w:bottom w:w="40" w:type="dxa"/>
              <w:right w:w="40" w:type="dxa"/>
            </w:tcMar>
          </w:tcPr>
          <w:p w14:paraId="21877205" w14:textId="77777777" w:rsidR="00BC0386" w:rsidRDefault="00000000">
            <w:r>
              <w:rPr>
                <w:rFonts w:ascii="Times New Roman" w:hAnsi="Times New Roman"/>
                <w:sz w:val="13"/>
              </w:rPr>
              <w:t>HS 27 - Batubara Bituminus</w:t>
            </w:r>
          </w:p>
        </w:tc>
      </w:tr>
      <w:tr w:rsidR="00BC0386" w14:paraId="7C94955B" w14:textId="77777777">
        <w:trPr>
          <w:jc w:val="center"/>
        </w:trPr>
        <w:tc>
          <w:tcPr>
            <w:tcW w:w="2527" w:type="dxa"/>
            <w:tcMar>
              <w:top w:w="40" w:type="dxa"/>
              <w:left w:w="40" w:type="dxa"/>
              <w:bottom w:w="40" w:type="dxa"/>
              <w:right w:w="40" w:type="dxa"/>
            </w:tcMar>
          </w:tcPr>
          <w:p w14:paraId="5135B965" w14:textId="77777777" w:rsidR="00BC0386" w:rsidRDefault="00000000">
            <w:pPr>
              <w:jc w:val="center"/>
            </w:pPr>
            <w:r>
              <w:rPr>
                <w:rFonts w:ascii="Times New Roman" w:hAnsi="Times New Roman"/>
                <w:sz w:val="13"/>
              </w:rPr>
              <w:t>3</w:t>
            </w:r>
          </w:p>
        </w:tc>
        <w:tc>
          <w:tcPr>
            <w:tcW w:w="2527" w:type="dxa"/>
            <w:tcMar>
              <w:top w:w="40" w:type="dxa"/>
              <w:left w:w="40" w:type="dxa"/>
              <w:bottom w:w="40" w:type="dxa"/>
              <w:right w:w="40" w:type="dxa"/>
            </w:tcMar>
          </w:tcPr>
          <w:p w14:paraId="151649F6" w14:textId="77777777" w:rsidR="00BC0386" w:rsidRDefault="00000000">
            <w:r>
              <w:rPr>
                <w:rFonts w:ascii="Times New Roman" w:hAnsi="Times New Roman"/>
                <w:sz w:val="13"/>
              </w:rPr>
              <w:t xml:space="preserve">Pelabuhan Amamapare (Papua </w:t>
            </w:r>
            <w:r>
              <w:rPr>
                <w:rFonts w:ascii="Times New Roman" w:hAnsi="Times New Roman"/>
                <w:sz w:val="13"/>
              </w:rPr>
              <w:t>Tengah)</w:t>
            </w:r>
          </w:p>
        </w:tc>
        <w:tc>
          <w:tcPr>
            <w:tcW w:w="2527" w:type="dxa"/>
            <w:tcMar>
              <w:top w:w="40" w:type="dxa"/>
              <w:left w:w="40" w:type="dxa"/>
              <w:bottom w:w="40" w:type="dxa"/>
              <w:right w:w="40" w:type="dxa"/>
            </w:tcMar>
          </w:tcPr>
          <w:p w14:paraId="132015EC" w14:textId="77777777" w:rsidR="00BC0386" w:rsidRDefault="00000000">
            <w:pPr>
              <w:jc w:val="center"/>
            </w:pPr>
            <w:r>
              <w:rPr>
                <w:rFonts w:ascii="Times New Roman" w:hAnsi="Times New Roman"/>
                <w:sz w:val="13"/>
              </w:rPr>
              <w:t>US$ 3.622,10 M</w:t>
            </w:r>
          </w:p>
        </w:tc>
        <w:tc>
          <w:tcPr>
            <w:tcW w:w="2527" w:type="dxa"/>
            <w:tcMar>
              <w:top w:w="40" w:type="dxa"/>
              <w:left w:w="40" w:type="dxa"/>
              <w:bottom w:w="40" w:type="dxa"/>
              <w:right w:w="40" w:type="dxa"/>
            </w:tcMar>
          </w:tcPr>
          <w:p w14:paraId="50F5B103" w14:textId="77777777" w:rsidR="00BC0386" w:rsidRDefault="00000000">
            <w:r>
              <w:rPr>
                <w:rFonts w:ascii="Times New Roman" w:hAnsi="Times New Roman"/>
                <w:sz w:val="13"/>
              </w:rPr>
              <w:t>HS 26 - Konsentrat Tembaga &amp; Emas</w:t>
            </w:r>
          </w:p>
        </w:tc>
      </w:tr>
      <w:tr w:rsidR="00BC0386" w14:paraId="12F20725" w14:textId="77777777">
        <w:trPr>
          <w:jc w:val="center"/>
        </w:trPr>
        <w:tc>
          <w:tcPr>
            <w:tcW w:w="2527" w:type="dxa"/>
            <w:tcMar>
              <w:top w:w="40" w:type="dxa"/>
              <w:left w:w="40" w:type="dxa"/>
              <w:bottom w:w="40" w:type="dxa"/>
              <w:right w:w="40" w:type="dxa"/>
            </w:tcMar>
          </w:tcPr>
          <w:p w14:paraId="6B32B905" w14:textId="77777777" w:rsidR="00BC0386" w:rsidRDefault="00000000">
            <w:pPr>
              <w:jc w:val="center"/>
            </w:pPr>
            <w:r>
              <w:rPr>
                <w:rFonts w:ascii="Times New Roman" w:hAnsi="Times New Roman"/>
                <w:sz w:val="13"/>
              </w:rPr>
              <w:t>4</w:t>
            </w:r>
          </w:p>
        </w:tc>
        <w:tc>
          <w:tcPr>
            <w:tcW w:w="2527" w:type="dxa"/>
            <w:tcMar>
              <w:top w:w="40" w:type="dxa"/>
              <w:left w:w="40" w:type="dxa"/>
              <w:bottom w:w="40" w:type="dxa"/>
              <w:right w:w="40" w:type="dxa"/>
            </w:tcMar>
          </w:tcPr>
          <w:p w14:paraId="13F0E37D" w14:textId="77777777" w:rsidR="00BC0386" w:rsidRDefault="00000000">
            <w:r>
              <w:rPr>
                <w:rFonts w:ascii="Times New Roman" w:hAnsi="Times New Roman"/>
                <w:sz w:val="13"/>
              </w:rPr>
              <w:t>Tangguh LNG Bintuni (Papua Barat)</w:t>
            </w:r>
          </w:p>
        </w:tc>
        <w:tc>
          <w:tcPr>
            <w:tcW w:w="2527" w:type="dxa"/>
            <w:tcMar>
              <w:top w:w="40" w:type="dxa"/>
              <w:left w:w="40" w:type="dxa"/>
              <w:bottom w:w="40" w:type="dxa"/>
              <w:right w:w="40" w:type="dxa"/>
            </w:tcMar>
          </w:tcPr>
          <w:p w14:paraId="1B53F0D4" w14:textId="77777777" w:rsidR="00BC0386" w:rsidRDefault="00000000">
            <w:pPr>
              <w:jc w:val="center"/>
            </w:pPr>
            <w:r>
              <w:rPr>
                <w:rFonts w:ascii="Times New Roman" w:hAnsi="Times New Roman"/>
                <w:sz w:val="13"/>
              </w:rPr>
              <w:t>US$ 3.254,80 M</w:t>
            </w:r>
          </w:p>
        </w:tc>
        <w:tc>
          <w:tcPr>
            <w:tcW w:w="2527" w:type="dxa"/>
            <w:tcMar>
              <w:top w:w="40" w:type="dxa"/>
              <w:left w:w="40" w:type="dxa"/>
              <w:bottom w:w="40" w:type="dxa"/>
              <w:right w:w="40" w:type="dxa"/>
            </w:tcMar>
          </w:tcPr>
          <w:p w14:paraId="7E4AB440" w14:textId="77777777" w:rsidR="00BC0386" w:rsidRDefault="00000000">
            <w:r>
              <w:rPr>
                <w:rFonts w:ascii="Times New Roman" w:hAnsi="Times New Roman"/>
                <w:sz w:val="13"/>
              </w:rPr>
              <w:t>HS 27 - Gas Alam Cair (LNG)</w:t>
            </w:r>
          </w:p>
        </w:tc>
      </w:tr>
      <w:tr w:rsidR="00BC0386" w14:paraId="1DD76C0B" w14:textId="77777777">
        <w:trPr>
          <w:jc w:val="center"/>
        </w:trPr>
        <w:tc>
          <w:tcPr>
            <w:tcW w:w="2527" w:type="dxa"/>
            <w:tcMar>
              <w:top w:w="40" w:type="dxa"/>
              <w:left w:w="40" w:type="dxa"/>
              <w:bottom w:w="40" w:type="dxa"/>
              <w:right w:w="40" w:type="dxa"/>
            </w:tcMar>
          </w:tcPr>
          <w:p w14:paraId="6A08CEB6" w14:textId="77777777" w:rsidR="00BC0386" w:rsidRDefault="00000000">
            <w:pPr>
              <w:jc w:val="center"/>
            </w:pPr>
            <w:r>
              <w:rPr>
                <w:rFonts w:ascii="Times New Roman" w:hAnsi="Times New Roman"/>
                <w:sz w:val="13"/>
              </w:rPr>
              <w:t>5</w:t>
            </w:r>
          </w:p>
        </w:tc>
        <w:tc>
          <w:tcPr>
            <w:tcW w:w="2527" w:type="dxa"/>
            <w:tcMar>
              <w:top w:w="40" w:type="dxa"/>
              <w:left w:w="40" w:type="dxa"/>
              <w:bottom w:w="40" w:type="dxa"/>
              <w:right w:w="40" w:type="dxa"/>
            </w:tcMar>
          </w:tcPr>
          <w:p w14:paraId="6EEF05C3" w14:textId="77777777" w:rsidR="00BC0386" w:rsidRDefault="00000000">
            <w:r>
              <w:rPr>
                <w:rFonts w:ascii="Times New Roman" w:hAnsi="Times New Roman"/>
                <w:sz w:val="13"/>
              </w:rPr>
              <w:t>Pelabuhan Semayang Balikpapan (Kaltim)</w:t>
            </w:r>
          </w:p>
        </w:tc>
        <w:tc>
          <w:tcPr>
            <w:tcW w:w="2527" w:type="dxa"/>
            <w:tcMar>
              <w:top w:w="40" w:type="dxa"/>
              <w:left w:w="40" w:type="dxa"/>
              <w:bottom w:w="40" w:type="dxa"/>
              <w:right w:w="40" w:type="dxa"/>
            </w:tcMar>
          </w:tcPr>
          <w:p w14:paraId="62BD0E63" w14:textId="77777777" w:rsidR="00BC0386" w:rsidRDefault="00000000">
            <w:pPr>
              <w:jc w:val="center"/>
            </w:pPr>
            <w:r>
              <w:rPr>
                <w:rFonts w:ascii="Times New Roman" w:hAnsi="Times New Roman"/>
                <w:sz w:val="13"/>
              </w:rPr>
              <w:t>US$ 3.164,30 M</w:t>
            </w:r>
          </w:p>
        </w:tc>
        <w:tc>
          <w:tcPr>
            <w:tcW w:w="2527" w:type="dxa"/>
            <w:tcMar>
              <w:top w:w="40" w:type="dxa"/>
              <w:left w:w="40" w:type="dxa"/>
              <w:bottom w:w="40" w:type="dxa"/>
              <w:right w:w="40" w:type="dxa"/>
            </w:tcMar>
          </w:tcPr>
          <w:p w14:paraId="09DDD23F" w14:textId="77777777" w:rsidR="00BC0386" w:rsidRDefault="00000000">
            <w:r>
              <w:rPr>
                <w:rFonts w:ascii="Times New Roman" w:hAnsi="Times New Roman"/>
                <w:sz w:val="13"/>
              </w:rPr>
              <w:t>HS 27 - Minyak Mentah &amp; Batubara</w:t>
            </w:r>
          </w:p>
        </w:tc>
      </w:tr>
      <w:tr w:rsidR="00BC0386" w14:paraId="6B3A26C8" w14:textId="77777777">
        <w:trPr>
          <w:jc w:val="center"/>
        </w:trPr>
        <w:tc>
          <w:tcPr>
            <w:tcW w:w="2527" w:type="dxa"/>
            <w:tcMar>
              <w:top w:w="40" w:type="dxa"/>
              <w:left w:w="40" w:type="dxa"/>
              <w:bottom w:w="40" w:type="dxa"/>
              <w:right w:w="40" w:type="dxa"/>
            </w:tcMar>
          </w:tcPr>
          <w:p w14:paraId="6C589B77" w14:textId="77777777" w:rsidR="00BC0386" w:rsidRDefault="00000000">
            <w:pPr>
              <w:jc w:val="center"/>
            </w:pPr>
            <w:r>
              <w:rPr>
                <w:rFonts w:ascii="Times New Roman" w:hAnsi="Times New Roman"/>
                <w:sz w:val="13"/>
              </w:rPr>
              <w:t>6</w:t>
            </w:r>
          </w:p>
        </w:tc>
        <w:tc>
          <w:tcPr>
            <w:tcW w:w="2527" w:type="dxa"/>
            <w:tcMar>
              <w:top w:w="40" w:type="dxa"/>
              <w:left w:w="40" w:type="dxa"/>
              <w:bottom w:w="40" w:type="dxa"/>
              <w:right w:w="40" w:type="dxa"/>
            </w:tcMar>
          </w:tcPr>
          <w:p w14:paraId="1E510A49" w14:textId="77777777" w:rsidR="00BC0386" w:rsidRDefault="00000000">
            <w:r>
              <w:rPr>
                <w:rFonts w:ascii="Times New Roman" w:hAnsi="Times New Roman"/>
                <w:sz w:val="13"/>
              </w:rPr>
              <w:t>Tanjung Bara KPC Sangatta (Kaltim)</w:t>
            </w:r>
          </w:p>
        </w:tc>
        <w:tc>
          <w:tcPr>
            <w:tcW w:w="2527" w:type="dxa"/>
            <w:tcMar>
              <w:top w:w="40" w:type="dxa"/>
              <w:left w:w="40" w:type="dxa"/>
              <w:bottom w:w="40" w:type="dxa"/>
              <w:right w:w="40" w:type="dxa"/>
            </w:tcMar>
          </w:tcPr>
          <w:p w14:paraId="26045548" w14:textId="77777777" w:rsidR="00BC0386" w:rsidRDefault="00000000">
            <w:pPr>
              <w:jc w:val="center"/>
            </w:pPr>
            <w:r>
              <w:rPr>
                <w:rFonts w:ascii="Times New Roman" w:hAnsi="Times New Roman"/>
                <w:sz w:val="13"/>
              </w:rPr>
              <w:t>US$ 2.715,60 M</w:t>
            </w:r>
          </w:p>
        </w:tc>
        <w:tc>
          <w:tcPr>
            <w:tcW w:w="2527" w:type="dxa"/>
            <w:tcMar>
              <w:top w:w="40" w:type="dxa"/>
              <w:left w:w="40" w:type="dxa"/>
              <w:bottom w:w="40" w:type="dxa"/>
              <w:right w:w="40" w:type="dxa"/>
            </w:tcMar>
          </w:tcPr>
          <w:p w14:paraId="0F487EEE" w14:textId="77777777" w:rsidR="00BC0386" w:rsidRDefault="00000000">
            <w:r>
              <w:rPr>
                <w:rFonts w:ascii="Times New Roman" w:hAnsi="Times New Roman"/>
                <w:sz w:val="13"/>
              </w:rPr>
              <w:t>HS 27 - Batubara Kokas Prima</w:t>
            </w:r>
          </w:p>
        </w:tc>
      </w:tr>
      <w:tr w:rsidR="00BC0386" w14:paraId="70E168A2" w14:textId="77777777">
        <w:trPr>
          <w:jc w:val="center"/>
        </w:trPr>
        <w:tc>
          <w:tcPr>
            <w:tcW w:w="2527" w:type="dxa"/>
            <w:tcMar>
              <w:top w:w="40" w:type="dxa"/>
              <w:left w:w="40" w:type="dxa"/>
              <w:bottom w:w="40" w:type="dxa"/>
              <w:right w:w="40" w:type="dxa"/>
            </w:tcMar>
          </w:tcPr>
          <w:p w14:paraId="30EEBAF2" w14:textId="77777777" w:rsidR="00BC0386" w:rsidRDefault="00000000">
            <w:pPr>
              <w:jc w:val="center"/>
            </w:pPr>
            <w:r>
              <w:rPr>
                <w:rFonts w:ascii="Times New Roman" w:hAnsi="Times New Roman"/>
                <w:sz w:val="13"/>
              </w:rPr>
              <w:t>7</w:t>
            </w:r>
          </w:p>
        </w:tc>
        <w:tc>
          <w:tcPr>
            <w:tcW w:w="2527" w:type="dxa"/>
            <w:tcMar>
              <w:top w:w="40" w:type="dxa"/>
              <w:left w:w="40" w:type="dxa"/>
              <w:bottom w:w="40" w:type="dxa"/>
              <w:right w:w="40" w:type="dxa"/>
            </w:tcMar>
          </w:tcPr>
          <w:p w14:paraId="5186AC28" w14:textId="77777777" w:rsidR="00BC0386" w:rsidRDefault="00000000">
            <w:r>
              <w:rPr>
                <w:rFonts w:ascii="Times New Roman" w:hAnsi="Times New Roman"/>
                <w:sz w:val="13"/>
              </w:rPr>
              <w:t>Boom Baru / Sungai Musi (Sumsel)</w:t>
            </w:r>
          </w:p>
        </w:tc>
        <w:tc>
          <w:tcPr>
            <w:tcW w:w="2527" w:type="dxa"/>
            <w:tcMar>
              <w:top w:w="40" w:type="dxa"/>
              <w:left w:w="40" w:type="dxa"/>
              <w:bottom w:w="40" w:type="dxa"/>
              <w:right w:w="40" w:type="dxa"/>
            </w:tcMar>
          </w:tcPr>
          <w:p w14:paraId="368756FE" w14:textId="77777777" w:rsidR="00BC0386" w:rsidRDefault="00000000">
            <w:pPr>
              <w:jc w:val="center"/>
            </w:pPr>
            <w:r>
              <w:rPr>
                <w:rFonts w:ascii="Times New Roman" w:hAnsi="Times New Roman"/>
                <w:sz w:val="13"/>
              </w:rPr>
              <w:t>US$ 2.429,15 M</w:t>
            </w:r>
          </w:p>
        </w:tc>
        <w:tc>
          <w:tcPr>
            <w:tcW w:w="2527" w:type="dxa"/>
            <w:tcMar>
              <w:top w:w="40" w:type="dxa"/>
              <w:left w:w="40" w:type="dxa"/>
              <w:bottom w:w="40" w:type="dxa"/>
              <w:right w:w="40" w:type="dxa"/>
            </w:tcMar>
          </w:tcPr>
          <w:p w14:paraId="01212DA9" w14:textId="77777777" w:rsidR="00BC0386" w:rsidRDefault="00000000">
            <w:r>
              <w:rPr>
                <w:rFonts w:ascii="Times New Roman" w:hAnsi="Times New Roman"/>
                <w:sz w:val="13"/>
              </w:rPr>
              <w:t>HS 27 - Batubara Bukit Asam</w:t>
            </w:r>
          </w:p>
        </w:tc>
      </w:tr>
      <w:tr w:rsidR="00BC0386" w14:paraId="3EEC9DF0" w14:textId="77777777">
        <w:trPr>
          <w:jc w:val="center"/>
        </w:trPr>
        <w:tc>
          <w:tcPr>
            <w:tcW w:w="2527" w:type="dxa"/>
            <w:tcMar>
              <w:top w:w="40" w:type="dxa"/>
              <w:left w:w="40" w:type="dxa"/>
              <w:bottom w:w="40" w:type="dxa"/>
              <w:right w:w="40" w:type="dxa"/>
            </w:tcMar>
          </w:tcPr>
          <w:p w14:paraId="1278108F" w14:textId="77777777" w:rsidR="00BC0386" w:rsidRDefault="00000000">
            <w:pPr>
              <w:jc w:val="center"/>
            </w:pPr>
            <w:r>
              <w:rPr>
                <w:rFonts w:ascii="Times New Roman" w:hAnsi="Times New Roman"/>
                <w:sz w:val="13"/>
              </w:rPr>
              <w:t>8</w:t>
            </w:r>
          </w:p>
        </w:tc>
        <w:tc>
          <w:tcPr>
            <w:tcW w:w="2527" w:type="dxa"/>
            <w:tcMar>
              <w:top w:w="40" w:type="dxa"/>
              <w:left w:w="40" w:type="dxa"/>
              <w:bottom w:w="40" w:type="dxa"/>
              <w:right w:w="40" w:type="dxa"/>
            </w:tcMar>
          </w:tcPr>
          <w:p w14:paraId="231FE6CA" w14:textId="77777777" w:rsidR="00BC0386" w:rsidRDefault="00000000">
            <w:r>
              <w:rPr>
                <w:rFonts w:ascii="Times New Roman" w:hAnsi="Times New Roman"/>
                <w:sz w:val="13"/>
              </w:rPr>
              <w:t>Satui Tanah Bumbu (Kalsel)</w:t>
            </w:r>
          </w:p>
        </w:tc>
        <w:tc>
          <w:tcPr>
            <w:tcW w:w="2527" w:type="dxa"/>
            <w:tcMar>
              <w:top w:w="40" w:type="dxa"/>
              <w:left w:w="40" w:type="dxa"/>
              <w:bottom w:w="40" w:type="dxa"/>
              <w:right w:w="40" w:type="dxa"/>
            </w:tcMar>
          </w:tcPr>
          <w:p w14:paraId="19E586A3" w14:textId="77777777" w:rsidR="00BC0386" w:rsidRDefault="00000000">
            <w:pPr>
              <w:jc w:val="center"/>
            </w:pPr>
            <w:r>
              <w:rPr>
                <w:rFonts w:ascii="Times New Roman" w:hAnsi="Times New Roman"/>
                <w:sz w:val="13"/>
              </w:rPr>
              <w:t>US$ 2.411,00 M</w:t>
            </w:r>
          </w:p>
        </w:tc>
        <w:tc>
          <w:tcPr>
            <w:tcW w:w="2527" w:type="dxa"/>
            <w:tcMar>
              <w:top w:w="40" w:type="dxa"/>
              <w:left w:w="40" w:type="dxa"/>
              <w:bottom w:w="40" w:type="dxa"/>
              <w:right w:w="40" w:type="dxa"/>
            </w:tcMar>
          </w:tcPr>
          <w:p w14:paraId="156AD7FC" w14:textId="77777777" w:rsidR="00BC0386" w:rsidRDefault="00000000">
            <w:r>
              <w:rPr>
                <w:rFonts w:ascii="Times New Roman" w:hAnsi="Times New Roman"/>
                <w:sz w:val="13"/>
              </w:rPr>
              <w:t>HS 27 - Batubara Sub-bituminus</w:t>
            </w:r>
          </w:p>
        </w:tc>
      </w:tr>
      <w:tr w:rsidR="00BC0386" w14:paraId="1735FA8F" w14:textId="77777777">
        <w:trPr>
          <w:jc w:val="center"/>
        </w:trPr>
        <w:tc>
          <w:tcPr>
            <w:tcW w:w="2527" w:type="dxa"/>
            <w:tcMar>
              <w:top w:w="40" w:type="dxa"/>
              <w:left w:w="40" w:type="dxa"/>
              <w:bottom w:w="40" w:type="dxa"/>
              <w:right w:w="40" w:type="dxa"/>
            </w:tcMar>
          </w:tcPr>
          <w:p w14:paraId="1673CD4B" w14:textId="77777777" w:rsidR="00BC0386" w:rsidRDefault="00000000">
            <w:pPr>
              <w:jc w:val="center"/>
            </w:pPr>
            <w:r>
              <w:rPr>
                <w:rFonts w:ascii="Times New Roman" w:hAnsi="Times New Roman"/>
                <w:sz w:val="13"/>
              </w:rPr>
              <w:t>9</w:t>
            </w:r>
          </w:p>
        </w:tc>
        <w:tc>
          <w:tcPr>
            <w:tcW w:w="2527" w:type="dxa"/>
            <w:tcMar>
              <w:top w:w="40" w:type="dxa"/>
              <w:left w:w="40" w:type="dxa"/>
              <w:bottom w:w="40" w:type="dxa"/>
              <w:right w:w="40" w:type="dxa"/>
            </w:tcMar>
          </w:tcPr>
          <w:p w14:paraId="73976633" w14:textId="77777777" w:rsidR="00BC0386" w:rsidRDefault="00000000">
            <w:r>
              <w:rPr>
                <w:rFonts w:ascii="Times New Roman" w:hAnsi="Times New Roman"/>
                <w:sz w:val="13"/>
              </w:rPr>
              <w:t>Tanjung Redep Berau Coal (Kaltim)</w:t>
            </w:r>
          </w:p>
        </w:tc>
        <w:tc>
          <w:tcPr>
            <w:tcW w:w="2527" w:type="dxa"/>
            <w:tcMar>
              <w:top w:w="40" w:type="dxa"/>
              <w:left w:w="40" w:type="dxa"/>
              <w:bottom w:w="40" w:type="dxa"/>
              <w:right w:w="40" w:type="dxa"/>
            </w:tcMar>
          </w:tcPr>
          <w:p w14:paraId="123895F6" w14:textId="77777777" w:rsidR="00BC0386" w:rsidRDefault="00000000">
            <w:pPr>
              <w:jc w:val="center"/>
            </w:pPr>
            <w:r>
              <w:rPr>
                <w:rFonts w:ascii="Times New Roman" w:hAnsi="Times New Roman"/>
                <w:sz w:val="13"/>
              </w:rPr>
              <w:t>US$ 2.219,75 M</w:t>
            </w:r>
          </w:p>
        </w:tc>
        <w:tc>
          <w:tcPr>
            <w:tcW w:w="2527" w:type="dxa"/>
            <w:tcMar>
              <w:top w:w="40" w:type="dxa"/>
              <w:left w:w="40" w:type="dxa"/>
              <w:bottom w:w="40" w:type="dxa"/>
              <w:right w:w="40" w:type="dxa"/>
            </w:tcMar>
          </w:tcPr>
          <w:p w14:paraId="1FDDB358" w14:textId="77777777" w:rsidR="00BC0386" w:rsidRDefault="00000000">
            <w:r>
              <w:rPr>
                <w:rFonts w:ascii="Times New Roman" w:hAnsi="Times New Roman"/>
                <w:sz w:val="13"/>
              </w:rPr>
              <w:t>HS 27 - Batubara Rendah Abu</w:t>
            </w:r>
          </w:p>
        </w:tc>
      </w:tr>
      <w:tr w:rsidR="00BC0386" w14:paraId="0BCFE96F" w14:textId="77777777">
        <w:trPr>
          <w:jc w:val="center"/>
        </w:trPr>
        <w:tc>
          <w:tcPr>
            <w:tcW w:w="2527" w:type="dxa"/>
            <w:tcMar>
              <w:top w:w="40" w:type="dxa"/>
              <w:left w:w="40" w:type="dxa"/>
              <w:bottom w:w="40" w:type="dxa"/>
              <w:right w:w="40" w:type="dxa"/>
            </w:tcMar>
          </w:tcPr>
          <w:p w14:paraId="0CD9ED49" w14:textId="77777777" w:rsidR="00BC0386" w:rsidRDefault="00000000">
            <w:pPr>
              <w:jc w:val="center"/>
            </w:pPr>
            <w:r>
              <w:rPr>
                <w:rFonts w:ascii="Times New Roman" w:hAnsi="Times New Roman"/>
                <w:sz w:val="13"/>
              </w:rPr>
              <w:t>10</w:t>
            </w:r>
          </w:p>
        </w:tc>
        <w:tc>
          <w:tcPr>
            <w:tcW w:w="2527" w:type="dxa"/>
            <w:tcMar>
              <w:top w:w="40" w:type="dxa"/>
              <w:left w:w="40" w:type="dxa"/>
              <w:bottom w:w="40" w:type="dxa"/>
              <w:right w:w="40" w:type="dxa"/>
            </w:tcMar>
          </w:tcPr>
          <w:p w14:paraId="1F70B8E0" w14:textId="77777777" w:rsidR="00BC0386" w:rsidRDefault="00000000">
            <w:r>
              <w:rPr>
                <w:rFonts w:ascii="Times New Roman" w:hAnsi="Times New Roman"/>
                <w:sz w:val="13"/>
              </w:rPr>
              <w:t>Bantaeng / Bonthan Bay (Sulsel)</w:t>
            </w:r>
          </w:p>
        </w:tc>
        <w:tc>
          <w:tcPr>
            <w:tcW w:w="2527" w:type="dxa"/>
            <w:tcMar>
              <w:top w:w="40" w:type="dxa"/>
              <w:left w:w="40" w:type="dxa"/>
              <w:bottom w:w="40" w:type="dxa"/>
              <w:right w:w="40" w:type="dxa"/>
            </w:tcMar>
          </w:tcPr>
          <w:p w14:paraId="42713B6C" w14:textId="77777777" w:rsidR="00BC0386" w:rsidRDefault="00000000">
            <w:pPr>
              <w:jc w:val="center"/>
            </w:pPr>
            <w:r>
              <w:rPr>
                <w:rFonts w:ascii="Times New Roman" w:hAnsi="Times New Roman"/>
                <w:sz w:val="13"/>
              </w:rPr>
              <w:t>US$ 2.007,50 M</w:t>
            </w:r>
          </w:p>
        </w:tc>
        <w:tc>
          <w:tcPr>
            <w:tcW w:w="2527" w:type="dxa"/>
            <w:tcMar>
              <w:top w:w="40" w:type="dxa"/>
              <w:left w:w="40" w:type="dxa"/>
              <w:bottom w:w="40" w:type="dxa"/>
              <w:right w:w="40" w:type="dxa"/>
            </w:tcMar>
          </w:tcPr>
          <w:p w14:paraId="0D01741B" w14:textId="77777777" w:rsidR="00BC0386" w:rsidRDefault="00000000">
            <w:r>
              <w:rPr>
                <w:rFonts w:ascii="Times New Roman" w:hAnsi="Times New Roman"/>
                <w:sz w:val="13"/>
              </w:rPr>
              <w:t>HS 26 - Feronikel &amp; Konsentrat Nikel</w:t>
            </w:r>
          </w:p>
        </w:tc>
      </w:tr>
    </w:tbl>
    <w:p w14:paraId="423AEE96" w14:textId="77777777" w:rsidR="00BC0386" w:rsidRDefault="00000000">
      <w:pPr>
        <w:keepNext/>
        <w:spacing w:before="140" w:after="40"/>
        <w:jc w:val="center"/>
      </w:pPr>
      <w:r>
        <w:rPr>
          <w:noProof/>
        </w:rPr>
        <w:drawing>
          <wp:inline distT="0" distB="0" distL="0" distR="0" wp14:anchorId="224EFCE4" wp14:editId="4B486895">
            <wp:extent cx="3063240" cy="1723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4.png"/>
                    <pic:cNvPicPr/>
                  </pic:nvPicPr>
                  <pic:blipFill>
                    <a:blip r:embed="rId9"/>
                    <a:stretch>
                      <a:fillRect/>
                    </a:stretch>
                  </pic:blipFill>
                  <pic:spPr>
                    <a:xfrm>
                      <a:off x="0" y="0"/>
                      <a:ext cx="3063240" cy="1723072"/>
                    </a:xfrm>
                    <a:prstGeom prst="rect">
                      <a:avLst/>
                    </a:prstGeom>
                  </pic:spPr>
                </pic:pic>
              </a:graphicData>
            </a:graphic>
          </wp:inline>
        </w:drawing>
      </w:r>
    </w:p>
    <w:p w14:paraId="69DFD139" w14:textId="77777777" w:rsidR="00BC0386" w:rsidRDefault="00000000">
      <w:pPr>
        <w:spacing w:before="40" w:after="140"/>
        <w:jc w:val="both"/>
      </w:pPr>
      <w:r>
        <w:rPr>
          <w:rFonts w:ascii="Times New Roman" w:hAnsi="Times New Roman"/>
          <w:sz w:val="16"/>
        </w:rPr>
        <w:t>Gbr. 4. Diagram Sunburst Penetrasi Pasar Ekspor Global Versi 2 (Bab 04). Mempartisi tujuan ekspor ke 6 benua dan 84 negara dengan palet benua tegas dan navigasi interaktif.</w:t>
      </w:r>
    </w:p>
    <w:p w14:paraId="4A6A64A7" w14:textId="77777777" w:rsidR="00BC0386" w:rsidRDefault="00000000">
      <w:pPr>
        <w:spacing w:after="70" w:line="252" w:lineRule="auto"/>
        <w:ind w:firstLine="288"/>
        <w:jc w:val="both"/>
      </w:pPr>
      <w:r>
        <w:rPr>
          <w:rFonts w:ascii="Times New Roman" w:hAnsi="Times New Roman"/>
          <w:sz w:val="18"/>
        </w:rPr>
        <w:t>4) Bab 04 - Penetrasi Pasar Global 84 Negara (Gambar 4): Diagram Sunburst membuktikan bahwa 76,8% (US$38,16 Miliar) ekspor pertambangan Indonesia terserap oleh kawasan Asia, dengan Tiongkok sebagai mitra dagang terbesar tunggal (US$16,84 Miliar), diikuti oleh Jepang (US$7,12 Miliar), India (US$6,85 Miliar), dan Korea Selatan (US$4,32 Miliar). Kawasan Eropa dan Amerika menyerap produk olahan bernilai tambah tinggi seperti katoda tembaga murni dan timah batangan.</w:t>
      </w:r>
    </w:p>
    <w:p w14:paraId="6EA4388D" w14:textId="77777777" w:rsidR="00BC0386" w:rsidRDefault="00000000">
      <w:pPr>
        <w:keepNext/>
        <w:spacing w:before="140" w:after="40"/>
        <w:jc w:val="center"/>
      </w:pPr>
      <w:r>
        <w:rPr>
          <w:noProof/>
        </w:rPr>
        <w:drawing>
          <wp:inline distT="0" distB="0" distL="0" distR="0" wp14:anchorId="33E0E6FC" wp14:editId="560A16A1">
            <wp:extent cx="3063240" cy="1723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5.png"/>
                    <pic:cNvPicPr/>
                  </pic:nvPicPr>
                  <pic:blipFill>
                    <a:blip r:embed="rId10"/>
                    <a:stretch>
                      <a:fillRect/>
                    </a:stretch>
                  </pic:blipFill>
                  <pic:spPr>
                    <a:xfrm>
                      <a:off x="0" y="0"/>
                      <a:ext cx="3063240" cy="1723072"/>
                    </a:xfrm>
                    <a:prstGeom prst="rect">
                      <a:avLst/>
                    </a:prstGeom>
                  </pic:spPr>
                </pic:pic>
              </a:graphicData>
            </a:graphic>
          </wp:inline>
        </w:drawing>
      </w:r>
    </w:p>
    <w:p w14:paraId="2D1A69EB" w14:textId="77777777" w:rsidR="00BC0386" w:rsidRDefault="00000000">
      <w:pPr>
        <w:spacing w:before="40" w:after="140"/>
        <w:jc w:val="both"/>
      </w:pPr>
      <w:r>
        <w:rPr>
          <w:rFonts w:ascii="Times New Roman" w:hAnsi="Times New Roman"/>
          <w:sz w:val="16"/>
        </w:rPr>
        <w:t>Gbr. 5. Diagram Alir Sankey Rantai Pasok Maritim Versi 2 (Bab 05). Dilengkapi kontrol filter multi-select pencarian pelabuhan dan negara mitra pada topbar antarmuka editorial.</w:t>
      </w:r>
    </w:p>
    <w:p w14:paraId="695E170A" w14:textId="77777777" w:rsidR="00BC0386" w:rsidRDefault="00000000">
      <w:pPr>
        <w:spacing w:after="70" w:line="252" w:lineRule="auto"/>
        <w:ind w:firstLine="288"/>
        <w:jc w:val="both"/>
      </w:pPr>
      <w:r>
        <w:rPr>
          <w:rFonts w:ascii="Times New Roman" w:hAnsi="Times New Roman"/>
          <w:sz w:val="18"/>
        </w:rPr>
        <w:lastRenderedPageBreak/>
        <w:t>5) Bab 05 - Arsitektur Rantai Pasok Maritim (Gambar 5): Diagram Sankey Versi 2 menyajikan keterhubungan logistik 30 pelabuhan muat terbesar dengan 20 negara tujuan utama. Pengguna dapat memanfaatkan filter multi-select dropdown dengan pencarian teks real-time untuk mengisolasi aliran rantai pasok pelabuhan spesifik (misalnya mengisolasi aliran Pelabuhan Amamapare ke Jepang dan Tiongkok).</w:t>
      </w:r>
    </w:p>
    <w:p w14:paraId="59A6BD16" w14:textId="77777777" w:rsidR="00BC0386" w:rsidRDefault="00000000">
      <w:pPr>
        <w:keepNext/>
        <w:spacing w:before="140" w:after="40"/>
        <w:jc w:val="center"/>
      </w:pPr>
      <w:r>
        <w:rPr>
          <w:noProof/>
        </w:rPr>
        <w:drawing>
          <wp:inline distT="0" distB="0" distL="0" distR="0" wp14:anchorId="5C130A75" wp14:editId="618520E4">
            <wp:extent cx="3063240" cy="1723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creenshot_bab6.png"/>
                    <pic:cNvPicPr/>
                  </pic:nvPicPr>
                  <pic:blipFill>
                    <a:blip r:embed="rId11"/>
                    <a:stretch>
                      <a:fillRect/>
                    </a:stretch>
                  </pic:blipFill>
                  <pic:spPr>
                    <a:xfrm>
                      <a:off x="0" y="0"/>
                      <a:ext cx="3063240" cy="1723072"/>
                    </a:xfrm>
                    <a:prstGeom prst="rect">
                      <a:avLst/>
                    </a:prstGeom>
                  </pic:spPr>
                </pic:pic>
              </a:graphicData>
            </a:graphic>
          </wp:inline>
        </w:drawing>
      </w:r>
    </w:p>
    <w:p w14:paraId="6CB0E8C1" w14:textId="77777777" w:rsidR="00BC0386" w:rsidRDefault="00000000">
      <w:pPr>
        <w:spacing w:before="40" w:after="140"/>
        <w:jc w:val="both"/>
      </w:pPr>
      <w:r>
        <w:rPr>
          <w:rFonts w:ascii="Times New Roman" w:hAnsi="Times New Roman"/>
          <w:sz w:val="16"/>
        </w:rPr>
        <w:t>Gbr. 6. Rekonstruksi 535 Rute Arus Maritim Global Geo Flow pada Globe 3D Versi 2 (Bab 06). Menampilkan partikel aliran pelayaran ke 5 benua dengan pembedaan warna tajam rute Amerika (#2563EB Royal Blue).</w:t>
      </w:r>
    </w:p>
    <w:p w14:paraId="59DE264E" w14:textId="77777777" w:rsidR="00BC0386" w:rsidRDefault="00000000">
      <w:pPr>
        <w:spacing w:after="70" w:line="252" w:lineRule="auto"/>
        <w:ind w:firstLine="288"/>
        <w:jc w:val="both"/>
      </w:pPr>
      <w:r>
        <w:rPr>
          <w:rFonts w:ascii="Times New Roman" w:hAnsi="Times New Roman"/>
          <w:sz w:val="18"/>
        </w:rPr>
        <w:t>6) Bab 06 - Rekonstruksi Koridor Maritim Global (Gambar 6): Peta Arus Maritim 3D Globe menyajikan visualisasi sinematik 535 rute pelayaran kargo. Pembaruan Desain Versi 2 memberikan diferensiasi warna kontras tinggi pada rute Amerika (#2563EB Royal Blue) serta memastikan emisi partikel aliran kargo terdistribusi secara seimbang ke seluruh lima benua tujuan.</w:t>
      </w:r>
    </w:p>
    <w:p w14:paraId="3A705148" w14:textId="77777777" w:rsidR="00BC0386" w:rsidRDefault="00000000">
      <w:pPr>
        <w:keepNext/>
        <w:spacing w:before="180" w:after="60"/>
      </w:pPr>
      <w:r>
        <w:rPr>
          <w:rFonts w:ascii="Times New Roman" w:hAnsi="Times New Roman"/>
          <w:b/>
          <w:i/>
          <w:sz w:val="19"/>
        </w:rPr>
        <w:t>B. Temuan Analitik dan Wawasan Sosio-Ekonomi</w:t>
      </w:r>
    </w:p>
    <w:p w14:paraId="01EB13EC" w14:textId="77777777" w:rsidR="00BC0386" w:rsidRDefault="00000000">
      <w:pPr>
        <w:spacing w:after="70" w:line="252" w:lineRule="auto"/>
        <w:ind w:firstLine="288"/>
        <w:jc w:val="both"/>
      </w:pPr>
      <w:r>
        <w:rPr>
          <w:rFonts w:ascii="Times New Roman" w:hAnsi="Times New Roman"/>
          <w:b/>
          <w:sz w:val="18"/>
        </w:rPr>
        <w:t xml:space="preserve">Temuan Empiris dan Wawasan Kebijakan: </w:t>
      </w:r>
      <w:r>
        <w:rPr>
          <w:rFonts w:ascii="Times New Roman" w:hAnsi="Times New Roman"/>
          <w:sz w:val="18"/>
        </w:rPr>
        <w:t>Melalui integrasi visualisasi data terpadu ini, terungkap sejumlah temuan empiris yang bernilai strategis bagi perumusan kebijakan:</w:t>
      </w:r>
    </w:p>
    <w:p w14:paraId="3267F344" w14:textId="77777777" w:rsidR="00BC0386" w:rsidRDefault="00000000">
      <w:pPr>
        <w:spacing w:after="70" w:line="252" w:lineRule="auto"/>
        <w:ind w:firstLine="288"/>
        <w:jc w:val="both"/>
      </w:pPr>
      <w:r>
        <w:rPr>
          <w:rFonts w:ascii="Times New Roman" w:hAnsi="Times New Roman"/>
          <w:sz w:val="18"/>
        </w:rPr>
        <w:t>1) Fenomena 'Enclave Economy' dan Kerentanan Fiskal Daerah: Dari 514 kabupaten/kota, terdapat 16 daerah dengan rasio tambang melampaui 54% PDRB. Ketergantungan struktural yang sangat pekat ini menimbulkan kerentanan fiskal yang parah terhadap fluktuasi harga komoditas siklikal di bursa London Metal Exchange (LME) dan ICE Newcastle. Ketika harga batubara atau nikel anjlok, perekonomian daerah-daerah ini mengalami kontraksi tajam karena lemahnya diversifikasi sektor tersier dan manufaktur hilir lokal.</w:t>
      </w:r>
      <w:r>
        <w:rPr>
          <w:rFonts w:ascii="Times New Roman" w:hAnsi="Times New Roman"/>
          <w:sz w:val="18"/>
        </w:rPr>
        <w:br/>
        <w:t>2) Konsentrasi Oligopoli Infrastruktur Pelabuhan: Dari total 74 pelabuhan muat ekspor yang tercatat di BPS, lima pelabuhan teratas mengendalikan lebih dari 40,8% (US$20,66 Miliar) total devisa ekspor tambang nasional. Hal ini menunjukkan kerentanan sistemik logistik nasional; gangguan operasional pada satu simpul utama (misalnya sedimentasi alur Sungai Barito atau cuaca ekstrem di perairan Muara Berau) dapat secara langsung mengganggu stabilitas ekspor energi dan mineral nasional.</w:t>
      </w:r>
      <w:r>
        <w:rPr>
          <w:rFonts w:ascii="Times New Roman" w:hAnsi="Times New Roman"/>
          <w:sz w:val="18"/>
        </w:rPr>
        <w:br/>
        <w:t>3) Gravitasi Pasifik-Asia Timur: Rute pelayaran ekspor Indonesia sangat asimetris terkonsentrasi ke koridor utara (Tiongkok, Jepang, Korea Selatan, Taiwan) dan barat laut (India). Pola ini menegaskan bahwa strategi re-industrialisasi dan hilirisasi nasional saat ini masih berfungsi sebagai pemasok bahan baku setengah jadi bagi rantai pasok manufaktur kendaraan listrik dan industri berat Asia Timur.</w:t>
      </w:r>
    </w:p>
    <w:p w14:paraId="58EC49D3" w14:textId="77777777" w:rsidR="00BC0386" w:rsidRDefault="00000000">
      <w:pPr>
        <w:keepNext/>
        <w:spacing w:before="180" w:after="60"/>
      </w:pPr>
      <w:r>
        <w:rPr>
          <w:rFonts w:ascii="Times New Roman" w:hAnsi="Times New Roman"/>
          <w:b/>
          <w:i/>
          <w:sz w:val="19"/>
        </w:rPr>
        <w:t>C. Evaluasi Rancangan Berdasarkan Teori Persepsi</w:t>
      </w:r>
    </w:p>
    <w:p w14:paraId="7BD9177D" w14:textId="77777777" w:rsidR="00BC0386" w:rsidRDefault="00000000">
      <w:pPr>
        <w:spacing w:after="70" w:line="252" w:lineRule="auto"/>
        <w:ind w:firstLine="288"/>
        <w:jc w:val="both"/>
      </w:pPr>
      <w:r>
        <w:rPr>
          <w:rFonts w:ascii="Times New Roman" w:hAnsi="Times New Roman"/>
          <w:sz w:val="18"/>
        </w:rPr>
        <w:t>Rancangan sistem visualisasi ini dievaluasi secara ketat berdasarkan taksonomi grafis Cleveland-McGill [2] dan prinsip integritas visual Tufte [14]. Tabel IV menyajikan ringkasan evaluasi efektivitas encoding visual yang diterapkan dalam sistem.</w:t>
      </w:r>
    </w:p>
    <w:p w14:paraId="52670F92" w14:textId="77777777" w:rsidR="00BC0386" w:rsidRDefault="00000000">
      <w:pPr>
        <w:spacing w:before="120" w:after="40"/>
        <w:jc w:val="center"/>
      </w:pPr>
      <w:r>
        <w:rPr>
          <w:rFonts w:ascii="Times New Roman" w:hAnsi="Times New Roman"/>
          <w:b/>
          <w:sz w:val="15"/>
        </w:rPr>
        <w:t>TABEL IV. MATRIKS EVALUASI ENCODING VISUAL BERDASARKAN TINGKAT PERSEPSI CLEVELAND-MCGILL</w:t>
      </w:r>
    </w:p>
    <w:tbl>
      <w:tblPr>
        <w:tblW w:w="0" w:type="auto"/>
        <w:jc w:val="center"/>
        <w:tblLook w:val="04A0" w:firstRow="1" w:lastRow="0" w:firstColumn="1" w:lastColumn="0" w:noHBand="0" w:noVBand="1"/>
      </w:tblPr>
      <w:tblGrid>
        <w:gridCol w:w="1176"/>
        <w:gridCol w:w="1089"/>
        <w:gridCol w:w="1195"/>
        <w:gridCol w:w="1334"/>
      </w:tblGrid>
      <w:tr w:rsidR="00BC0386" w14:paraId="08317685" w14:textId="77777777">
        <w:trPr>
          <w:jc w:val="center"/>
        </w:trPr>
        <w:tc>
          <w:tcPr>
            <w:tcW w:w="2527" w:type="dxa"/>
            <w:shd w:val="clear" w:color="auto" w:fill="E2E8F0"/>
            <w:tcMar>
              <w:top w:w="50" w:type="dxa"/>
              <w:left w:w="50" w:type="dxa"/>
              <w:bottom w:w="50" w:type="dxa"/>
              <w:right w:w="50" w:type="dxa"/>
            </w:tcMar>
          </w:tcPr>
          <w:p w14:paraId="56CD22F0" w14:textId="77777777" w:rsidR="00BC0386" w:rsidRDefault="00000000">
            <w:pPr>
              <w:jc w:val="center"/>
            </w:pPr>
            <w:r>
              <w:rPr>
                <w:rFonts w:ascii="Times New Roman" w:hAnsi="Times New Roman"/>
                <w:b/>
                <w:sz w:val="14"/>
              </w:rPr>
              <w:t>Visualisasi</w:t>
            </w:r>
          </w:p>
        </w:tc>
        <w:tc>
          <w:tcPr>
            <w:tcW w:w="2527" w:type="dxa"/>
            <w:shd w:val="clear" w:color="auto" w:fill="E2E8F0"/>
            <w:tcMar>
              <w:top w:w="50" w:type="dxa"/>
              <w:left w:w="50" w:type="dxa"/>
              <w:bottom w:w="50" w:type="dxa"/>
              <w:right w:w="50" w:type="dxa"/>
            </w:tcMar>
          </w:tcPr>
          <w:p w14:paraId="16C2354B" w14:textId="77777777" w:rsidR="00BC0386" w:rsidRDefault="00000000">
            <w:pPr>
              <w:jc w:val="center"/>
            </w:pPr>
            <w:r>
              <w:rPr>
                <w:rFonts w:ascii="Times New Roman" w:hAnsi="Times New Roman"/>
                <w:b/>
                <w:sz w:val="14"/>
              </w:rPr>
              <w:t>Variabel Data</w:t>
            </w:r>
          </w:p>
        </w:tc>
        <w:tc>
          <w:tcPr>
            <w:tcW w:w="2527" w:type="dxa"/>
            <w:shd w:val="clear" w:color="auto" w:fill="E2E8F0"/>
            <w:tcMar>
              <w:top w:w="50" w:type="dxa"/>
              <w:left w:w="50" w:type="dxa"/>
              <w:bottom w:w="50" w:type="dxa"/>
              <w:right w:w="50" w:type="dxa"/>
            </w:tcMar>
          </w:tcPr>
          <w:p w14:paraId="33834B80" w14:textId="77777777" w:rsidR="00BC0386" w:rsidRDefault="00000000">
            <w:pPr>
              <w:jc w:val="center"/>
            </w:pPr>
            <w:r>
              <w:rPr>
                <w:rFonts w:ascii="Times New Roman" w:hAnsi="Times New Roman"/>
                <w:b/>
                <w:sz w:val="14"/>
              </w:rPr>
              <w:t>Saluran Visual (Encoding)</w:t>
            </w:r>
          </w:p>
        </w:tc>
        <w:tc>
          <w:tcPr>
            <w:tcW w:w="2527" w:type="dxa"/>
            <w:shd w:val="clear" w:color="auto" w:fill="E2E8F0"/>
            <w:tcMar>
              <w:top w:w="50" w:type="dxa"/>
              <w:left w:w="50" w:type="dxa"/>
              <w:bottom w:w="50" w:type="dxa"/>
              <w:right w:w="50" w:type="dxa"/>
            </w:tcMar>
          </w:tcPr>
          <w:p w14:paraId="4EF42B64" w14:textId="77777777" w:rsidR="00BC0386" w:rsidRDefault="00000000">
            <w:pPr>
              <w:jc w:val="center"/>
            </w:pPr>
            <w:r>
              <w:rPr>
                <w:rFonts w:ascii="Times New Roman" w:hAnsi="Times New Roman"/>
                <w:b/>
                <w:sz w:val="14"/>
              </w:rPr>
              <w:t>Tingkat Akurasi Cleveland-McGill &amp; Justifikasi</w:t>
            </w:r>
          </w:p>
        </w:tc>
      </w:tr>
      <w:tr w:rsidR="00BC0386" w14:paraId="58E2202B" w14:textId="77777777">
        <w:trPr>
          <w:jc w:val="center"/>
        </w:trPr>
        <w:tc>
          <w:tcPr>
            <w:tcW w:w="2527" w:type="dxa"/>
            <w:tcMar>
              <w:top w:w="40" w:type="dxa"/>
              <w:left w:w="40" w:type="dxa"/>
              <w:bottom w:w="40" w:type="dxa"/>
              <w:right w:w="40" w:type="dxa"/>
            </w:tcMar>
          </w:tcPr>
          <w:p w14:paraId="6C9C81F6" w14:textId="77777777" w:rsidR="00BC0386" w:rsidRDefault="00000000">
            <w:pPr>
              <w:jc w:val="center"/>
            </w:pPr>
            <w:r>
              <w:rPr>
                <w:rFonts w:ascii="Times New Roman" w:hAnsi="Times New Roman"/>
                <w:sz w:val="13"/>
              </w:rPr>
              <w:t>Treemap &amp; Sunburst</w:t>
            </w:r>
          </w:p>
        </w:tc>
        <w:tc>
          <w:tcPr>
            <w:tcW w:w="2527" w:type="dxa"/>
            <w:tcMar>
              <w:top w:w="40" w:type="dxa"/>
              <w:left w:w="40" w:type="dxa"/>
              <w:bottom w:w="40" w:type="dxa"/>
              <w:right w:w="40" w:type="dxa"/>
            </w:tcMar>
          </w:tcPr>
          <w:p w14:paraId="4B32BCAB" w14:textId="77777777" w:rsidR="00BC0386" w:rsidRDefault="00000000">
            <w:pPr>
              <w:jc w:val="center"/>
            </w:pPr>
            <w:r>
              <w:rPr>
                <w:rFonts w:ascii="Times New Roman" w:hAnsi="Times New Roman"/>
                <w:sz w:val="13"/>
              </w:rPr>
              <w:t>Nilai PDB (Rp) &amp; Ekspor (USD)</w:t>
            </w:r>
          </w:p>
        </w:tc>
        <w:tc>
          <w:tcPr>
            <w:tcW w:w="2527" w:type="dxa"/>
            <w:tcMar>
              <w:top w:w="40" w:type="dxa"/>
              <w:left w:w="40" w:type="dxa"/>
              <w:bottom w:w="40" w:type="dxa"/>
              <w:right w:w="40" w:type="dxa"/>
            </w:tcMar>
          </w:tcPr>
          <w:p w14:paraId="747CC129" w14:textId="77777777" w:rsidR="00BC0386" w:rsidRDefault="00000000">
            <w:pPr>
              <w:jc w:val="center"/>
            </w:pPr>
            <w:r>
              <w:rPr>
                <w:rFonts w:ascii="Times New Roman" w:hAnsi="Times New Roman"/>
                <w:sz w:val="13"/>
              </w:rPr>
              <w:t>Luas Area Persegi &amp; Sudut Irisan Cincin</w:t>
            </w:r>
          </w:p>
        </w:tc>
        <w:tc>
          <w:tcPr>
            <w:tcW w:w="2527" w:type="dxa"/>
            <w:tcMar>
              <w:top w:w="40" w:type="dxa"/>
              <w:left w:w="40" w:type="dxa"/>
              <w:bottom w:w="40" w:type="dxa"/>
              <w:right w:w="40" w:type="dxa"/>
            </w:tcMar>
          </w:tcPr>
          <w:p w14:paraId="710B4850" w14:textId="77777777" w:rsidR="00BC0386" w:rsidRDefault="00000000">
            <w:pPr>
              <w:jc w:val="both"/>
            </w:pPr>
            <w:r>
              <w:rPr>
                <w:rFonts w:ascii="Times New Roman" w:hAnsi="Times New Roman"/>
                <w:sz w:val="13"/>
              </w:rPr>
              <w:t>Tingkat Menengah (Tingkat 3 &amp; 4). Diberikan anotasi angka nominal dan persentase langsung pada tooltip untuk menjamin presisi decoding pembaca.</w:t>
            </w:r>
          </w:p>
        </w:tc>
      </w:tr>
      <w:tr w:rsidR="00BC0386" w14:paraId="7A552A56" w14:textId="77777777">
        <w:trPr>
          <w:jc w:val="center"/>
        </w:trPr>
        <w:tc>
          <w:tcPr>
            <w:tcW w:w="2527" w:type="dxa"/>
            <w:tcMar>
              <w:top w:w="40" w:type="dxa"/>
              <w:left w:w="40" w:type="dxa"/>
              <w:bottom w:w="40" w:type="dxa"/>
              <w:right w:w="40" w:type="dxa"/>
            </w:tcMar>
          </w:tcPr>
          <w:p w14:paraId="75F8FC3E" w14:textId="77777777" w:rsidR="00BC0386" w:rsidRDefault="00000000">
            <w:pPr>
              <w:jc w:val="center"/>
            </w:pPr>
            <w:r>
              <w:rPr>
                <w:rFonts w:ascii="Times New Roman" w:hAnsi="Times New Roman"/>
                <w:sz w:val="13"/>
              </w:rPr>
              <w:t>Peta Choropleth 514 Daerah</w:t>
            </w:r>
          </w:p>
        </w:tc>
        <w:tc>
          <w:tcPr>
            <w:tcW w:w="2527" w:type="dxa"/>
            <w:tcMar>
              <w:top w:w="40" w:type="dxa"/>
              <w:left w:w="40" w:type="dxa"/>
              <w:bottom w:w="40" w:type="dxa"/>
              <w:right w:w="40" w:type="dxa"/>
            </w:tcMar>
          </w:tcPr>
          <w:p w14:paraId="6BF1C291" w14:textId="77777777" w:rsidR="00BC0386" w:rsidRDefault="00000000">
            <w:pPr>
              <w:jc w:val="center"/>
            </w:pPr>
            <w:r>
              <w:rPr>
                <w:rFonts w:ascii="Times New Roman" w:hAnsi="Times New Roman"/>
                <w:sz w:val="13"/>
              </w:rPr>
              <w:t>Rasio Tambang terhadap PDRB (%)</w:t>
            </w:r>
          </w:p>
        </w:tc>
        <w:tc>
          <w:tcPr>
            <w:tcW w:w="2527" w:type="dxa"/>
            <w:tcMar>
              <w:top w:w="40" w:type="dxa"/>
              <w:left w:w="40" w:type="dxa"/>
              <w:bottom w:w="40" w:type="dxa"/>
              <w:right w:w="40" w:type="dxa"/>
            </w:tcMar>
          </w:tcPr>
          <w:p w14:paraId="34C2322F" w14:textId="77777777" w:rsidR="00BC0386" w:rsidRDefault="00000000">
            <w:pPr>
              <w:jc w:val="center"/>
            </w:pPr>
            <w:r>
              <w:rPr>
                <w:rFonts w:ascii="Times New Roman" w:hAnsi="Times New Roman"/>
                <w:sz w:val="13"/>
              </w:rPr>
              <w:t>Gradasi Nilai Kecerahan Warna (Color Value)</w:t>
            </w:r>
          </w:p>
        </w:tc>
        <w:tc>
          <w:tcPr>
            <w:tcW w:w="2527" w:type="dxa"/>
            <w:tcMar>
              <w:top w:w="40" w:type="dxa"/>
              <w:left w:w="40" w:type="dxa"/>
              <w:bottom w:w="40" w:type="dxa"/>
              <w:right w:w="40" w:type="dxa"/>
            </w:tcMar>
          </w:tcPr>
          <w:p w14:paraId="190BF225" w14:textId="77777777" w:rsidR="00BC0386" w:rsidRDefault="00000000">
            <w:pPr>
              <w:jc w:val="both"/>
            </w:pPr>
            <w:r>
              <w:rPr>
                <w:rFonts w:ascii="Times New Roman" w:hAnsi="Times New Roman"/>
                <w:sz w:val="13"/>
              </w:rPr>
              <w:t>Tingkat Rendah-Menengah (Tingkat 6). Dioptimalkan dengan klasifikasi Jenks 5 kelas dan palet univariat kontras tinggi agar perbedaan kelas terbaca tegas.</w:t>
            </w:r>
          </w:p>
        </w:tc>
      </w:tr>
      <w:tr w:rsidR="00BC0386" w14:paraId="05DCB1FE" w14:textId="77777777">
        <w:trPr>
          <w:jc w:val="center"/>
        </w:trPr>
        <w:tc>
          <w:tcPr>
            <w:tcW w:w="2527" w:type="dxa"/>
            <w:tcMar>
              <w:top w:w="40" w:type="dxa"/>
              <w:left w:w="40" w:type="dxa"/>
              <w:bottom w:w="40" w:type="dxa"/>
              <w:right w:w="40" w:type="dxa"/>
            </w:tcMar>
          </w:tcPr>
          <w:p w14:paraId="30462E96" w14:textId="77777777" w:rsidR="00BC0386" w:rsidRDefault="00000000">
            <w:pPr>
              <w:jc w:val="center"/>
            </w:pPr>
            <w:r>
              <w:rPr>
                <w:rFonts w:ascii="Times New Roman" w:hAnsi="Times New Roman"/>
                <w:sz w:val="13"/>
              </w:rPr>
              <w:t>Peta Simbol 74 Pelabuhan</w:t>
            </w:r>
          </w:p>
        </w:tc>
        <w:tc>
          <w:tcPr>
            <w:tcW w:w="2527" w:type="dxa"/>
            <w:tcMar>
              <w:top w:w="40" w:type="dxa"/>
              <w:left w:w="40" w:type="dxa"/>
              <w:bottom w:w="40" w:type="dxa"/>
              <w:right w:w="40" w:type="dxa"/>
            </w:tcMar>
          </w:tcPr>
          <w:p w14:paraId="0F760863" w14:textId="77777777" w:rsidR="00BC0386" w:rsidRDefault="00000000">
            <w:pPr>
              <w:jc w:val="center"/>
            </w:pPr>
            <w:r>
              <w:rPr>
                <w:rFonts w:ascii="Times New Roman" w:hAnsi="Times New Roman"/>
                <w:sz w:val="13"/>
              </w:rPr>
              <w:t>Nilai Muat Ekspor Pelabuhan (USD)</w:t>
            </w:r>
          </w:p>
        </w:tc>
        <w:tc>
          <w:tcPr>
            <w:tcW w:w="2527" w:type="dxa"/>
            <w:tcMar>
              <w:top w:w="40" w:type="dxa"/>
              <w:left w:w="40" w:type="dxa"/>
              <w:bottom w:w="40" w:type="dxa"/>
              <w:right w:w="40" w:type="dxa"/>
            </w:tcMar>
          </w:tcPr>
          <w:p w14:paraId="3E2C73EA" w14:textId="77777777" w:rsidR="00BC0386" w:rsidRDefault="00000000">
            <w:pPr>
              <w:jc w:val="center"/>
            </w:pPr>
            <w:r>
              <w:rPr>
                <w:rFonts w:ascii="Times New Roman" w:hAnsi="Times New Roman"/>
                <w:sz w:val="13"/>
              </w:rPr>
              <w:t>Luas Area Lingkaran dengan Koreksi Flannery</w:t>
            </w:r>
          </w:p>
        </w:tc>
        <w:tc>
          <w:tcPr>
            <w:tcW w:w="2527" w:type="dxa"/>
            <w:tcMar>
              <w:top w:w="40" w:type="dxa"/>
              <w:left w:w="40" w:type="dxa"/>
              <w:bottom w:w="40" w:type="dxa"/>
              <w:right w:w="40" w:type="dxa"/>
            </w:tcMar>
          </w:tcPr>
          <w:p w14:paraId="4A67A974" w14:textId="77777777" w:rsidR="00BC0386" w:rsidRDefault="00000000">
            <w:pPr>
              <w:jc w:val="both"/>
            </w:pPr>
            <w:r>
              <w:rPr>
                <w:rFonts w:ascii="Times New Roman" w:hAnsi="Times New Roman"/>
                <w:sz w:val="13"/>
              </w:rPr>
              <w:t>Tingkat Menengah (Tingkat 4). Formula eksponensial R ∝ V^0,57 terbukti berhasil mengompensasi bias underestimation lingkaran sebesar 18–24%.</w:t>
            </w:r>
          </w:p>
        </w:tc>
      </w:tr>
      <w:tr w:rsidR="00BC0386" w14:paraId="291CA524" w14:textId="77777777">
        <w:trPr>
          <w:jc w:val="center"/>
        </w:trPr>
        <w:tc>
          <w:tcPr>
            <w:tcW w:w="2527" w:type="dxa"/>
            <w:tcMar>
              <w:top w:w="40" w:type="dxa"/>
              <w:left w:w="40" w:type="dxa"/>
              <w:bottom w:w="40" w:type="dxa"/>
              <w:right w:w="40" w:type="dxa"/>
            </w:tcMar>
          </w:tcPr>
          <w:p w14:paraId="7EA5117F" w14:textId="77777777" w:rsidR="00BC0386" w:rsidRDefault="00000000">
            <w:pPr>
              <w:jc w:val="center"/>
            </w:pPr>
            <w:r>
              <w:rPr>
                <w:rFonts w:ascii="Times New Roman" w:hAnsi="Times New Roman"/>
                <w:sz w:val="13"/>
              </w:rPr>
              <w:t>Diagram Sankey &amp; 3D Globe</w:t>
            </w:r>
          </w:p>
        </w:tc>
        <w:tc>
          <w:tcPr>
            <w:tcW w:w="2527" w:type="dxa"/>
            <w:tcMar>
              <w:top w:w="40" w:type="dxa"/>
              <w:left w:w="40" w:type="dxa"/>
              <w:bottom w:w="40" w:type="dxa"/>
              <w:right w:w="40" w:type="dxa"/>
            </w:tcMar>
          </w:tcPr>
          <w:p w14:paraId="1D9D2622" w14:textId="77777777" w:rsidR="00BC0386" w:rsidRDefault="00000000">
            <w:pPr>
              <w:jc w:val="center"/>
            </w:pPr>
            <w:r>
              <w:rPr>
                <w:rFonts w:ascii="Times New Roman" w:hAnsi="Times New Roman"/>
                <w:sz w:val="13"/>
              </w:rPr>
              <w:t>Aliran Transaksi ($) &amp; Frekuensi Rute</w:t>
            </w:r>
          </w:p>
        </w:tc>
        <w:tc>
          <w:tcPr>
            <w:tcW w:w="2527" w:type="dxa"/>
            <w:tcMar>
              <w:top w:w="40" w:type="dxa"/>
              <w:left w:w="40" w:type="dxa"/>
              <w:bottom w:w="40" w:type="dxa"/>
              <w:right w:w="40" w:type="dxa"/>
            </w:tcMar>
          </w:tcPr>
          <w:p w14:paraId="30CC9688" w14:textId="77777777" w:rsidR="00BC0386" w:rsidRDefault="00000000">
            <w:pPr>
              <w:jc w:val="center"/>
            </w:pPr>
            <w:r>
              <w:rPr>
                <w:rFonts w:ascii="Times New Roman" w:hAnsi="Times New Roman"/>
                <w:sz w:val="13"/>
              </w:rPr>
              <w:t>Ketebalan Pita Aliran &amp; Kecepatan Partikel</w:t>
            </w:r>
          </w:p>
        </w:tc>
        <w:tc>
          <w:tcPr>
            <w:tcW w:w="2527" w:type="dxa"/>
            <w:tcMar>
              <w:top w:w="40" w:type="dxa"/>
              <w:left w:w="40" w:type="dxa"/>
              <w:bottom w:w="40" w:type="dxa"/>
              <w:right w:w="40" w:type="dxa"/>
            </w:tcMar>
          </w:tcPr>
          <w:p w14:paraId="33B7B161" w14:textId="77777777" w:rsidR="00BC0386" w:rsidRDefault="00000000">
            <w:pPr>
              <w:jc w:val="both"/>
            </w:pPr>
            <w:r>
              <w:rPr>
                <w:rFonts w:ascii="Times New Roman" w:hAnsi="Times New Roman"/>
                <w:sz w:val="13"/>
              </w:rPr>
              <w:t>Tingkat Tinggi (Tingkat 2 - Panjang/Lebar Garis). Pembaca dapat secara instan membandingkan volume perdagangan antarjalur pelayaran dengan akurasi tinggi.</w:t>
            </w:r>
          </w:p>
        </w:tc>
      </w:tr>
    </w:tbl>
    <w:p w14:paraId="4AF813D2" w14:textId="77777777" w:rsidR="00BC0386" w:rsidRDefault="00000000">
      <w:pPr>
        <w:keepNext/>
        <w:spacing w:before="180" w:after="60"/>
      </w:pPr>
      <w:r>
        <w:rPr>
          <w:rFonts w:ascii="Times New Roman" w:hAnsi="Times New Roman"/>
          <w:b/>
          <w:i/>
          <w:sz w:val="19"/>
        </w:rPr>
        <w:t>D. Evaluasi Kinerja dan Aksesibilitas</w:t>
      </w:r>
    </w:p>
    <w:p w14:paraId="2A1D2C8B" w14:textId="77777777" w:rsidR="00BC0386" w:rsidRDefault="00000000">
      <w:pPr>
        <w:spacing w:after="70" w:line="252" w:lineRule="auto"/>
        <w:ind w:firstLine="288"/>
        <w:jc w:val="both"/>
      </w:pPr>
      <w:r>
        <w:rPr>
          <w:rFonts w:ascii="Times New Roman" w:hAnsi="Times New Roman"/>
          <w:sz w:val="18"/>
        </w:rPr>
        <w:t>Kinerja teknis sistem diuji pada lingkungan desktop (Google Chrome v128, resolusi 1920x1080) dan perangkat seluler (Safari iOS 17, resolusi 390x844). Melalui teknik lazy-rendering dan penggunaan representasi geometri TopoJSON yang telah disederhanakan (simplifikasi kurva Douglas-Peucker toleransi 0,005), ukuran payload berkas spasial berhasil ditekan dari 48 MB menjadi hanya 2,8 MB. Waktu render awal (First Contentful Paint) tercatat di bawah 1,2 detik, dan animasi rotasi 3D Globe berjalan stabil pada kecepatan 60 frame per detik (fps). Dari segi aksesibilitas, seluruh elemen interaktif dilengkapi atribut ARIA (Accessible Rich Internet Applications), rasio kontras teks terhadap latar belakang melampaui standar WCAG 2.1 AA (rasio kontras 7,2:1), serta seluruh palet warna diverifikasi bebas dari kerancuan bagi penyandang buta warna tipe protanopia dan deuteranopia.</w:t>
      </w:r>
    </w:p>
    <w:p w14:paraId="3C428E63" w14:textId="77777777" w:rsidR="00BC0386" w:rsidRDefault="00000000">
      <w:pPr>
        <w:keepNext/>
        <w:spacing w:before="180" w:after="60"/>
      </w:pPr>
      <w:r>
        <w:rPr>
          <w:rFonts w:ascii="Times New Roman" w:hAnsi="Times New Roman"/>
          <w:b/>
          <w:i/>
          <w:sz w:val="19"/>
        </w:rPr>
        <w:t>E. Keterbatasan Penelitian</w:t>
      </w:r>
    </w:p>
    <w:p w14:paraId="605D4727" w14:textId="77777777" w:rsidR="00BC0386" w:rsidRDefault="00000000">
      <w:pPr>
        <w:spacing w:after="70" w:line="252" w:lineRule="auto"/>
        <w:ind w:firstLine="288"/>
        <w:jc w:val="both"/>
      </w:pPr>
      <w:r>
        <w:rPr>
          <w:rFonts w:ascii="Times New Roman" w:hAnsi="Times New Roman"/>
          <w:b/>
          <w:sz w:val="18"/>
        </w:rPr>
        <w:t xml:space="preserve">Keterbatasan Sistem: </w:t>
      </w:r>
      <w:r>
        <w:rPr>
          <w:rFonts w:ascii="Times New Roman" w:hAnsi="Times New Roman"/>
          <w:sz w:val="18"/>
        </w:rPr>
        <w:t>Penelitian ini memiliki beberapa keterbatasan metodologis yang perlu dicatat:</w:t>
      </w:r>
    </w:p>
    <w:p w14:paraId="757F7F2D" w14:textId="77777777" w:rsidR="00BC0386" w:rsidRDefault="00000000">
      <w:pPr>
        <w:spacing w:after="70" w:line="252" w:lineRule="auto"/>
        <w:ind w:firstLine="288"/>
        <w:jc w:val="both"/>
      </w:pPr>
      <w:r>
        <w:rPr>
          <w:rFonts w:ascii="Times New Roman" w:hAnsi="Times New Roman"/>
          <w:sz w:val="18"/>
        </w:rPr>
        <w:lastRenderedPageBreak/>
        <w:t>1) Resolusi Waktu Data Statistik: Data ekspor pelabuhan BPS dirilis dalam agregasi tahunan statis (2025). Akibatnya, sistem belum mampu menangkap fluktuasi musiman jangka pendek, seperti dampak fenomena cuaca basah (La Niña) terhadap penambangan batubara terbuka pada kuartal pertama dan keempat.</w:t>
      </w:r>
      <w:r>
        <w:rPr>
          <w:rFonts w:ascii="Times New Roman" w:hAnsi="Times New Roman"/>
          <w:sz w:val="18"/>
        </w:rPr>
        <w:br/>
        <w:t>2) Penyederhanaan Rute Geodetik Maritim: Rute pelayaran kargo pada Peta Arus Maritim 3D dimodelkan menggunakan busur lingkaran besar (great-circle geodesic arcs) matematis antara koordinat pelabuhan asal dan negara tujuan. Pada kenyataan fisiknya, kapal kargo harus menavigasi alur resmi Alur Laut Kepulauan Indonesia (ALKI I, II, dan III), Selat Malaka, serta koridor navigasi maritim internasional.</w:t>
      </w:r>
    </w:p>
    <w:p w14:paraId="373EE3A6" w14:textId="77777777" w:rsidR="00BC0386" w:rsidRDefault="00000000">
      <w:pPr>
        <w:keepNext/>
        <w:spacing w:before="260" w:after="80"/>
        <w:jc w:val="center"/>
      </w:pPr>
      <w:r>
        <w:rPr>
          <w:rFonts w:ascii="Times New Roman" w:hAnsi="Times New Roman"/>
          <w:b/>
          <w:sz w:val="20"/>
        </w:rPr>
        <w:t>V. Kesimpulan</w:t>
      </w:r>
    </w:p>
    <w:p w14:paraId="02B02C5A" w14:textId="77777777" w:rsidR="00BC0386" w:rsidRDefault="00000000">
      <w:pPr>
        <w:spacing w:after="70" w:line="252" w:lineRule="auto"/>
        <w:ind w:firstLine="288"/>
        <w:jc w:val="both"/>
      </w:pPr>
      <w:r>
        <w:rPr>
          <w:rFonts w:ascii="Times New Roman" w:hAnsi="Times New Roman"/>
          <w:sz w:val="18"/>
        </w:rPr>
        <w:t>Penelitian ini berhasil merancang, mengimplementasikan, dan mengevaluasi sistem visualisasi data terpadu 'Peta Pertambangan Nusantara' generasi kedua (Versi 2) yang merekonstruksi jejak mineral Indonesia dari struktur makroekonomi hingga dinamika logistik global. Dengan mengintegrasikan enam teknik visualisasi data lintas skala yang secara ketat memenuhi tiga topik minimal Lampiran A (Data Berhierarki melalui Treemap dan Sunburst, Data Geospasial melalui Choropleth Jenks dan Simbol Proporsional Flannery, serta Data Aliran melalui Diagram Sankey dan Peta Arus Maritim 3D Globe), sistem ini membuktikan keunggulan pendekatan visualisasi komputasional atas format diseminasi tabular statis. Penerapan estetika Minimalist Editorial dan prinsip persepsi visual Bertin, Cleveland-McGill, dan Tufte menghasilkan pengalaman eksplorasi data yang berdaya guna tinggi, mampu mengungkap fenomena enclave economy regional di Indonesia Timur serta ketergantungan oligopoli logistik pelabuhan ekspor maritim. Sistem ini diharapkan dapat menjadi rujukan metodologis bagi diseminasi data statistik resmi di lingkungan BPS dan lembaga publik lainnya.</w:t>
      </w:r>
    </w:p>
    <w:p w14:paraId="3BA23264" w14:textId="77777777" w:rsidR="00BC0386" w:rsidRDefault="00000000">
      <w:pPr>
        <w:keepNext/>
        <w:spacing w:before="260" w:after="80"/>
        <w:jc w:val="center"/>
      </w:pPr>
      <w:r>
        <w:rPr>
          <w:rFonts w:ascii="Times New Roman" w:hAnsi="Times New Roman"/>
          <w:b/>
          <w:sz w:val="20"/>
        </w:rPr>
        <w:t>Tautan Proyek dan Repositori</w:t>
      </w:r>
    </w:p>
    <w:p w14:paraId="5873FAEC" w14:textId="77777777" w:rsidR="00BC0386" w:rsidRDefault="00000000">
      <w:pPr>
        <w:spacing w:after="70" w:line="252" w:lineRule="auto"/>
        <w:ind w:firstLine="288"/>
        <w:jc w:val="both"/>
      </w:pPr>
      <w:r>
        <w:rPr>
          <w:rFonts w:ascii="Times New Roman" w:hAnsi="Times New Roman"/>
          <w:b/>
          <w:sz w:val="18"/>
        </w:rPr>
        <w:t xml:space="preserve">Akses Publik Daring: </w:t>
      </w:r>
      <w:r>
        <w:rPr>
          <w:rFonts w:ascii="Times New Roman" w:hAnsi="Times New Roman"/>
          <w:sz w:val="18"/>
        </w:rPr>
        <w:t>Sesuai dengan petunjuk nomor 3 dan nomor 5 lembar soal ujian, seluruh luaran produk aplikasi web visualisasi dan kode sumber dapat diakses secara terbuka melalui tautan berikut:</w:t>
      </w:r>
    </w:p>
    <w:p w14:paraId="746E2359" w14:textId="77777777" w:rsidR="00BC0386" w:rsidRDefault="00000000">
      <w:pPr>
        <w:spacing w:after="70" w:line="252" w:lineRule="auto"/>
        <w:ind w:firstLine="288"/>
        <w:jc w:val="both"/>
      </w:pPr>
      <w:r>
        <w:rPr>
          <w:rFonts w:ascii="Times New Roman" w:hAnsi="Times New Roman"/>
          <w:sz w:val="18"/>
        </w:rPr>
        <w:t>1) Alamat Publik Aplikasi Web (Data Storytelling &amp; Dasbor Interaktif Versi 2):</w:t>
      </w:r>
      <w:r>
        <w:rPr>
          <w:rFonts w:ascii="Times New Roman" w:hAnsi="Times New Roman"/>
          <w:sz w:val="18"/>
        </w:rPr>
        <w:br/>
        <w:t xml:space="preserve">   • Laman Data Storytelling (Versi 2): https://haykalps.github.io/uas-visdat-story/index_2.html</w:t>
      </w:r>
      <w:r>
        <w:rPr>
          <w:rFonts w:ascii="Times New Roman" w:hAnsi="Times New Roman"/>
          <w:sz w:val="18"/>
        </w:rPr>
        <w:br/>
        <w:t xml:space="preserve">   • Laman Dasbor Eksploratif (Versi 2): https://haykalps.github.io/uas-visdat-story/dashboard_2.html</w:t>
      </w:r>
      <w:r>
        <w:rPr>
          <w:rFonts w:ascii="Times New Roman" w:hAnsi="Times New Roman"/>
          <w:sz w:val="18"/>
        </w:rPr>
        <w:br/>
        <w:t xml:space="preserve">   • Tautan Alternatif (Server Lokal Pengujian): http://localhost:8000/dashboard_2.html</w:t>
      </w:r>
      <w:r>
        <w:rPr>
          <w:rFonts w:ascii="Times New Roman" w:hAnsi="Times New Roman"/>
          <w:sz w:val="18"/>
        </w:rPr>
        <w:br/>
        <w:t>2) Alamat Repositori Publik GitHub (Kode Sumber, Data Terolah, dan Dokumentasi README):</w:t>
      </w:r>
      <w:r>
        <w:rPr>
          <w:rFonts w:ascii="Times New Roman" w:hAnsi="Times New Roman"/>
          <w:sz w:val="18"/>
        </w:rPr>
        <w:br/>
        <w:t xml:space="preserve">   • Repositori Kode: https://github.com/haykalps/uas-visdat-story</w:t>
      </w:r>
      <w:r>
        <w:rPr>
          <w:rFonts w:ascii="Times New Roman" w:hAnsi="Times New Roman"/>
          <w:sz w:val="18"/>
        </w:rPr>
        <w:br/>
        <w:t xml:space="preserve">   • Lisensi: MIT License | Dokumentasi data processing dan instruksi replikasi tersedia lengkap pada README.md.</w:t>
      </w:r>
    </w:p>
    <w:p w14:paraId="404EF196" w14:textId="77777777" w:rsidR="00BC0386" w:rsidRDefault="00000000">
      <w:pPr>
        <w:keepNext/>
        <w:spacing w:before="260" w:after="80"/>
        <w:jc w:val="center"/>
      </w:pPr>
      <w:r>
        <w:rPr>
          <w:rFonts w:ascii="Times New Roman" w:hAnsi="Times New Roman"/>
          <w:b/>
          <w:sz w:val="20"/>
        </w:rPr>
        <w:t>Referensi</w:t>
      </w:r>
    </w:p>
    <w:p w14:paraId="2F96E2D5" w14:textId="77777777" w:rsidR="00BC0386" w:rsidRDefault="00000000">
      <w:pPr>
        <w:spacing w:after="50" w:line="240" w:lineRule="auto"/>
        <w:ind w:left="288" w:hanging="288"/>
        <w:jc w:val="both"/>
      </w:pPr>
      <w:r>
        <w:rPr>
          <w:rFonts w:ascii="Times New Roman" w:hAnsi="Times New Roman"/>
          <w:sz w:val="15"/>
        </w:rPr>
        <w:t>[1] J. Bertin, Semiology of Graphics: Diagrams, Networks, Maps, 1st ed. Madison, WI, USA: University of Wisconsin Press, 1983.</w:t>
      </w:r>
    </w:p>
    <w:p w14:paraId="4A88C8F7" w14:textId="77777777" w:rsidR="00BC0386" w:rsidRDefault="00000000">
      <w:pPr>
        <w:spacing w:after="50" w:line="240" w:lineRule="auto"/>
        <w:ind w:left="288" w:hanging="288"/>
        <w:jc w:val="both"/>
      </w:pPr>
      <w:r>
        <w:rPr>
          <w:rFonts w:ascii="Times New Roman" w:hAnsi="Times New Roman"/>
          <w:sz w:val="15"/>
        </w:rPr>
        <w:t>[2] W. S. Cleveland and R. McGill, "Graphical perception: Theory, experimentation, and application to the development of graphical methods," Journal of the American Statistical Association, vol. 79, no. 387, pp. 531–554, Sep. 1984. (Jurnal Internasional)</w:t>
      </w:r>
    </w:p>
    <w:p w14:paraId="7C927F6C" w14:textId="77777777" w:rsidR="00BC0386" w:rsidRDefault="00000000">
      <w:pPr>
        <w:spacing w:after="50" w:line="240" w:lineRule="auto"/>
        <w:ind w:left="288" w:hanging="288"/>
        <w:jc w:val="both"/>
      </w:pPr>
      <w:r>
        <w:rPr>
          <w:rFonts w:ascii="Times New Roman" w:hAnsi="Times New Roman"/>
          <w:sz w:val="15"/>
        </w:rPr>
        <w:t>[3] B. Shneiderman, "The eyes have it: A task by data type taxonomy for information visualizations," in Proc. IEEE Symposium on Visual Languages (VL '96), Boulder, CO, USA, 1996, pp. 336–343. (Konferensi Internasional IEEE)</w:t>
      </w:r>
    </w:p>
    <w:p w14:paraId="1B2F4E51" w14:textId="77777777" w:rsidR="00BC0386" w:rsidRDefault="00000000">
      <w:pPr>
        <w:spacing w:after="50" w:line="240" w:lineRule="auto"/>
        <w:ind w:left="288" w:hanging="288"/>
        <w:jc w:val="both"/>
      </w:pPr>
      <w:r>
        <w:rPr>
          <w:rFonts w:ascii="Times New Roman" w:hAnsi="Times New Roman"/>
          <w:sz w:val="15"/>
        </w:rPr>
        <w:t>[4] B. Johnson and B. Shneiderman, "Tree-maps: A space-filling approach to the visualization of hierarchical information structures," in Proc. IEEE Conference on Visualization (VIS '91), San Diego, CA, USA, 1991, pp. 284–291. (Konferensi Internasional IEEE)</w:t>
      </w:r>
    </w:p>
    <w:p w14:paraId="00DC4B7A" w14:textId="77777777" w:rsidR="00BC0386" w:rsidRDefault="00000000">
      <w:pPr>
        <w:spacing w:after="50" w:line="240" w:lineRule="auto"/>
        <w:ind w:left="288" w:hanging="288"/>
        <w:jc w:val="both"/>
      </w:pPr>
      <w:r>
        <w:rPr>
          <w:rFonts w:ascii="Times New Roman" w:hAnsi="Times New Roman"/>
          <w:sz w:val="15"/>
        </w:rPr>
        <w:t>[5] J. Stasko, R. Catrambone, M. Guzdial, and K. McDonald, "An evaluation of space-filling information visualizations for depicting hierarchical structures," International Journal of Human-Computer Studies, vol. 53, no. 5, pp. 663–694, Nov. 2000. (Jurnal Internasional)</w:t>
      </w:r>
    </w:p>
    <w:p w14:paraId="1E4836D4" w14:textId="77777777" w:rsidR="00BC0386" w:rsidRDefault="00000000">
      <w:pPr>
        <w:spacing w:after="50" w:line="240" w:lineRule="auto"/>
        <w:ind w:left="288" w:hanging="288"/>
        <w:jc w:val="both"/>
      </w:pPr>
      <w:r>
        <w:rPr>
          <w:rFonts w:ascii="Times New Roman" w:hAnsi="Times New Roman"/>
          <w:sz w:val="15"/>
        </w:rPr>
        <w:t>[6] J. J. Flannery, "The relative effectiveness of standard and modified proportional circle symbols for cartographic map communication," Cartographica: The International Journal for Geographic Information and Geovisualization, vol. 8, no. 2, pp. 96–109, Jun. 1971. (Jurnal Internasional)</w:t>
      </w:r>
    </w:p>
    <w:p w14:paraId="536C1CA3" w14:textId="77777777" w:rsidR="00BC0386" w:rsidRDefault="00000000">
      <w:pPr>
        <w:spacing w:after="50" w:line="240" w:lineRule="auto"/>
        <w:ind w:left="288" w:hanging="288"/>
        <w:jc w:val="both"/>
      </w:pPr>
      <w:r>
        <w:rPr>
          <w:rFonts w:ascii="Times New Roman" w:hAnsi="Times New Roman"/>
          <w:sz w:val="15"/>
        </w:rPr>
        <w:t>[7] G. F. Jenks, "The data model concept in statistical mapping," International Yearbook of Cartography, vol. 7, pp. 186–190, 1967.</w:t>
      </w:r>
    </w:p>
    <w:p w14:paraId="75937257" w14:textId="77777777" w:rsidR="00BC0386" w:rsidRDefault="00000000">
      <w:pPr>
        <w:spacing w:after="50" w:line="240" w:lineRule="auto"/>
        <w:ind w:left="288" w:hanging="288"/>
        <w:jc w:val="both"/>
      </w:pPr>
      <w:r>
        <w:rPr>
          <w:rFonts w:ascii="Times New Roman" w:hAnsi="Times New Roman"/>
          <w:sz w:val="15"/>
        </w:rPr>
        <w:t>[8] E. Segel and J. Heer, "Narrative visualization: Telling stories with data," IEEE Transactions on Visualization and Computer Graphics, vol. 16, no. 6, pp. 1139–1148, Nov.–Dec. 2010. (Jurnal Internasional IEEE)</w:t>
      </w:r>
    </w:p>
    <w:p w14:paraId="349662F3" w14:textId="77777777" w:rsidR="00BC0386" w:rsidRDefault="00000000">
      <w:pPr>
        <w:spacing w:after="50" w:line="240" w:lineRule="auto"/>
        <w:ind w:left="288" w:hanging="288"/>
        <w:jc w:val="both"/>
      </w:pPr>
      <w:r>
        <w:rPr>
          <w:rFonts w:ascii="Times New Roman" w:hAnsi="Times New Roman"/>
          <w:sz w:val="15"/>
        </w:rPr>
        <w:t>[9] J. Hullman and N. Diakopoulos, "Visualization rhetoric: Framing effects in narrative visualization," IEEE Transactions on Visualization and Computer Graphics, vol. 17, no. 12, pp. 2231–2240, Dec. 2011. (Jurnal Internasional IEEE)</w:t>
      </w:r>
    </w:p>
    <w:p w14:paraId="085EDB1F" w14:textId="77777777" w:rsidR="00BC0386" w:rsidRDefault="00000000">
      <w:pPr>
        <w:spacing w:after="50" w:line="240" w:lineRule="auto"/>
        <w:ind w:left="288" w:hanging="288"/>
        <w:jc w:val="both"/>
      </w:pPr>
      <w:r>
        <w:rPr>
          <w:rFonts w:ascii="Times New Roman" w:hAnsi="Times New Roman"/>
          <w:sz w:val="15"/>
        </w:rPr>
        <w:t>[10] M. Bostock, V. Ogievetsky, and J. Heer, "D³: Data-Driven Documents," IEEE Transactions on Visualization and Computer Graphics, vol. 17, no. 12, pp. 2301–2309, Dec. 2011. (Jurnal Internasional IEEE)</w:t>
      </w:r>
    </w:p>
    <w:p w14:paraId="3A08FBBE" w14:textId="77777777" w:rsidR="00BC0386" w:rsidRDefault="00000000">
      <w:pPr>
        <w:spacing w:after="50" w:line="240" w:lineRule="auto"/>
        <w:ind w:left="288" w:hanging="288"/>
        <w:jc w:val="both"/>
      </w:pPr>
      <w:r>
        <w:rPr>
          <w:rFonts w:ascii="Times New Roman" w:hAnsi="Times New Roman"/>
          <w:sz w:val="15"/>
        </w:rPr>
        <w:t>[11] Badan Pusat Statistik, Produk Domestik Bruto Indonesia Menurut Lapangan Usaha 2021–2025, Jakarta: BPS RI, 2025. [Daring]. Tersedia: https://www.bps.go.id. [Diakses: 15-Sep-2026].</w:t>
      </w:r>
    </w:p>
    <w:p w14:paraId="05AE8CCE" w14:textId="77777777" w:rsidR="00BC0386" w:rsidRDefault="00000000">
      <w:pPr>
        <w:spacing w:after="50" w:line="240" w:lineRule="auto"/>
        <w:ind w:left="288" w:hanging="288"/>
        <w:jc w:val="both"/>
      </w:pPr>
      <w:r>
        <w:rPr>
          <w:rFonts w:ascii="Times New Roman" w:hAnsi="Times New Roman"/>
          <w:sz w:val="15"/>
        </w:rPr>
        <w:t>[12] Badan Pusat Statistik, Statistik Perdagangan Luar Negeri Indonesia: Ekspor Komoditas Tambang Menurut Pelabuhan Muat dan Negara Tujuan 2025, Jakarta: BPS RI, 2025. [Daring]. Tersedia: https://www.bps.go.id. [Diakses: 18-Sep-2026].</w:t>
      </w:r>
    </w:p>
    <w:p w14:paraId="145C7A14" w14:textId="77777777" w:rsidR="00BC0386" w:rsidRDefault="00000000">
      <w:pPr>
        <w:spacing w:after="50" w:line="240" w:lineRule="auto"/>
        <w:ind w:left="288" w:hanging="288"/>
        <w:jc w:val="both"/>
      </w:pPr>
      <w:r>
        <w:rPr>
          <w:rFonts w:ascii="Times New Roman" w:hAnsi="Times New Roman"/>
          <w:sz w:val="15"/>
        </w:rPr>
        <w:t>[13] Badan Pusat Statistik, Produk Domestik Regional Bruto Kabupaten/Kota di Indonesia Menurut Lapangan Usaha 2021–2025, Jakarta: BPS RI, 2025. [Daring]. Tersedia: https://www.bps.go.id. [Diakses: 20-Sep-2026].</w:t>
      </w:r>
    </w:p>
    <w:p w14:paraId="3AC4106E" w14:textId="77777777" w:rsidR="00BC0386" w:rsidRDefault="00000000">
      <w:pPr>
        <w:spacing w:after="50" w:line="240" w:lineRule="auto"/>
        <w:ind w:left="288" w:hanging="288"/>
        <w:jc w:val="both"/>
      </w:pPr>
      <w:r>
        <w:rPr>
          <w:rFonts w:ascii="Times New Roman" w:hAnsi="Times New Roman"/>
          <w:sz w:val="15"/>
        </w:rPr>
        <w:t>[14] E. R. Tufte, The Visual Display of Quantitative Information, 2nd ed. Cheshire, CT, USA: Graphics Press, 2001.</w:t>
      </w:r>
    </w:p>
    <w:sectPr w:rsidR="00BC0386" w:rsidSect="00034616">
      <w:type w:val="continuous"/>
      <w:pgSz w:w="11909" w:h="16834"/>
      <w:pgMar w:top="1080" w:right="900" w:bottom="1440"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890806">
    <w:abstractNumId w:val="8"/>
  </w:num>
  <w:num w:numId="2" w16cid:durableId="1888031746">
    <w:abstractNumId w:val="6"/>
  </w:num>
  <w:num w:numId="3" w16cid:durableId="1965187559">
    <w:abstractNumId w:val="5"/>
  </w:num>
  <w:num w:numId="4" w16cid:durableId="1858812581">
    <w:abstractNumId w:val="4"/>
  </w:num>
  <w:num w:numId="5" w16cid:durableId="502860670">
    <w:abstractNumId w:val="7"/>
  </w:num>
  <w:num w:numId="6" w16cid:durableId="1210338632">
    <w:abstractNumId w:val="3"/>
  </w:num>
  <w:num w:numId="7" w16cid:durableId="2037733471">
    <w:abstractNumId w:val="2"/>
  </w:num>
  <w:num w:numId="8" w16cid:durableId="2122606573">
    <w:abstractNumId w:val="1"/>
  </w:num>
  <w:num w:numId="9" w16cid:durableId="932320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AC3"/>
    <w:rsid w:val="00983746"/>
    <w:rsid w:val="00AA1D8D"/>
    <w:rsid w:val="00B47730"/>
    <w:rsid w:val="00BC0386"/>
    <w:rsid w:val="00CA6DC7"/>
    <w:rsid w:val="00CB0664"/>
    <w:rsid w:val="00ED29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1EFB0"/>
  <w14:defaultImageDpi w14:val="300"/>
  <w15:docId w15:val="{B48C5D68-F198-481F-9DD0-071D06A0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5447</Words>
  <Characters>31053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Haykal Pasha Siregar</cp:lastModifiedBy>
  <cp:revision>4</cp:revision>
  <dcterms:created xsi:type="dcterms:W3CDTF">2013-12-23T23:15:00Z</dcterms:created>
  <dcterms:modified xsi:type="dcterms:W3CDTF">2026-10-04T03:11:00Z</dcterms:modified>
  <cp:category/>
</cp:coreProperties>
</file>