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7761DD" w:rsidP="00AE515E">
      <w:pPr>
        <w:jc w:val="both"/>
        <w:rPr>
          <w:lang w:val="en-US"/>
        </w:rPr>
      </w:pPr>
      <w:r w:rsidRPr="007761DD">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7761DD">
        <w:rPr>
          <w:lang w:val="en-US"/>
        </w:rPr>
        <w:fldChar w:fldCharType="begin"/>
      </w:r>
      <w:r w:rsidR="007E5CD2">
        <w:rPr>
          <w:lang w:val="en-US"/>
        </w:rPr>
        <w:instrText xml:space="preserve"> REF _Ref433795141 \h </w:instrText>
      </w:r>
      <w:r w:rsidR="007761DD">
        <w:rPr>
          <w:lang w:val="en-US"/>
        </w:rPr>
      </w:r>
      <w:r w:rsidR="007761DD">
        <w:rPr>
          <w:lang w:val="en-US"/>
        </w:rPr>
        <w:fldChar w:fldCharType="separate"/>
      </w:r>
      <w:r w:rsidR="004F3ABF" w:rsidRPr="007B5972">
        <w:rPr>
          <w:lang w:val="en-US"/>
        </w:rPr>
        <w:t xml:space="preserve">Fig. </w:t>
      </w:r>
      <w:r w:rsidR="004F3ABF">
        <w:rPr>
          <w:noProof/>
          <w:lang w:val="en-US"/>
        </w:rPr>
        <w:t>2</w:t>
      </w:r>
      <w:r w:rsidR="007761DD">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7761DD">
        <w:rPr>
          <w:lang w:val="en-US"/>
        </w:rPr>
        <w:fldChar w:fldCharType="begin"/>
      </w:r>
      <w:r>
        <w:rPr>
          <w:lang w:val="en-US"/>
        </w:rPr>
        <w:instrText xml:space="preserve"> REF _Ref433795141 \h </w:instrText>
      </w:r>
      <w:r w:rsidR="007761DD">
        <w:rPr>
          <w:lang w:val="en-US"/>
        </w:rPr>
      </w:r>
      <w:r w:rsidR="007761DD">
        <w:rPr>
          <w:lang w:val="en-US"/>
        </w:rPr>
        <w:fldChar w:fldCharType="separate"/>
      </w:r>
      <w:r w:rsidR="004F3ABF" w:rsidRPr="007B5972">
        <w:rPr>
          <w:lang w:val="en-US"/>
        </w:rPr>
        <w:t xml:space="preserve">Fig. </w:t>
      </w:r>
      <w:r w:rsidR="004F3ABF">
        <w:rPr>
          <w:noProof/>
          <w:lang w:val="en-US"/>
        </w:rPr>
        <w:t>2</w:t>
      </w:r>
      <w:r w:rsidR="007761DD">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7761DD" w:rsidP="00B96104">
      <w:pPr>
        <w:jc w:val="both"/>
        <w:rPr>
          <w:lang w:val="en-US"/>
        </w:rPr>
      </w:pPr>
      <w:r w:rsidRPr="007761DD">
        <w:rPr>
          <w:noProof/>
          <w:lang w:val="en-US" w:eastAsia="zh-TW"/>
        </w:rPr>
        <w:pict>
          <v:shape id="_x0000_s1027" type="#_x0000_t202" style="position:absolute;left:0;text-align:left;margin-left:.05pt;margin-top:484.5pt;width:462.5pt;height:299.25pt;z-index:251662336;mso-position-vertical-relative:page;mso-width-relative:margin;mso-height-relative:margin" stroked="f">
            <v:textbox style="mso-next-textbox:#_x0000_s1027">
              <w:txbxContent>
                <w:p w:rsidR="00A47A94" w:rsidRDefault="00770DC6" w:rsidP="001C7DAC">
                  <w:pPr>
                    <w:keepNext/>
                    <w:spacing w:after="0"/>
                    <w:jc w:val="center"/>
                    <w:rPr>
                      <w:lang w:val="en-US"/>
                    </w:rPr>
                  </w:pPr>
                  <w:r>
                    <w:rPr>
                      <w:noProof/>
                      <w:lang w:eastAsia="de-DE"/>
                    </w:rPr>
                    <w:drawing>
                      <wp:inline distT="0" distB="0" distL="0" distR="0">
                        <wp:extent cx="5686425" cy="3390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86425" cy="3390900"/>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7761DD">
                    <w:fldChar w:fldCharType="begin"/>
                  </w:r>
                  <w:r w:rsidRPr="007B5972">
                    <w:rPr>
                      <w:lang w:val="en-US"/>
                    </w:rPr>
                    <w:instrText xml:space="preserve"> SEQ Fig. \* ARABIC </w:instrText>
                  </w:r>
                  <w:r w:rsidR="007761DD">
                    <w:fldChar w:fldCharType="separate"/>
                  </w:r>
                  <w:r>
                    <w:rPr>
                      <w:noProof/>
                      <w:lang w:val="en-US"/>
                    </w:rPr>
                    <w:t>2</w:t>
                  </w:r>
                  <w:r w:rsidR="007761DD">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w:t>
      </w:r>
      <w:r w:rsidR="000F705B">
        <w:rPr>
          <w:lang w:val="en-US"/>
        </w:rPr>
        <w:lastRenderedPageBreak/>
        <w:t xml:space="preserve">configuration option. Operations on the respective configured element can be accessed through its context menu. </w:t>
      </w:r>
      <w:r w:rsidR="00A07744">
        <w:rPr>
          <w:lang w:val="en-US"/>
        </w:rPr>
        <w:t xml:space="preserve">This may include cloning the selected element. </w:t>
      </w:r>
      <w:r w:rsidR="00E421C2">
        <w:rPr>
          <w:lang w:val="en-US"/>
        </w:rPr>
        <w:t>Additional information on a configurable element is shown in the status bar</w:t>
      </w:r>
      <w:r w:rsidR="00093B99">
        <w:rPr>
          <w:lang w:val="en-US"/>
        </w:rPr>
        <w:t xml:space="preserve"> if the mouse is placed for a certain time over the element or (in case of table-based editors only) over </w:t>
      </w:r>
      <w:r w:rsidR="00E15529">
        <w:rPr>
          <w:lang w:val="en-US"/>
        </w:rPr>
        <w:t>its</w:t>
      </w:r>
      <w:r w:rsidR="00093B99">
        <w:rPr>
          <w:lang w:val="en-US"/>
        </w:rPr>
        <w:t xml:space="preserve"> label</w:t>
      </w:r>
      <w:r w:rsidR="00E421C2">
        <w:rPr>
          <w:lang w:val="en-US"/>
        </w:rPr>
        <w:t xml:space="preserve">.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7761DD">
        <w:rPr>
          <w:lang w:val="en-US"/>
        </w:rPr>
        <w:fldChar w:fldCharType="begin"/>
      </w:r>
      <w:r w:rsidR="00FE3DBB">
        <w:rPr>
          <w:lang w:val="en-US"/>
        </w:rPr>
        <w:instrText xml:space="preserve"> REF _Ref433798396 \h </w:instrText>
      </w:r>
      <w:r w:rsidR="007761DD">
        <w:rPr>
          <w:lang w:val="en-US"/>
        </w:rPr>
      </w:r>
      <w:r w:rsidR="007761DD">
        <w:rPr>
          <w:lang w:val="en-US"/>
        </w:rPr>
        <w:fldChar w:fldCharType="separate"/>
      </w:r>
      <w:r w:rsidR="004F3ABF" w:rsidRPr="00435828">
        <w:rPr>
          <w:lang w:val="en-US"/>
        </w:rPr>
        <w:t xml:space="preserve">Fig. </w:t>
      </w:r>
      <w:r w:rsidR="004F3ABF">
        <w:rPr>
          <w:noProof/>
          <w:lang w:val="en-US"/>
        </w:rPr>
        <w:t>3</w:t>
      </w:r>
      <w:r w:rsidR="007761DD">
        <w:rPr>
          <w:lang w:val="en-US"/>
        </w:rPr>
        <w:fldChar w:fldCharType="end"/>
      </w:r>
      <w:r w:rsidR="00FE3DBB">
        <w:rPr>
          <w:lang w:val="en-US"/>
        </w:rPr>
        <w:t>.</w:t>
      </w:r>
      <w:r w:rsidR="00B47335">
        <w:rPr>
          <w:lang w:val="en-US"/>
        </w:rPr>
        <w:t xml:space="preserve"> </w:t>
      </w:r>
      <w:r w:rsidR="00E71EC6">
        <w:rPr>
          <w:lang w:val="en-US"/>
        </w:rPr>
        <w:t xml:space="preserve">Constraints are specified in the extended Object Constraint Language used for defining </w:t>
      </w:r>
      <w:r w:rsidR="00E71EC6">
        <w:rPr>
          <w:lang w:val="en-US"/>
        </w:rPr>
        <w:lastRenderedPageBreak/>
        <w:t>constraints in the Integrated Variability Modeling Language IVML of the underlying product line toolset EASy-Producer</w:t>
      </w:r>
      <w:r w:rsidR="00E71EC6">
        <w:rPr>
          <w:rStyle w:val="FootnoteReference"/>
          <w:lang w:val="en-US"/>
        </w:rPr>
        <w:footnoteReference w:id="10"/>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7761DD" w:rsidP="00B96104">
      <w:pPr>
        <w:pStyle w:val="ListParagraph"/>
        <w:numPr>
          <w:ilvl w:val="0"/>
          <w:numId w:val="5"/>
        </w:numPr>
        <w:jc w:val="both"/>
        <w:rPr>
          <w:lang w:val="en-US"/>
        </w:rPr>
      </w:pPr>
      <w:r w:rsidRPr="007761DD">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7761DD">
                    <w:fldChar w:fldCharType="begin"/>
                  </w:r>
                  <w:r w:rsidRPr="00435828">
                    <w:rPr>
                      <w:lang w:val="en-US"/>
                    </w:rPr>
                    <w:instrText xml:space="preserve"> SEQ Fig. \* ARABIC </w:instrText>
                  </w:r>
                  <w:r w:rsidR="007761DD">
                    <w:fldChar w:fldCharType="separate"/>
                  </w:r>
                  <w:r>
                    <w:rPr>
                      <w:noProof/>
                      <w:lang w:val="en-US"/>
                    </w:rPr>
                    <w:t>3</w:t>
                  </w:r>
                  <w:r w:rsidR="007761DD">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 xml:space="preserve">the (target) artifact containing all pipeline interfaces, the (target) model artifact containing the actual deployed version of the </w:t>
      </w:r>
      <w:r w:rsidR="003356BB">
        <w:rPr>
          <w:lang w:val="en-US"/>
        </w:rPr>
        <w:lastRenderedPageBreak/>
        <w:t>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70DC6" w:rsidRDefault="00770DC6" w:rsidP="00B96104">
      <w:pPr>
        <w:jc w:val="both"/>
        <w:rPr>
          <w:lang w:val="en-US"/>
        </w:rPr>
      </w:pPr>
      <w:r>
        <w:rPr>
          <w:lang w:val="en-US"/>
        </w:rPr>
        <w:t xml:space="preserve">Please note further that in the menu bar of the application, the entries of the runtime menu may be disabled in demo mode while they are available in all other modes. </w:t>
      </w:r>
      <w:r w:rsidR="00CC119D">
        <w:rPr>
          <w:lang w:val="en-US"/>
        </w:rPr>
        <w:t>Furthermore, configuration tree entries such as Observables, Adaptation or Runtime may not be visible</w:t>
      </w:r>
      <w:r w:rsidR="009C1FE7">
        <w:rPr>
          <w:lang w:val="en-US"/>
        </w:rPr>
        <w:t xml:space="preserve"> in demo mode</w:t>
      </w:r>
      <w:r w:rsidR="00CC119D">
        <w:rPr>
          <w:lang w:val="en-US"/>
        </w:rPr>
        <w:t>.</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lastRenderedPageBreak/>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lastRenderedPageBreak/>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lastRenderedPageBreak/>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DB2" w:rsidRDefault="00607DB2" w:rsidP="00AE515E">
      <w:pPr>
        <w:spacing w:after="0"/>
      </w:pPr>
      <w:r>
        <w:separator/>
      </w:r>
    </w:p>
  </w:endnote>
  <w:endnote w:type="continuationSeparator" w:id="0">
    <w:p w:rsidR="00607DB2" w:rsidRDefault="00607DB2"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7761DD">
          <w:rPr>
            <w:b/>
            <w:sz w:val="24"/>
            <w:szCs w:val="24"/>
          </w:rPr>
          <w:fldChar w:fldCharType="begin"/>
        </w:r>
        <w:r>
          <w:rPr>
            <w:b/>
          </w:rPr>
          <w:instrText xml:space="preserve"> PAGE </w:instrText>
        </w:r>
        <w:r w:rsidR="007761DD">
          <w:rPr>
            <w:b/>
            <w:sz w:val="24"/>
            <w:szCs w:val="24"/>
          </w:rPr>
          <w:fldChar w:fldCharType="separate"/>
        </w:r>
        <w:r w:rsidR="00E15529">
          <w:rPr>
            <w:b/>
            <w:noProof/>
          </w:rPr>
          <w:t>4</w:t>
        </w:r>
        <w:r w:rsidR="007761DD">
          <w:rPr>
            <w:b/>
            <w:sz w:val="24"/>
            <w:szCs w:val="24"/>
          </w:rPr>
          <w:fldChar w:fldCharType="end"/>
        </w:r>
        <w:r>
          <w:t xml:space="preserve"> </w:t>
        </w:r>
        <w:proofErr w:type="spellStart"/>
        <w:r>
          <w:t>of</w:t>
        </w:r>
        <w:proofErr w:type="spellEnd"/>
        <w:r>
          <w:t xml:space="preserve"> </w:t>
        </w:r>
        <w:r w:rsidR="007761DD">
          <w:rPr>
            <w:b/>
            <w:sz w:val="24"/>
            <w:szCs w:val="24"/>
          </w:rPr>
          <w:fldChar w:fldCharType="begin"/>
        </w:r>
        <w:r>
          <w:rPr>
            <w:b/>
          </w:rPr>
          <w:instrText xml:space="preserve"> NUMPAGES  </w:instrText>
        </w:r>
        <w:r w:rsidR="007761DD">
          <w:rPr>
            <w:b/>
            <w:sz w:val="24"/>
            <w:szCs w:val="24"/>
          </w:rPr>
          <w:fldChar w:fldCharType="separate"/>
        </w:r>
        <w:r w:rsidR="00E15529">
          <w:rPr>
            <w:b/>
            <w:noProof/>
          </w:rPr>
          <w:t>9</w:t>
        </w:r>
        <w:r w:rsidR="007761DD">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DB2" w:rsidRDefault="00607DB2" w:rsidP="00AE515E">
      <w:pPr>
        <w:spacing w:after="0"/>
      </w:pPr>
      <w:r>
        <w:separator/>
      </w:r>
    </w:p>
  </w:footnote>
  <w:footnote w:type="continuationSeparator" w:id="0">
    <w:p w:rsidR="00607DB2" w:rsidRDefault="00607DB2"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hyperlink r:id="rId1" w:history="1">
        <w:r w:rsidRPr="0076577C">
          <w:rPr>
            <w:rStyle w:val="Hyperlink"/>
            <w:lang w:val="en-US"/>
          </w:rPr>
          <w:t>http://qualimaster.eu</w:t>
        </w:r>
      </w:hyperlink>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hyperlink r:id="rId2" w:history="1">
        <w:r w:rsidRPr="0076577C">
          <w:rPr>
            <w:rStyle w:val="Hyperlink"/>
            <w:rFonts w:ascii="Consolas" w:hAnsi="Consolas" w:cs="Consolas"/>
            <w:lang w:val="en-US"/>
          </w:rPr>
          <w:t>https://projects.sse.uni-hildesheim.de/qm/confApp/demo/QMConfigApp-win32-0.8.0-DEMO.zip</w:t>
        </w:r>
      </w:hyperlink>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hyperlink r:id="rId3" w:history="1">
        <w:r w:rsidRPr="00AF0990">
          <w:rPr>
            <w:rStyle w:val="Hyperlink"/>
            <w:lang w:val="en-US"/>
          </w:rPr>
          <w:t>https://maven.apache.org/</w:t>
        </w:r>
      </w:hyperlink>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hyperlink r:id="rId4" w:history="1">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hyperlink>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hyperlink r:id="rId5" w:history="1">
        <w:r w:rsidR="00FA27C3" w:rsidRPr="0076577C">
          <w:rPr>
            <w:rStyle w:val="Hyperlink"/>
            <w:lang w:val="en-US"/>
          </w:rPr>
          <w:t>https://github.com/SSEHUB/EASyProducer</w:t>
        </w:r>
      </w:hyperlink>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335FE"/>
    <w:rsid w:val="00036E06"/>
    <w:rsid w:val="00046316"/>
    <w:rsid w:val="000573EE"/>
    <w:rsid w:val="00087B63"/>
    <w:rsid w:val="00087FDE"/>
    <w:rsid w:val="00093B99"/>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3830"/>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07DB2"/>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0958"/>
    <w:rsid w:val="006D5025"/>
    <w:rsid w:val="006E416F"/>
    <w:rsid w:val="006F1A92"/>
    <w:rsid w:val="006F3EAC"/>
    <w:rsid w:val="007224D1"/>
    <w:rsid w:val="00736F9F"/>
    <w:rsid w:val="00743A52"/>
    <w:rsid w:val="00751408"/>
    <w:rsid w:val="00752AAD"/>
    <w:rsid w:val="00754532"/>
    <w:rsid w:val="0075596C"/>
    <w:rsid w:val="00760ADB"/>
    <w:rsid w:val="00770DC6"/>
    <w:rsid w:val="007761DD"/>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8751D"/>
    <w:rsid w:val="00B95782"/>
    <w:rsid w:val="00B96104"/>
    <w:rsid w:val="00BA25EB"/>
    <w:rsid w:val="00BB1938"/>
    <w:rsid w:val="00BB285E"/>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C119D"/>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6730"/>
    <w:rsid w:val="00DA4772"/>
    <w:rsid w:val="00DB5145"/>
    <w:rsid w:val="00DF510D"/>
    <w:rsid w:val="00DF6799"/>
    <w:rsid w:val="00E15529"/>
    <w:rsid w:val="00E222D2"/>
    <w:rsid w:val="00E40603"/>
    <w:rsid w:val="00E41C09"/>
    <w:rsid w:val="00E421C2"/>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B02"/>
    <w:rsid w:val="00F44DC0"/>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aven.apache.org/" TargetMode="External"/><Relationship Id="rId2" Type="http://schemas.openxmlformats.org/officeDocument/2006/relationships/hyperlink" Target="https://projects.sse.uni-hildesheim.de/qm/confApp/demo/QMConfigApp-win32-0.8.0-DEMO.zip" TargetMode="External"/><Relationship Id="rId1" Type="http://schemas.openxmlformats.org/officeDocument/2006/relationships/hyperlink" Target="http://qualimaster.eu" TargetMode="External"/><Relationship Id="rId5" Type="http://schemas.openxmlformats.org/officeDocument/2006/relationships/hyperlink" Target="https://github.com/SSEHUB/EASyProducer" TargetMode="External"/><Relationship Id="rId4" Type="http://schemas.openxmlformats.org/officeDocument/2006/relationships/hyperlink" Target="http://storm.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806B5-FED3-44C7-AE5E-6210FC47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275</cp:revision>
  <cp:lastPrinted>2015-11-03T13:19:00Z</cp:lastPrinted>
  <dcterms:created xsi:type="dcterms:W3CDTF">2015-10-28T08:05:00Z</dcterms:created>
  <dcterms:modified xsi:type="dcterms:W3CDTF">2016-01-06T09:04:00Z</dcterms:modified>
</cp:coreProperties>
</file>