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011680" cy="649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manasoft new log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49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color w:val="0A0A0A"/>
        </w:rPr>
        <w:t>Architecture — Multi-Agent + MCP</w:t>
      </w:r>
    </w:p>
    <w:p>
      <w:r>
        <w:rPr>
          <w:b/>
          <w:color w:val="F97316"/>
          <w:sz w:val="24"/>
        </w:rPr>
        <w:t>ERP AI Agent Testing Suite v2 · RamanaSoft Consulting Services</w:t>
      </w:r>
    </w:p>
    <w:p>
      <w:r>
        <w:rPr>
          <w:i/>
          <w:color w:val="525252"/>
          <w:sz w:val="18"/>
        </w:rPr>
        <w:t>OFFICIAL NOTE — This document is issued by RamanaSoft Consulting Services (https://ramanasoft.com) as part of the ERP Multi-Agent + MCP Testing Program.</w:t>
      </w:r>
    </w:p>
    <w:p/>
    <w:p>
      <w:pPr>
        <w:pStyle w:val="Heading1"/>
      </w:pPr>
      <w:r>
        <w:t>1. High-Level Flow</w:t>
      </w:r>
    </w:p>
    <w:p>
      <w:r>
        <w:t>User / UI (request_id) → Guardrail (pre) → Orchestrator (route / parallel fan-out) → Domain Agents → MCP Tool Layer (schema validate) → Mock ERP → Structured logs (trace_id, span_id, agent_id).</w:t>
      </w:r>
    </w:p>
    <w:p>
      <w:pPr>
        <w:pStyle w:val="Heading1"/>
      </w:pPr>
      <w:r>
        <w:t>2. Modes</w:t>
      </w:r>
    </w:p>
    <w:p>
      <w:r>
        <w:t>SINGLE: User selects one domain; only DOMAIN_TOOLS[domain] are callable; ideal for isolation tests.</w:t>
        <w:br/>
        <w:t>MULTI: detect_intents() may return multiple domains; ThreadPoolExecutor runs independent agents in parallel; results merged into one response and one trace.</w:t>
      </w:r>
    </w:p>
    <w:p>
      <w:pPr>
        <w:pStyle w:val="Heading1"/>
      </w:pPr>
      <w:r>
        <w:t>3. Identity &amp; Logs</w:t>
      </w:r>
    </w:p>
    <w:p>
      <w:pPr>
        <w:pStyle w:val="ListBullet"/>
      </w:pPr>
      <w:r>
        <w:t>request_id — external, shareable UI link</w:t>
      </w:r>
    </w:p>
    <w:p>
      <w:pPr>
        <w:pStyle w:val="ListBullet"/>
      </w:pPr>
      <w:r>
        <w:t>trace_id — correlates all spans in the request</w:t>
      </w:r>
    </w:p>
    <w:p>
      <w:pPr>
        <w:pStyle w:val="ListBullet"/>
      </w:pPr>
      <w:r>
        <w:t>span_id — one tool or agent step</w:t>
      </w:r>
    </w:p>
    <w:p>
      <w:pPr>
        <w:pStyle w:val="ListBullet"/>
      </w:pPr>
      <w:r>
        <w:t>agent_id — orchestrator | inventory | procurement | sales | finance | guardrail</w:t>
      </w:r>
    </w:p>
    <w:p>
      <w:pPr>
        <w:pStyle w:val="ListBullet"/>
      </w:pPr>
      <w:r>
        <w:t>error_code — e.g. APPROVAL_LIMIT_EXCEEDED, MCP_VALIDATION_ERROR, UNAUTHORIZED_TOOL</w:t>
      </w:r>
    </w:p>
    <w:p>
      <w:pPr>
        <w:pStyle w:val="Heading1"/>
      </w:pPr>
      <w:r>
        <w:t>4. Repository Map</w:t>
      </w:r>
    </w:p>
    <w:p>
      <w:pPr>
        <w:pStyle w:val="ListBullet"/>
      </w:pPr>
      <w:r>
        <w:t>app/multi_agent/orchestrator.py — v2 single/multi + MCP façade</w:t>
      </w:r>
    </w:p>
    <w:p>
      <w:pPr>
        <w:pStyle w:val="ListBullet"/>
      </w:pPr>
      <w:r>
        <w:t>app/ui.py — Architecture switcher + domain selector + traces</w:t>
      </w:r>
    </w:p>
    <w:p>
      <w:pPr>
        <w:pStyle w:val="ListBullet"/>
      </w:pPr>
      <w:r>
        <w:t>app/agent_core.py — v1 legacy + shared mock data</w:t>
      </w:r>
    </w:p>
    <w:p>
      <w:pPr>
        <w:pStyle w:val="ListBullet"/>
      </w:pPr>
      <w:r>
        <w:t>docs/prd/*.docx — Official PRD</w:t>
      </w:r>
    </w:p>
    <w:p>
      <w:pPr>
        <w:pStyle w:val="ListBullet"/>
      </w:pPr>
      <w:r>
        <w:t>docs/domain_knowledge/*.docx — Domain pack</w:t>
      </w:r>
    </w:p>
    <w:p>
      <w:pPr>
        <w:pStyle w:val="ListBullet"/>
      </w:pPr>
      <w:r>
        <w:t>docs/reports/ — Metrics &amp; strategy</w:t>
      </w:r>
    </w:p>
    <w:p>
      <w:pPr>
        <w:pStyle w:val="Heading1"/>
      </w:pPr>
      <w:r>
        <w:t>5. Official Issuance</w:t>
      </w:r>
    </w:p>
    <w:p>
      <w:r>
        <w:t>Architecture owned by RamanaSoft Consulting Services. Website: https://ramanasoft.com.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5252"/>
        <w:sz w:val="16"/>
      </w:rPr>
      <w:t>RamanaSoft Consulting Services  ·  Official Document  ·  ramanasoft.com  ·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