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011680" cy="6499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manasoft new logo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649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color w:val="0A0A0A"/>
        </w:rPr>
        <w:t>Product Requirements Document (PRD)</w:t>
      </w:r>
    </w:p>
    <w:p>
      <w:r>
        <w:rPr>
          <w:b/>
          <w:color w:val="F97316"/>
          <w:sz w:val="24"/>
        </w:rPr>
        <w:t>Multi-Agent ERP Assistant with Model Context Protocol (MCP)  ·  Version 2.0</w:t>
      </w:r>
    </w:p>
    <w:p>
      <w:r>
        <w:rPr>
          <w:i/>
          <w:color w:val="525252"/>
          <w:sz w:val="18"/>
        </w:rPr>
        <w:t>OFFICIAL NOTE — This document is issued by RamanaSoft Consulting Services (https://ramanasoft.com) as part of the ERP Multi-Agent + MCP Testing Program.</w:t>
      </w:r>
    </w:p>
    <w:p/>
    <w:p>
      <w:pPr>
        <w:pStyle w:val="Heading1"/>
      </w:pPr>
      <w:r>
        <w:t>1. Executive Summary</w:t>
      </w:r>
    </w:p>
    <w:p>
      <w:r>
        <w:t>RamanaSoft is evolving the ERP AI assistant from a single monolithic agent into a multi-agent system with MCP-standardized tools. Specialized agents (Inventory, Procurement, Sales, Finance, Guardrail) are coordinated by an Orchestrator. Complex user prompts can invoke multiple agents in parallel. Single-agent mode locks execution to one domain for isolation testing.</w:t>
      </w:r>
    </w:p>
    <w:p>
      <w:pPr>
        <w:pStyle w:val="Heading1"/>
      </w:pPr>
      <w:r>
        <w:t>2. Problem Statement</w:t>
      </w:r>
    </w:p>
    <w:p>
      <w:pPr>
        <w:pStyle w:val="ListBullet"/>
      </w:pPr>
      <w:r>
        <w:t>One agent owning 12+ cross-domain tools increases regression risk.</w:t>
      </w:r>
    </w:p>
    <w:p>
      <w:pPr>
        <w:pStyle w:val="ListBullet"/>
      </w:pPr>
      <w:r>
        <w:t>Unclear handoffs between procurement, sales, and finance cause policy bugs.</w:t>
      </w:r>
    </w:p>
    <w:p>
      <w:pPr>
        <w:pStyle w:val="ListBullet"/>
      </w:pPr>
      <w:r>
        <w:t>Custom adapters slow integration of new ERP modules.</w:t>
      </w:r>
    </w:p>
    <w:p>
      <w:pPr>
        <w:pStyle w:val="ListBullet"/>
      </w:pPr>
      <w:r>
        <w:t>Traces mix domains, making compliance reviews expensive.</w:t>
      </w:r>
    </w:p>
    <w:p>
      <w:pPr>
        <w:pStyle w:val="Heading1"/>
      </w:pPr>
      <w:r>
        <w:t>3. Goals</w:t>
      </w:r>
    </w:p>
    <w:p>
      <w:pPr>
        <w:pStyle w:val="ListNumber"/>
      </w:pPr>
      <w:r>
        <w:t>Decompose into specialized agents with clear contracts.</w:t>
      </w:r>
    </w:p>
    <w:p>
      <w:pPr>
        <w:pStyle w:val="ListNumber"/>
      </w:pPr>
      <w:r>
        <w:t>Adopt MCP for discoverable, schema-validated, swappable tools.</w:t>
      </w:r>
    </w:p>
    <w:p>
      <w:pPr>
        <w:pStyle w:val="ListNumber"/>
      </w:pPr>
      <w:r>
        <w:t>Support Single-Agent mode (one domain only) and Multi-Agent mode (parallel when needed).</w:t>
      </w:r>
    </w:p>
    <w:p>
      <w:pPr>
        <w:pStyle w:val="ListNumber"/>
      </w:pPr>
      <w:r>
        <w:t>Preserve safety gates: draft-only, approval limits, injection resistance.</w:t>
      </w:r>
    </w:p>
    <w:p>
      <w:pPr>
        <w:pStyle w:val="ListNumber"/>
      </w:pPr>
      <w:r>
        <w:t>Full observability: request_id, trace_id, span_id per agent/tool.</w:t>
      </w:r>
    </w:p>
    <w:p>
      <w:pPr>
        <w:pStyle w:val="Heading1"/>
      </w:pPr>
      <w:r>
        <w:t>4. Why Multi-Agent?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Benefit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Separation of concerns</w:t>
            </w:r>
          </w:p>
        </w:tc>
        <w:tc>
          <w:tcPr>
            <w:tcW w:type="dxa" w:w="4320"/>
          </w:tcPr>
          <w:p>
            <w:r>
              <w:t>Inventory never creates SOs; Finance is read-only by design.</w:t>
            </w:r>
          </w:p>
        </w:tc>
      </w:tr>
      <w:tr>
        <w:tc>
          <w:tcPr>
            <w:tcW w:type="dxa" w:w="4320"/>
          </w:tcPr>
          <w:p>
            <w:r>
              <w:t>Smaller toolsets</w:t>
            </w:r>
          </w:p>
        </w:tc>
        <w:tc>
          <w:tcPr>
            <w:tcW w:type="dxa" w:w="4320"/>
          </w:tcPr>
          <w:p>
            <w:r>
              <w:t>3–5 tools per agent → higher tool-selection accuracy.</w:t>
            </w:r>
          </w:p>
        </w:tc>
      </w:tr>
      <w:tr>
        <w:tc>
          <w:tcPr>
            <w:tcW w:type="dxa" w:w="4320"/>
          </w:tcPr>
          <w:p>
            <w:r>
              <w:t>Parallelism</w:t>
            </w:r>
          </w:p>
        </w:tc>
        <w:tc>
          <w:tcPr>
            <w:tcW w:type="dxa" w:w="4320"/>
          </w:tcPr>
          <w:p>
            <w:r>
              <w:t>Orchestrator fans out independent checks (e.g. Sales + Procurement).</w:t>
            </w:r>
          </w:p>
        </w:tc>
      </w:tr>
      <w:tr>
        <w:tc>
          <w:tcPr>
            <w:tcW w:type="dxa" w:w="4320"/>
          </w:tcPr>
          <w:p>
            <w:r>
              <w:t>Safer blast radius</w:t>
            </w:r>
          </w:p>
        </w:tc>
        <w:tc>
          <w:tcPr>
            <w:tcW w:type="dxa" w:w="4320"/>
          </w:tcPr>
          <w:p>
            <w:r>
              <w:t>Compromised sales tools cannot call procurement writes.</w:t>
            </w:r>
          </w:p>
        </w:tc>
      </w:tr>
    </w:tbl>
    <w:p>
      <w:pPr>
        <w:pStyle w:val="Heading1"/>
      </w:pPr>
      <w:r>
        <w:t>5. Why MCP?</w:t>
      </w:r>
    </w:p>
    <w:p>
      <w:r>
        <w:t>Model Context Protocol standardizes tool discovery, JSON Schema validation, and resource access. In this project MCP is an in-process façade (mock ERP) with the same contracts as future out-of-process MCP servers (SAP/Oracle adapters).</w:t>
      </w:r>
    </w:p>
    <w:p>
      <w:pPr>
        <w:pStyle w:val="Heading1"/>
      </w:pPr>
      <w:r>
        <w:t>6. Agents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Agent</w:t>
            </w:r>
          </w:p>
        </w:tc>
        <w:tc>
          <w:tcPr>
            <w:tcW w:type="dxa" w:w="2880"/>
          </w:tcPr>
          <w:p>
            <w:r>
              <w:t>Responsibility</w:t>
            </w:r>
          </w:p>
        </w:tc>
        <w:tc>
          <w:tcPr>
            <w:tcW w:type="dxa" w:w="2880"/>
          </w:tcPr>
          <w:p>
            <w:r>
              <w:t>Write actions</w:t>
            </w:r>
          </w:p>
        </w:tc>
      </w:tr>
      <w:tr>
        <w:tc>
          <w:tcPr>
            <w:tcW w:type="dxa" w:w="2880"/>
          </w:tcPr>
          <w:p>
            <w:r>
              <w:t>Orchestrator</w:t>
            </w:r>
          </w:p>
        </w:tc>
        <w:tc>
          <w:tcPr>
            <w:tcW w:type="dxa" w:w="2880"/>
          </w:tcPr>
          <w:p>
            <w:r>
              <w:t>Route, plan, fan-out, merge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</w:tr>
      <w:tr>
        <w:tc>
          <w:tcPr>
            <w:tcW w:type="dxa" w:w="2880"/>
          </w:tcPr>
          <w:p>
            <w:r>
              <w:t>InventoryAgent</w:t>
            </w:r>
          </w:p>
        </w:tc>
        <w:tc>
          <w:tcPr>
            <w:tcW w:type="dxa" w:w="2880"/>
          </w:tcPr>
          <w:p>
            <w:r>
              <w:t>Stock, reorder, locations</w:t>
            </w:r>
          </w:p>
        </w:tc>
        <w:tc>
          <w:tcPr>
            <w:tcW w:type="dxa" w:w="2880"/>
          </w:tcPr>
          <w:p>
            <w:r>
              <w:t>None (read)</w:t>
            </w:r>
          </w:p>
        </w:tc>
      </w:tr>
      <w:tr>
        <w:tc>
          <w:tcPr>
            <w:tcW w:type="dxa" w:w="2880"/>
          </w:tcPr>
          <w:p>
            <w:r>
              <w:t>ProcurementAgent</w:t>
            </w:r>
          </w:p>
        </w:tc>
        <w:tc>
          <w:tcPr>
            <w:tcW w:type="dxa" w:w="2880"/>
          </w:tcPr>
          <w:p>
            <w:r>
              <w:t>Vendor, price, draft PO</w:t>
            </w:r>
          </w:p>
        </w:tc>
        <w:tc>
          <w:tcPr>
            <w:tcW w:type="dxa" w:w="2880"/>
          </w:tcPr>
          <w:p>
            <w:r>
              <w:t>Draft PO only</w:t>
            </w:r>
          </w:p>
        </w:tc>
      </w:tr>
      <w:tr>
        <w:tc>
          <w:tcPr>
            <w:tcW w:type="dxa" w:w="2880"/>
          </w:tcPr>
          <w:p>
            <w:r>
              <w:t>SalesAgent</w:t>
            </w:r>
          </w:p>
        </w:tc>
        <w:tc>
          <w:tcPr>
            <w:tcW w:type="dxa" w:w="2880"/>
          </w:tcPr>
          <w:p>
            <w:r>
              <w:t>Customer, ATP, credit, draft SO</w:t>
            </w:r>
          </w:p>
        </w:tc>
        <w:tc>
          <w:tcPr>
            <w:tcW w:type="dxa" w:w="2880"/>
          </w:tcPr>
          <w:p>
            <w:r>
              <w:t>Draft SO only</w:t>
            </w:r>
          </w:p>
        </w:tc>
      </w:tr>
      <w:tr>
        <w:tc>
          <w:tcPr>
            <w:tcW w:type="dxa" w:w="2880"/>
          </w:tcPr>
          <w:p>
            <w:r>
              <w:t>FinanceAgent</w:t>
            </w:r>
          </w:p>
        </w:tc>
        <w:tc>
          <w:tcPr>
            <w:tcW w:type="dxa" w:w="2880"/>
          </w:tcPr>
          <w:p>
            <w:r>
              <w:t>Open AR/AP invoices</w:t>
            </w:r>
          </w:p>
        </w:tc>
        <w:tc>
          <w:tcPr>
            <w:tcW w:type="dxa" w:w="2880"/>
          </w:tcPr>
          <w:p>
            <w:r>
              <w:t>None (read-only)</w:t>
            </w:r>
          </w:p>
        </w:tc>
      </w:tr>
      <w:tr>
        <w:tc>
          <w:tcPr>
            <w:tcW w:type="dxa" w:w="2880"/>
          </w:tcPr>
          <w:p>
            <w:r>
              <w:t>GuardrailAgent</w:t>
            </w:r>
          </w:p>
        </w:tc>
        <w:tc>
          <w:tcPr>
            <w:tcW w:type="dxa" w:w="2880"/>
          </w:tcPr>
          <w:p>
            <w:r>
              <w:t>Injection / leakage / autonomy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</w:tr>
    </w:tbl>
    <w:p>
      <w:pPr>
        <w:pStyle w:val="Heading1"/>
      </w:pPr>
      <w:r>
        <w:t>7. UI Modes (Requirement)</w:t>
      </w:r>
    </w:p>
    <w:p>
      <w:r>
        <w:t>The official testing UI MUST expose: (1) Multi-Agent + MCP mode — complex prompts detect multiple intents and run domain agents in parallel; (2) Single Domain Agent mode — user selects inventory | procurement | sales | finance and only that agent’s MCP tools are allowed; (3) Optional legacy v1 path for regression comparison.</w:t>
      </w:r>
    </w:p>
    <w:p>
      <w:pPr>
        <w:pStyle w:val="Heading1"/>
      </w:pPr>
      <w:r>
        <w:t>8. Success Criteria</w:t>
      </w:r>
    </w:p>
    <w:p>
      <w:pPr>
        <w:pStyle w:val="ListBullet"/>
      </w:pPr>
      <w:r>
        <w:t>SC-1 Routing accuracy ≥ 95%</w:t>
      </w:r>
    </w:p>
    <w:p>
      <w:pPr>
        <w:pStyle w:val="ListBullet"/>
      </w:pPr>
      <w:r>
        <w:t>SC-2 Domain task success ≥ 90%</w:t>
      </w:r>
    </w:p>
    <w:p>
      <w:pPr>
        <w:pStyle w:val="ListBullet"/>
      </w:pPr>
      <w:r>
        <w:t>SC-3 Zero cross-domain unauthorized tool use</w:t>
      </w:r>
    </w:p>
    <w:p>
      <w:pPr>
        <w:pStyle w:val="ListBullet"/>
      </w:pPr>
      <w:r>
        <w:t>SC-4 MCP schema validation on all tool calls</w:t>
      </w:r>
    </w:p>
    <w:p>
      <w:pPr>
        <w:pStyle w:val="ListBullet"/>
      </w:pPr>
      <w:r>
        <w:t>SC-5 Red-team resistance ≥ 99%</w:t>
      </w:r>
    </w:p>
    <w:p>
      <w:pPr>
        <w:pStyle w:val="ListBullet"/>
      </w:pPr>
      <w:r>
        <w:t>SC-6 Trace completeness (request_id + spans) = 100%</w:t>
      </w:r>
    </w:p>
    <w:p>
      <w:pPr>
        <w:pStyle w:val="ListBullet"/>
      </w:pPr>
      <w:r>
        <w:t>SC-7 v1 Blue golden set still passes via orchestration ≥ 95%</w:t>
      </w:r>
    </w:p>
    <w:p>
      <w:pPr>
        <w:pStyle w:val="Heading1"/>
      </w:pPr>
      <w:r>
        <w:t>9. Official Issuance</w:t>
      </w:r>
    </w:p>
    <w:p>
      <w:r>
        <w:t>This PRD is an official RamanaSoft Consulting Services deliverable. Website: https://ramanasoft.com. For questions on Gen AI testing practice, contact the RamanaSoft AI Quality team.</w:t>
      </w:r>
    </w:p>
    <w:sectPr w:rsidR="00FC693F" w:rsidRPr="0006063C" w:rsidSect="00034616">
      <w:footerReference w:type="default" r:id="rId9"/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5252"/>
        <w:sz w:val="16"/>
      </w:rPr>
      <w:t>RamanaSoft Consulting Services  ·  Official Document  ·  ramanasoft.com  ·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