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FINLENS · Coûts &amp; Pricing</w:t>
      </w:r>
    </w:p>
    <w:p>
      <w:pPr>
        <w:pStyle w:val="BodyText"/>
      </w:pPr>
      <w:r>
        <w:rPr>
          <w:iCs/>
          <w:i/>
        </w:rPr>
        <w:t xml:space="preserve">Modèle : offre d’entrée à quotas maîtrisés (Essentiel) et abonnements plats quasi-illimités protégés par le routage IA par tâche (Analyste, Fonds)</w:t>
      </w:r>
    </w:p>
    <w:p>
      <w:pPr>
        <w:pStyle w:val="BodyText"/>
      </w:pPr>
      <w:r>
        <w:t xml:space="preserve">Ce document présente deux logiques de protection de marge selon l’offre. Pour Analyste et Fonds, la philosophie reste : plutôt que de calibrer des plafonds pour protéger un pourcentage de marge, FinLens part de ce que le produit doit offrir (documents, pages et questions illimités) et choisit l’architecture qui le rend rentable — le routage des tâches vers le modèle IA le plus adapté. L’extraction exhaustive du dossier et le comparateur de dossiers (l’analyse elle-même) passent toujours par Claude Fable 5. La reformulation de la note selon le profil choisi passe par Claude Sonnet 5, tout comme le copilote de chat (la conversation qui suit), avec escalade automatique vers Fable 5 sur les questions complexes. C’est ce découplage qui rend le volume absorbable sans compteur sur ces deux offres.</w:t>
      </w:r>
    </w:p>
    <w:p>
      <w:pPr>
        <w:pStyle w:val="BodyText"/>
      </w:pPr>
      <w:r>
        <w:t xml:space="preserve">Pour l’offre d’entrée Essentiel (23 €/mois), la marge unitaire ne permet pas cette même tolérance : des quotas mensuels fermes et une sélection de 3 profils sur les 6 remplacent le principe du volume illimité (détail sections 7 et 9).</w:t>
      </w:r>
    </w:p>
    <w:bookmarkStart w:id="20" w:name="coûts-fixes-infrastructure-abonnements"/>
    <w:p>
      <w:pPr>
        <w:pStyle w:val="Heading1"/>
      </w:pPr>
      <w:r>
        <w:t xml:space="preserve">1. Coûts Fixes — Infrastructure &amp; Abonnements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Poste</w:t>
            </w:r>
          </w:p>
        </w:tc>
        <w:tc>
          <w:tcPr/>
          <w:p>
            <w:pPr>
              <w:pStyle w:val="Compact"/>
              <w:jc w:val="left"/>
            </w:pPr>
            <w:r>
              <w:rPr>
                <w:bCs/>
                <w:b/>
              </w:rPr>
              <w:t xml:space="preserve">Coût</w:t>
            </w:r>
          </w:p>
        </w:tc>
        <w:tc>
          <w:tcPr/>
          <w:p>
            <w:pPr>
              <w:pStyle w:val="Compact"/>
              <w:jc w:val="left"/>
            </w:pPr>
            <w:r>
              <w:rPr>
                <w:bCs/>
                <w:b/>
              </w:rPr>
              <w:t xml:space="preserve">Périodicité</w:t>
            </w:r>
          </w:p>
        </w:tc>
        <w:tc>
          <w:tcPr/>
          <w:p>
            <w:pPr>
              <w:pStyle w:val="Compact"/>
              <w:jc w:val="left"/>
            </w:pPr>
            <w:r>
              <w:rPr>
                <w:bCs/>
                <w:b/>
              </w:rPr>
              <w:t xml:space="preserve">Coût mensuel équiv.</w:t>
            </w:r>
          </w:p>
        </w:tc>
        <w:tc>
          <w:tcPr/>
          <w:p>
            <w:pPr>
              <w:pStyle w:val="Compact"/>
              <w:jc w:val="left"/>
            </w:pPr>
            <w:r>
              <w:rPr>
                <w:bCs/>
                <w:b/>
              </w:rPr>
              <w:t xml:space="preserve">Statut</w:t>
            </w:r>
          </w:p>
        </w:tc>
      </w:tr>
      <w:tr>
        <w:tc>
          <w:tcPr/>
          <w:p>
            <w:pPr>
              <w:pStyle w:val="Compact"/>
              <w:jc w:val="left"/>
            </w:pPr>
            <w:r>
              <w:t xml:space="preserve">Hostinger KVM 2 (VPS, France)</w:t>
            </w:r>
          </w:p>
        </w:tc>
        <w:tc>
          <w:tcPr/>
          <w:p>
            <w:pPr>
              <w:pStyle w:val="Compact"/>
              <w:jc w:val="left"/>
            </w:pPr>
            <w:r>
              <w:t xml:space="preserve">270 €/2 ans</w:t>
            </w:r>
          </w:p>
        </w:tc>
        <w:tc>
          <w:tcPr/>
          <w:p>
            <w:pPr>
              <w:pStyle w:val="Compact"/>
              <w:jc w:val="left"/>
            </w:pPr>
            <w:r>
              <w:t xml:space="preserve">Déjà payé</w:t>
            </w:r>
          </w:p>
        </w:tc>
        <w:tc>
          <w:tcPr/>
          <w:p>
            <w:pPr>
              <w:pStyle w:val="Compact"/>
              <w:jc w:val="left"/>
            </w:pPr>
            <w:r>
              <w:t xml:space="preserve">≈ 11,25 €/mois</w:t>
            </w:r>
          </w:p>
        </w:tc>
        <w:tc>
          <w:tcPr/>
          <w:p>
            <w:pPr>
              <w:pStyle w:val="Compact"/>
              <w:jc w:val="left"/>
            </w:pPr>
            <w:r>
              <w:t xml:space="preserve">Sunk cost</w:t>
            </w:r>
          </w:p>
        </w:tc>
      </w:tr>
      <w:tr>
        <w:tc>
          <w:tcPr/>
          <w:p>
            <w:pPr>
              <w:pStyle w:val="Compact"/>
              <w:jc w:val="left"/>
            </w:pPr>
            <w:r>
              <w:t xml:space="preserve">Coolify</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0 €</w:t>
            </w:r>
          </w:p>
        </w:tc>
        <w:tc>
          <w:tcPr/>
          <w:p>
            <w:pPr>
              <w:pStyle w:val="Compact"/>
              <w:jc w:val="left"/>
            </w:pPr>
            <w:r>
              <w:t xml:space="preserve">Open-source</w:t>
            </w:r>
          </w:p>
        </w:tc>
      </w:tr>
      <w:tr>
        <w:tc>
          <w:tcPr/>
          <w:p>
            <w:pPr>
              <w:pStyle w:val="Compact"/>
              <w:jc w:val="left"/>
            </w:pPr>
            <w:r>
              <w:t xml:space="preserve">n8n (auto-hébergé)</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0 €</w:t>
            </w:r>
          </w:p>
        </w:tc>
        <w:tc>
          <w:tcPr/>
          <w:p>
            <w:pPr>
              <w:pStyle w:val="Compact"/>
              <w:jc w:val="left"/>
            </w:pPr>
            <w:r>
              <w:t xml:space="preserve">Sur le VPS</w:t>
            </w:r>
          </w:p>
        </w:tc>
      </w:tr>
      <w:tr>
        <w:tc>
          <w:tcPr/>
          <w:p>
            <w:pPr>
              <w:pStyle w:val="Compact"/>
              <w:jc w:val="left"/>
            </w:pPr>
            <w:r>
              <w:t xml:space="preserve">Qdrant (auto-hébergé)</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0 €</w:t>
            </w:r>
          </w:p>
        </w:tc>
        <w:tc>
          <w:tcPr/>
          <w:p>
            <w:pPr>
              <w:pStyle w:val="Compact"/>
              <w:jc w:val="left"/>
            </w:pPr>
            <w:r>
              <w:t xml:space="preserve">Sur le VPS</w:t>
            </w:r>
          </w:p>
        </w:tc>
      </w:tr>
      <w:tr>
        <w:tc>
          <w:tcPr/>
          <w:p>
            <w:pPr>
              <w:pStyle w:val="Compact"/>
              <w:jc w:val="left"/>
            </w:pPr>
            <w:r>
              <w:t xml:space="preserve">Vercel (Hobby)</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0 €</w:t>
            </w:r>
          </w:p>
        </w:tc>
        <w:tc>
          <w:tcPr/>
          <w:p>
            <w:pPr>
              <w:pStyle w:val="Compact"/>
              <w:jc w:val="left"/>
            </w:pPr>
            <w:r>
              <w:t xml:space="preserve">Plan gratuit</w:t>
            </w:r>
          </w:p>
        </w:tc>
      </w:tr>
      <w:tr>
        <w:tc>
          <w:tcPr/>
          <w:p>
            <w:pPr>
              <w:pStyle w:val="Compact"/>
              <w:jc w:val="left"/>
            </w:pPr>
            <w:r>
              <w:t xml:space="preserve">Supabase (Free, région Frankfurt / eu-central-1)</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0 €</w:t>
            </w:r>
          </w:p>
        </w:tc>
        <w:tc>
          <w:tcPr/>
          <w:p>
            <w:pPr>
              <w:pStyle w:val="Compact"/>
              <w:jc w:val="left"/>
            </w:pPr>
            <w:r>
              <w:t xml:space="preserve">Jusqu’à 50k users</w:t>
            </w:r>
          </w:p>
        </w:tc>
      </w:tr>
      <w:tr>
        <w:tc>
          <w:tcPr/>
          <w:p>
            <w:pPr>
              <w:pStyle w:val="Compact"/>
              <w:jc w:val="left"/>
            </w:pPr>
            <w:r>
              <w:t xml:space="preserve">GitHub</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0 €</w:t>
            </w:r>
          </w:p>
        </w:tc>
        <w:tc>
          <w:tcPr/>
          <w:p>
            <w:pPr>
              <w:pStyle w:val="Compact"/>
              <w:jc w:val="left"/>
            </w:pPr>
            <w:r>
              <w:t xml:space="preserve">Repo privé inclus</w:t>
            </w:r>
          </w:p>
        </w:tc>
      </w:tr>
      <w:tr>
        <w:tc>
          <w:tcPr/>
          <w:p>
            <w:pPr>
              <w:pStyle w:val="Compact"/>
              <w:jc w:val="left"/>
            </w:pPr>
            <w:r>
              <w:t xml:space="preserve">Stripe</w:t>
            </w:r>
          </w:p>
        </w:tc>
        <w:tc>
          <w:tcPr/>
          <w:p>
            <w:pPr>
              <w:pStyle w:val="Compact"/>
              <w:jc w:val="left"/>
            </w:pPr>
            <w:r>
              <w:t xml:space="preserve">~1,5 % + 0,25 €/transaction</w:t>
            </w:r>
          </w:p>
        </w:tc>
        <w:tc>
          <w:tcPr/>
          <w:p>
            <w:pPr>
              <w:pStyle w:val="Compact"/>
              <w:jc w:val="left"/>
            </w:pPr>
            <w:r>
              <w:t xml:space="preserve">À l’usage</w:t>
            </w:r>
          </w:p>
        </w:tc>
        <w:tc>
          <w:tcPr/>
          <w:p>
            <w:pPr>
              <w:pStyle w:val="Compact"/>
              <w:jc w:val="left"/>
            </w:pPr>
            <w:r>
              <w:t xml:space="preserve">Variable</w:t>
            </w:r>
          </w:p>
        </w:tc>
        <w:tc>
          <w:tcPr/>
          <w:p>
            <w:pPr>
              <w:pStyle w:val="Compact"/>
              <w:jc w:val="left"/>
            </w:pPr>
            <w:r>
              <w:t xml:space="preserve">Abonnements récurrents simples (base + sièges)</w:t>
            </w:r>
          </w:p>
        </w:tc>
      </w:tr>
      <w:tr>
        <w:tc>
          <w:tcPr/>
          <w:p>
            <w:pPr>
              <w:pStyle w:val="Compact"/>
              <w:jc w:val="left"/>
            </w:pPr>
            <w:r>
              <w:t xml:space="preserve">Nom de domaine</w:t>
            </w:r>
          </w:p>
        </w:tc>
        <w:tc>
          <w:tcPr/>
          <w:p>
            <w:pPr>
              <w:pStyle w:val="Compact"/>
              <w:jc w:val="left"/>
            </w:pPr>
            <w:r>
              <w:t xml:space="preserve">~12 €/an</w:t>
            </w:r>
          </w:p>
        </w:tc>
        <w:tc>
          <w:tcPr/>
          <w:p>
            <w:pPr>
              <w:pStyle w:val="Compact"/>
              <w:jc w:val="left"/>
            </w:pPr>
            <w:r>
              <w:t xml:space="preserve">Annuel</w:t>
            </w:r>
          </w:p>
        </w:tc>
        <w:tc>
          <w:tcPr/>
          <w:p>
            <w:pPr>
              <w:pStyle w:val="Compact"/>
              <w:jc w:val="left"/>
            </w:pPr>
            <w:r>
              <w:t xml:space="preserve">≈ 1 €/mois</w:t>
            </w:r>
          </w:p>
        </w:tc>
        <w:tc>
          <w:tcPr/>
          <w:p>
            <w:pPr>
              <w:pStyle w:val="Compact"/>
              <w:jc w:val="left"/>
            </w:pPr>
            <w:r>
              <w:t xml:space="preserve">Si non déjà acheté</w:t>
            </w:r>
          </w:p>
        </w:tc>
      </w:tr>
      <w:tr>
        <w:tc>
          <w:tcPr/>
          <w:p>
            <w:pPr>
              <w:pStyle w:val="Compact"/>
              <w:jc w:val="left"/>
            </w:pPr>
            <w:r>
              <w:t xml:space="preserve">Claude Code (interne)</w:t>
            </w:r>
          </w:p>
        </w:tc>
        <w:tc>
          <w:tcPr/>
          <w:p>
            <w:pPr>
              <w:pStyle w:val="Compact"/>
              <w:jc w:val="left"/>
            </w:pPr>
            <w:r>
              <w:t xml:space="preserve">20 €/mois (Pro)</w:t>
            </w:r>
          </w:p>
        </w:tc>
        <w:tc>
          <w:tcPr/>
          <w:p>
            <w:pPr>
              <w:pStyle w:val="Compact"/>
              <w:jc w:val="left"/>
            </w:pPr>
            <w:r>
              <w:t xml:space="preserve">Mensuel</w:t>
            </w:r>
          </w:p>
        </w:tc>
        <w:tc>
          <w:tcPr/>
          <w:p>
            <w:pPr>
              <w:pStyle w:val="Compact"/>
              <w:jc w:val="left"/>
            </w:pPr>
            <w:r>
              <w:t xml:space="preserve">20 €/mois</w:t>
            </w:r>
          </w:p>
        </w:tc>
        <w:tc>
          <w:tcPr/>
          <w:p>
            <w:pPr>
              <w:pStyle w:val="Compact"/>
              <w:jc w:val="left"/>
            </w:pPr>
            <w:r>
              <w:t xml:space="preserve">→ Max 100 €/mois si scale</w:t>
            </w:r>
          </w:p>
        </w:tc>
      </w:tr>
    </w:tbl>
    <w:p>
      <w:pPr>
        <w:pStyle w:val="BodyText"/>
      </w:pPr>
      <w:r>
        <w:rPr>
          <w:iCs/>
          <w:i/>
        </w:rPr>
        <w:t xml:space="preserve">Le VPS Hostinger est localisé en France ; le projet Supabase est configuré en région Frankfurt (eu-central-1, Union Européenne) — voir la Note d’Architecture, section « Résidence des Données et Transferts », pour le détail RGPD.</w:t>
      </w:r>
    </w:p>
    <w:bookmarkEnd w:id="20"/>
    <w:bookmarkStart w:id="21" w:name="tarifs-des-modèles-ia-comparatif-marché"/>
    <w:p>
      <w:pPr>
        <w:pStyle w:val="Heading1"/>
      </w:pPr>
      <w:r>
        <w:t xml:space="preserve">2. Tarifs des Modèles IA (comparatif marché)</w:t>
      </w:r>
    </w:p>
    <w:p>
      <w:pPr>
        <w:pStyle w:val="FirstParagraph"/>
      </w:pPr>
      <w:r>
        <w:t xml:space="preserve">Prix officiels en dollars par million de tokens. Hypothèse de conversion : 1 $ ≈ 1 € pour la planification (à ajuster selon le taux réel).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Modèle</w:t>
            </w:r>
          </w:p>
        </w:tc>
        <w:tc>
          <w:tcPr/>
          <w:p>
            <w:pPr>
              <w:pStyle w:val="Compact"/>
              <w:jc w:val="left"/>
            </w:pPr>
            <w:r>
              <w:rPr>
                <w:bCs/>
                <w:b/>
              </w:rPr>
              <w:t xml:space="preserve">Input /M tokens</w:t>
            </w:r>
          </w:p>
        </w:tc>
        <w:tc>
          <w:tcPr/>
          <w:p>
            <w:pPr>
              <w:pStyle w:val="Compact"/>
              <w:jc w:val="left"/>
            </w:pPr>
            <w:r>
              <w:rPr>
                <w:bCs/>
                <w:b/>
              </w:rPr>
              <w:t xml:space="preserve">Output /M tokens</w:t>
            </w:r>
          </w:p>
        </w:tc>
        <w:tc>
          <w:tcPr/>
          <w:p>
            <w:pPr>
              <w:pStyle w:val="Compact"/>
              <w:jc w:val="left"/>
            </w:pPr>
            <w:r>
              <w:rPr>
                <w:bCs/>
                <w:b/>
              </w:rPr>
              <w:t xml:space="preserve">Usage dans FinLens</w:t>
            </w:r>
          </w:p>
        </w:tc>
      </w:tr>
      <w:tr>
        <w:tc>
          <w:tcPr/>
          <w:p>
            <w:pPr>
              <w:pStyle w:val="Compact"/>
              <w:jc w:val="left"/>
            </w:pPr>
            <w:r>
              <w:t xml:space="preserve">Claude Fable 5</w:t>
            </w:r>
          </w:p>
        </w:tc>
        <w:tc>
          <w:tcPr/>
          <w:p>
            <w:pPr>
              <w:pStyle w:val="Compact"/>
              <w:jc w:val="left"/>
            </w:pPr>
            <w:r>
              <w:t xml:space="preserve">10 $</w:t>
            </w:r>
          </w:p>
        </w:tc>
        <w:tc>
          <w:tcPr/>
          <w:p>
            <w:pPr>
              <w:pStyle w:val="Compact"/>
              <w:jc w:val="left"/>
            </w:pPr>
            <w:r>
              <w:t xml:space="preserve">50 $</w:t>
            </w:r>
          </w:p>
        </w:tc>
        <w:tc>
          <w:tcPr/>
          <w:p>
            <w:pPr>
              <w:pStyle w:val="Compact"/>
              <w:jc w:val="left"/>
            </w:pPr>
            <w:r>
              <w:t xml:space="preserve">Extraction exhaustive du dossier et comparateur de dossiers — toujours, sans exception</w:t>
            </w:r>
          </w:p>
        </w:tc>
      </w:tr>
      <w:tr>
        <w:tc>
          <w:tcPr/>
          <w:p>
            <w:pPr>
              <w:pStyle w:val="Compact"/>
              <w:jc w:val="left"/>
            </w:pPr>
            <w:r>
              <w:t xml:space="preserve">Claude Sonnet 5</w:t>
            </w:r>
          </w:p>
        </w:tc>
        <w:tc>
          <w:tcPr/>
          <w:p>
            <w:pPr>
              <w:pStyle w:val="Compact"/>
              <w:jc w:val="left"/>
            </w:pPr>
            <w:r>
              <w:t xml:space="preserve">2 $</w:t>
            </w:r>
          </w:p>
        </w:tc>
        <w:tc>
          <w:tcPr/>
          <w:p>
            <w:pPr>
              <w:pStyle w:val="Compact"/>
              <w:jc w:val="left"/>
            </w:pPr>
            <w:r>
              <w:t xml:space="preserve">10 $</w:t>
            </w:r>
          </w:p>
        </w:tc>
        <w:tc>
          <w:tcPr/>
          <w:p>
            <w:pPr>
              <w:pStyle w:val="Compact"/>
              <w:jc w:val="left"/>
            </w:pPr>
            <w:r>
              <w:t xml:space="preserve">Reformulation de la note par profil et modèle par défaut du copilote de chat — qualité premium, ~5x moins cher</w:t>
            </w:r>
          </w:p>
        </w:tc>
      </w:tr>
      <w:tr>
        <w:tc>
          <w:tcPr/>
          <w:p>
            <w:pPr>
              <w:pStyle w:val="Compact"/>
              <w:jc w:val="left"/>
            </w:pPr>
            <w:r>
              <w:t xml:space="preserve">Claude Opus 4.8</w:t>
            </w:r>
          </w:p>
        </w:tc>
        <w:tc>
          <w:tcPr/>
          <w:p>
            <w:pPr>
              <w:pStyle w:val="Compact"/>
              <w:jc w:val="left"/>
            </w:pPr>
            <w:r>
              <w:t xml:space="preserve">5 $</w:t>
            </w:r>
          </w:p>
        </w:tc>
        <w:tc>
          <w:tcPr/>
          <w:p>
            <w:pPr>
              <w:pStyle w:val="Compact"/>
              <w:jc w:val="left"/>
            </w:pPr>
            <w:r>
              <w:t xml:space="preserve">25 $</w:t>
            </w:r>
          </w:p>
        </w:tc>
        <w:tc>
          <w:tcPr/>
          <w:p>
            <w:pPr>
              <w:pStyle w:val="Compact"/>
              <w:jc w:val="left"/>
            </w:pPr>
            <w:r>
              <w:t xml:space="preserve">Fallback si Fable 5 indisponible</w:t>
            </w:r>
          </w:p>
        </w:tc>
      </w:tr>
      <w:tr>
        <w:tc>
          <w:tcPr/>
          <w:p>
            <w:pPr>
              <w:pStyle w:val="Compact"/>
              <w:jc w:val="left"/>
            </w:pPr>
            <w:r>
              <w:t xml:space="preserve">Claude Haiku 4.5</w:t>
            </w:r>
          </w:p>
        </w:tc>
        <w:tc>
          <w:tcPr/>
          <w:p>
            <w:pPr>
              <w:pStyle w:val="Compact"/>
              <w:jc w:val="left"/>
            </w:pPr>
            <w:r>
              <w:t xml:space="preserve">1 $</w:t>
            </w:r>
          </w:p>
        </w:tc>
        <w:tc>
          <w:tcPr/>
          <w:p>
            <w:pPr>
              <w:pStyle w:val="Compact"/>
              <w:jc w:val="left"/>
            </w:pPr>
            <w:r>
              <w:t xml:space="preserve">5 $</w:t>
            </w:r>
          </w:p>
        </w:tc>
        <w:tc>
          <w:tcPr/>
          <w:p>
            <w:pPr>
              <w:pStyle w:val="Compact"/>
              <w:jc w:val="left"/>
            </w:pPr>
            <w:r>
              <w:t xml:space="preserve">Classification de la complexité des questions, classement des ajouts Copilote, tâches internes simples</w:t>
            </w:r>
          </w:p>
        </w:tc>
      </w:tr>
      <w:tr>
        <w:tc>
          <w:tcPr/>
          <w:p>
            <w:pPr>
              <w:pStyle w:val="Compact"/>
              <w:jc w:val="left"/>
            </w:pPr>
            <w:r>
              <w:t xml:space="preserve">Gemini 2.5 Flash</w:t>
            </w:r>
          </w:p>
        </w:tc>
        <w:tc>
          <w:tcPr/>
          <w:p>
            <w:pPr>
              <w:pStyle w:val="Compact"/>
              <w:jc w:val="left"/>
            </w:pPr>
            <w:r>
              <w:t xml:space="preserve">0,30 $</w:t>
            </w:r>
          </w:p>
        </w:tc>
        <w:tc>
          <w:tcPr/>
          <w:p>
            <w:pPr>
              <w:pStyle w:val="Compact"/>
              <w:jc w:val="left"/>
            </w:pPr>
            <w:r>
              <w:t xml:space="preserve">2,50 $</w:t>
            </w:r>
          </w:p>
        </w:tc>
        <w:tc>
          <w:tcPr/>
          <w:p>
            <w:pPr>
              <w:pStyle w:val="Compact"/>
              <w:jc w:val="left"/>
            </w:pPr>
            <w:r>
              <w:t xml:space="preserve">Optimisation interne invisible (routage, pré-traitement)</w:t>
            </w:r>
          </w:p>
        </w:tc>
      </w:tr>
      <w:tr>
        <w:tc>
          <w:tcPr/>
          <w:p>
            <w:pPr>
              <w:pStyle w:val="Compact"/>
              <w:jc w:val="left"/>
            </w:pPr>
            <w:r>
              <w:t xml:space="preserve">Gemini 2.5 Flash-Lite</w:t>
            </w:r>
          </w:p>
        </w:tc>
        <w:tc>
          <w:tcPr/>
          <w:p>
            <w:pPr>
              <w:pStyle w:val="Compact"/>
              <w:jc w:val="left"/>
            </w:pPr>
            <w:r>
              <w:t xml:space="preserve">0,10 $</w:t>
            </w:r>
          </w:p>
        </w:tc>
        <w:tc>
          <w:tcPr/>
          <w:p>
            <w:pPr>
              <w:pStyle w:val="Compact"/>
              <w:jc w:val="left"/>
            </w:pPr>
            <w:r>
              <w:t xml:space="preserve">0,40 $</w:t>
            </w:r>
          </w:p>
        </w:tc>
        <w:tc>
          <w:tcPr/>
          <w:p>
            <w:pPr>
              <w:pStyle w:val="Compact"/>
              <w:jc w:val="left"/>
            </w:pPr>
            <w:r>
              <w:t xml:space="preserve">Micro-tâches internes (nettoyage texte, tri de chunks)</w:t>
            </w:r>
          </w:p>
        </w:tc>
      </w:tr>
      <w:tr>
        <w:tc>
          <w:tcPr/>
          <w:p>
            <w:pPr>
              <w:pStyle w:val="Compact"/>
              <w:jc w:val="left"/>
            </w:pPr>
            <w:r>
              <w:t xml:space="preserve">GPT-5.5 (comparatif)</w:t>
            </w:r>
          </w:p>
        </w:tc>
        <w:tc>
          <w:tcPr/>
          <w:p>
            <w:pPr>
              <w:pStyle w:val="Compact"/>
              <w:jc w:val="left"/>
            </w:pPr>
            <w:r>
              <w:t xml:space="preserve">5 $</w:t>
            </w:r>
          </w:p>
        </w:tc>
        <w:tc>
          <w:tcPr/>
          <w:p>
            <w:pPr>
              <w:pStyle w:val="Compact"/>
              <w:jc w:val="left"/>
            </w:pPr>
            <w:r>
              <w:t xml:space="preserve">30 $</w:t>
            </w:r>
          </w:p>
        </w:tc>
        <w:tc>
          <w:tcPr/>
          <w:p>
            <w:pPr>
              <w:pStyle w:val="Compact"/>
              <w:jc w:val="left"/>
            </w:pPr>
            <w:r>
              <w:t xml:space="preserve">Référence marché, non utilisé dans la pipeline</w:t>
            </w:r>
          </w:p>
        </w:tc>
      </w:tr>
    </w:tbl>
    <w:bookmarkEnd w:id="21"/>
    <w:bookmarkStart w:id="22" w:name="Xf99f1e458f29aadec9ae24038d1cb4f6084b77d"/>
    <w:p>
      <w:pPr>
        <w:pStyle w:val="Heading1"/>
      </w:pPr>
      <w:r>
        <w:t xml:space="preserve">3. Le Routage par Tâche : Comment Rester Illimité Sans Excès de Coût</w:t>
      </w:r>
    </w:p>
    <w:p>
      <w:pPr>
        <w:pStyle w:val="FirstParagraph"/>
      </w:pPr>
      <w:r>
        <w:t xml:space="preserve">L’IA qui lit et juge les documents est toujours Fable 5 — c’est la promesse du produit, non négociable. L’IA qui reformule ou discute ensuite avec l’utilisateur peut être un modèle plus rapide et moins cher, sans perte de qualité perceptible, avec une bascule automatique vers Fable 5 dès que la tâche dépasse un certain niveau de complexité (comparaison entre documents, calcul sur plusieurs périodes, jugement transverse).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Tâche</w:t>
            </w:r>
          </w:p>
        </w:tc>
        <w:tc>
          <w:tcPr/>
          <w:p>
            <w:pPr>
              <w:pStyle w:val="Compact"/>
              <w:jc w:val="left"/>
            </w:pPr>
            <w:r>
              <w:rPr>
                <w:bCs/>
                <w:b/>
              </w:rPr>
              <w:t xml:space="preserve">Modèle</w:t>
            </w:r>
          </w:p>
        </w:tc>
        <w:tc>
          <w:tcPr/>
          <w:p>
            <w:pPr>
              <w:pStyle w:val="Compact"/>
              <w:jc w:val="left"/>
            </w:pPr>
            <w:r>
              <w:rPr>
                <w:bCs/>
                <w:b/>
              </w:rPr>
              <w:t xml:space="preserve">Fréquence</w:t>
            </w:r>
          </w:p>
        </w:tc>
        <w:tc>
          <w:tcPr/>
          <w:p>
            <w:pPr>
              <w:pStyle w:val="Compact"/>
              <w:jc w:val="left"/>
            </w:pPr>
            <w:r>
              <w:rPr>
                <w:bCs/>
                <w:b/>
              </w:rPr>
              <w:t xml:space="preserve">Pourquoi</w:t>
            </w:r>
          </w:p>
        </w:tc>
      </w:tr>
      <w:tr>
        <w:tc>
          <w:tcPr/>
          <w:p>
            <w:pPr>
              <w:pStyle w:val="Compact"/>
              <w:jc w:val="left"/>
            </w:pPr>
            <w:r>
              <w:t xml:space="preserve">Extraction exhaustive du dossier (Module 2, remplace l’ancien « résumé exécutif »)</w:t>
            </w:r>
          </w:p>
        </w:tc>
        <w:tc>
          <w:tcPr/>
          <w:p>
            <w:pPr>
              <w:pStyle w:val="Compact"/>
              <w:jc w:val="left"/>
            </w:pPr>
            <w:r>
              <w:t xml:space="preserve">Fable 5</w:t>
            </w:r>
          </w:p>
        </w:tc>
        <w:tc>
          <w:tcPr/>
          <w:p>
            <w:pPr>
              <w:pStyle w:val="Compact"/>
              <w:jc w:val="left"/>
            </w:pPr>
            <w:r>
              <w:t xml:space="preserve">toujours, 1× par dossier</w:t>
            </w:r>
          </w:p>
        </w:tc>
        <w:tc>
          <w:tcPr/>
          <w:p>
            <w:pPr>
              <w:pStyle w:val="Compact"/>
              <w:jc w:val="left"/>
            </w:pPr>
            <w:r>
              <w:t xml:space="preserve">C’est la promesse du produit : zéro compromis sur la qualité d’analyse principale, seule lecture du document source</w:t>
            </w:r>
          </w:p>
        </w:tc>
      </w:tr>
      <w:tr>
        <w:tc>
          <w:tcPr/>
          <w:p>
            <w:pPr>
              <w:pStyle w:val="Compact"/>
              <w:jc w:val="left"/>
            </w:pPr>
            <w:r>
              <w:t xml:space="preserve">Reformulation de la note par profil (Module 2)</w:t>
            </w:r>
          </w:p>
        </w:tc>
        <w:tc>
          <w:tcPr/>
          <w:p>
            <w:pPr>
              <w:pStyle w:val="Compact"/>
              <w:jc w:val="left"/>
            </w:pPr>
            <w:r>
              <w:t xml:space="preserve">Sonnet 5</w:t>
            </w:r>
          </w:p>
        </w:tc>
        <w:tc>
          <w:tcPr/>
          <w:p>
            <w:pPr>
              <w:pStyle w:val="Compact"/>
              <w:jc w:val="left"/>
            </w:pPr>
            <w:r>
              <w:t xml:space="preserve">toujours, 6× par dossier</w:t>
            </w:r>
          </w:p>
        </w:tc>
        <w:tc>
          <w:tcPr/>
          <w:p>
            <w:pPr>
              <w:pStyle w:val="Compact"/>
              <w:jc w:val="left"/>
            </w:pPr>
            <w:r>
              <w:t xml:space="preserve">Relit l’extraction déjà produite, pas le document — coût très inférieur à une nouvelle lecture Fable 5</w:t>
            </w:r>
          </w:p>
        </w:tc>
      </w:tr>
      <w:tr>
        <w:tc>
          <w:tcPr/>
          <w:p>
            <w:pPr>
              <w:pStyle w:val="Compact"/>
              <w:jc w:val="left"/>
            </w:pPr>
            <w:r>
              <w:t xml:space="preserve">Comparateur de dossiers (Module 4)</w:t>
            </w:r>
          </w:p>
        </w:tc>
        <w:tc>
          <w:tcPr/>
          <w:p>
            <w:pPr>
              <w:pStyle w:val="Compact"/>
              <w:jc w:val="left"/>
            </w:pPr>
            <w:r>
              <w:t xml:space="preserve">Fable 5</w:t>
            </w:r>
          </w:p>
        </w:tc>
        <w:tc>
          <w:tcPr/>
          <w:p>
            <w:pPr>
              <w:pStyle w:val="Compact"/>
              <w:jc w:val="left"/>
            </w:pPr>
            <w:r>
              <w:t xml:space="preserve">toujours</w:t>
            </w:r>
          </w:p>
        </w:tc>
        <w:tc>
          <w:tcPr/>
          <w:p>
            <w:pPr>
              <w:pStyle w:val="Compact"/>
              <w:jc w:val="left"/>
            </w:pPr>
            <w:r>
              <w:t xml:space="preserve">Raisonnement croisé complexe, doit rester premium</w:t>
            </w:r>
          </w:p>
        </w:tc>
      </w:tr>
      <w:tr>
        <w:tc>
          <w:tcPr/>
          <w:p>
            <w:pPr>
              <w:pStyle w:val="Compact"/>
              <w:jc w:val="left"/>
            </w:pPr>
            <w:r>
              <w:t xml:space="preserve">Question de chat — cas standard</w:t>
            </w:r>
          </w:p>
        </w:tc>
        <w:tc>
          <w:tcPr/>
          <w:p>
            <w:pPr>
              <w:pStyle w:val="Compact"/>
              <w:jc w:val="left"/>
            </w:pPr>
            <w:r>
              <w:t xml:space="preserve">Sonnet 5</w:t>
            </w:r>
          </w:p>
        </w:tc>
        <w:tc>
          <w:tcPr/>
          <w:p>
            <w:pPr>
              <w:pStyle w:val="Compact"/>
              <w:jc w:val="left"/>
            </w:pPr>
            <w:r>
              <w:t xml:space="preserve">par défaut</w:t>
            </w:r>
          </w:p>
        </w:tc>
        <w:tc>
          <w:tcPr/>
          <w:p>
            <w:pPr>
              <w:pStyle w:val="Compact"/>
              <w:jc w:val="left"/>
            </w:pPr>
            <w:r>
              <w:t xml:space="preserve">Qualité Claude, citations fiables, ~5x moins cher : absorbe le volume illimité</w:t>
            </w:r>
          </w:p>
        </w:tc>
      </w:tr>
      <w:tr>
        <w:tc>
          <w:tcPr/>
          <w:p>
            <w:pPr>
              <w:pStyle w:val="Compact"/>
              <w:jc w:val="left"/>
            </w:pPr>
            <w:r>
              <w:t xml:space="preserve">Question de chat — cas complexe (comparaison, calcul multi-période)</w:t>
            </w:r>
          </w:p>
        </w:tc>
        <w:tc>
          <w:tcPr/>
          <w:p>
            <w:pPr>
              <w:pStyle w:val="Compact"/>
              <w:jc w:val="left"/>
            </w:pPr>
            <w:r>
              <w:t xml:space="preserve">Fable 5</w:t>
            </w:r>
          </w:p>
        </w:tc>
        <w:tc>
          <w:tcPr/>
          <w:p>
            <w:pPr>
              <w:pStyle w:val="Compact"/>
              <w:jc w:val="left"/>
            </w:pPr>
            <w:r>
              <w:t xml:space="preserve">escalade automatique</w:t>
            </w:r>
          </w:p>
        </w:tc>
        <w:tc>
          <w:tcPr/>
          <w:p>
            <w:pPr>
              <w:pStyle w:val="Compact"/>
              <w:jc w:val="left"/>
            </w:pPr>
            <w:r>
              <w:t xml:space="preserve">Le chat reste premium exactement là où ça compte</w:t>
            </w:r>
          </w:p>
        </w:tc>
      </w:tr>
      <w:tr>
        <w:tc>
          <w:tcPr/>
          <w:p>
            <w:pPr>
              <w:pStyle w:val="Compact"/>
              <w:jc w:val="left"/>
            </w:pPr>
            <w:r>
              <w:t xml:space="preserve">Classement d’un ajout Copilote épinglé à la note</w:t>
            </w:r>
          </w:p>
        </w:tc>
        <w:tc>
          <w:tcPr/>
          <w:p>
            <w:pPr>
              <w:pStyle w:val="Compact"/>
              <w:jc w:val="left"/>
            </w:pPr>
            <w:r>
              <w:t xml:space="preserve">Haiku 4.5</w:t>
            </w:r>
          </w:p>
        </w:tc>
        <w:tc>
          <w:tcPr/>
          <w:p>
            <w:pPr>
              <w:pStyle w:val="Compact"/>
              <w:jc w:val="left"/>
            </w:pPr>
            <w:r>
              <w:t xml:space="preserve">à la demande</w:t>
            </w:r>
          </w:p>
        </w:tc>
        <w:tc>
          <w:tcPr/>
          <w:p>
            <w:pPr>
              <w:pStyle w:val="Compact"/>
              <w:jc w:val="left"/>
            </w:pPr>
            <w:r>
              <w:t xml:space="preserve">Coût négligeable, la question elle-même est déjà comptée dans le chat</w:t>
            </w:r>
          </w:p>
        </w:tc>
      </w:tr>
      <w:tr>
        <w:tc>
          <w:tcPr/>
          <w:p>
            <w:pPr>
              <w:pStyle w:val="Compact"/>
              <w:jc w:val="left"/>
            </w:pPr>
            <w:r>
              <w:t xml:space="preserve">Tri Qdrant, nettoyage PDF, classification</w:t>
            </w:r>
          </w:p>
        </w:tc>
        <w:tc>
          <w:tcPr/>
          <w:p>
            <w:pPr>
              <w:pStyle w:val="Compact"/>
              <w:jc w:val="left"/>
            </w:pPr>
            <w:r>
              <w:t xml:space="preserve">Haiku 4.5 / Gemini Flash-Lite</w:t>
            </w:r>
          </w:p>
        </w:tc>
        <w:tc>
          <w:tcPr/>
          <w:p>
            <w:pPr>
              <w:pStyle w:val="Compact"/>
              <w:jc w:val="left"/>
            </w:pPr>
            <w:r>
              <w:t xml:space="preserve">toujours</w:t>
            </w:r>
          </w:p>
        </w:tc>
        <w:tc>
          <w:tcPr/>
          <w:p>
            <w:pPr>
              <w:pStyle w:val="Compact"/>
              <w:jc w:val="left"/>
            </w:pPr>
            <w:r>
              <w:t xml:space="preserve">Invisible pour le client, aucun impact sur la qualité perçue</w:t>
            </w:r>
          </w:p>
        </w:tc>
      </w:tr>
    </w:tbl>
    <w:p>
      <w:pPr>
        <w:pStyle w:val="BodyText"/>
      </w:pPr>
      <w:r>
        <w:rPr>
          <w:iCs/>
          <w:i/>
        </w:rPr>
        <w:t xml:space="preserve">Le comparateur de dossiers (Module 4) est réservé aux offres Analyste et Fonds — non inclus dans l’offre Essentiel (section 7). Les six profils de la note d’analyse (Module 2) sont disponibles sur Analyste et Fonds ; Essentiel en propose trois (Généraliste/Étudiant, CFO, Analyste indépendant/Family Office) — voir section 8.</w:t>
      </w:r>
    </w:p>
    <w:bookmarkEnd w:id="22"/>
    <w:bookmarkStart w:id="23" w:name="X3712f082ce03c4c13fee89297c2cd75e7cfea05"/>
    <w:p>
      <w:pPr>
        <w:pStyle w:val="Heading1"/>
      </w:pPr>
      <w:r>
        <w:t xml:space="preserve">4. Coût Réel par Tâche (avec routage et cache actifs)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Tâche</w:t>
            </w:r>
          </w:p>
        </w:tc>
        <w:tc>
          <w:tcPr/>
          <w:p>
            <w:pPr>
              <w:pStyle w:val="Compact"/>
              <w:jc w:val="left"/>
            </w:pPr>
            <w:r>
              <w:rPr>
                <w:bCs/>
                <w:b/>
              </w:rPr>
              <w:t xml:space="preserve">Base de calcul</w:t>
            </w:r>
          </w:p>
        </w:tc>
        <w:tc>
          <w:tcPr/>
          <w:p>
            <w:pPr>
              <w:pStyle w:val="Compact"/>
              <w:jc w:val="left"/>
            </w:pPr>
            <w:r>
              <w:rPr>
                <w:bCs/>
                <w:b/>
              </w:rPr>
              <w:t xml:space="preserve">Coût unitaire</w:t>
            </w:r>
          </w:p>
        </w:tc>
      </w:tr>
      <w:tr>
        <w:tc>
          <w:tcPr/>
          <w:p>
            <w:pPr>
              <w:pStyle w:val="Compact"/>
              <w:jc w:val="left"/>
            </w:pPr>
            <w:r>
              <w:t xml:space="preserve">Extraction exhaustive (dossier moyen ~300 pages, étage 1 — identique sur les 3 offres)</w:t>
            </w:r>
          </w:p>
        </w:tc>
        <w:tc>
          <w:tcPr/>
          <w:p>
            <w:pPr>
              <w:pStyle w:val="Compact"/>
              <w:jc w:val="left"/>
            </w:pPr>
            <w:r>
              <w:t xml:space="preserve">Fable 5, ~300k tokens in + ~20k tokens out (couverture des 6 catégories)</w:t>
            </w:r>
          </w:p>
        </w:tc>
        <w:tc>
          <w:tcPr/>
          <w:p>
            <w:pPr>
              <w:pStyle w:val="Compact"/>
              <w:jc w:val="left"/>
            </w:pPr>
            <w:r>
              <w:t xml:space="preserve">≈ 4,50 $</w:t>
            </w:r>
          </w:p>
        </w:tc>
      </w:tr>
      <w:tr>
        <w:tc>
          <w:tcPr/>
          <w:p>
            <w:pPr>
              <w:pStyle w:val="Compact"/>
              <w:jc w:val="left"/>
            </w:pPr>
            <w:r>
              <w:t xml:space="preserve">6 reformulations par profil (étage 2, Analyste/Fonds)</w:t>
            </w:r>
          </w:p>
        </w:tc>
        <w:tc>
          <w:tcPr/>
          <w:p>
            <w:pPr>
              <w:pStyle w:val="Compact"/>
              <w:jc w:val="left"/>
            </w:pPr>
            <w:r>
              <w:t xml:space="preserve">Sonnet 5, ~8k tokens in + ~2,5k tokens out par profil, cache actif dès la 2e reformulation</w:t>
            </w:r>
          </w:p>
        </w:tc>
        <w:tc>
          <w:tcPr/>
          <w:p>
            <w:pPr>
              <w:pStyle w:val="Compact"/>
              <w:jc w:val="left"/>
            </w:pPr>
            <w:r>
              <w:t xml:space="preserve">≈ 0,25 à 0,30 $ (les 6 au total)</w:t>
            </w:r>
          </w:p>
        </w:tc>
      </w:tr>
      <w:tr>
        <w:tc>
          <w:tcPr/>
          <w:p>
            <w:pPr>
              <w:pStyle w:val="Compact"/>
              <w:jc w:val="left"/>
            </w:pPr>
            <w:r>
              <w:t xml:space="preserve">3 reformulations par profil (étage 2, Essentiel)</w:t>
            </w:r>
          </w:p>
        </w:tc>
        <w:tc>
          <w:tcPr/>
          <w:p>
            <w:pPr>
              <w:pStyle w:val="Compact"/>
              <w:jc w:val="left"/>
            </w:pPr>
            <w:r>
              <w:t xml:space="preserve">Sonnet 5, mêmes conditions, 3 profils au lieu de 6</w:t>
            </w:r>
          </w:p>
        </w:tc>
        <w:tc>
          <w:tcPr/>
          <w:p>
            <w:pPr>
              <w:pStyle w:val="Compact"/>
              <w:jc w:val="left"/>
            </w:pPr>
            <w:r>
              <w:t xml:space="preserve">≈ 0,13 à 0,15 $ (les 3 au total)</w:t>
            </w:r>
          </w:p>
        </w:tc>
      </w:tr>
      <w:tr>
        <w:tc>
          <w:tcPr/>
          <w:p>
            <w:pPr>
              <w:pStyle w:val="Compact"/>
              <w:jc w:val="left"/>
            </w:pPr>
            <w:r>
              <w:rPr>
                <w:bCs/>
                <w:b/>
              </w:rPr>
              <w:t xml:space="preserve">Total — 1 dossier analysé, Analyste/Fonds (6 profils)</w:t>
            </w:r>
          </w:p>
        </w:tc>
        <w:tc>
          <w:tcPr/>
          <w:p>
            <w:pPr>
              <w:pStyle w:val="Compact"/>
              <w:jc w:val="left"/>
            </w:pPr>
            <w:r>
              <w:t xml:space="preserve">Extraction + 6 reformulations</w:t>
            </w:r>
          </w:p>
        </w:tc>
        <w:tc>
          <w:tcPr/>
          <w:p>
            <w:pPr>
              <w:pStyle w:val="Compact"/>
              <w:jc w:val="left"/>
            </w:pPr>
            <w:r>
              <w:rPr>
                <w:bCs/>
                <w:b/>
              </w:rPr>
              <w:t xml:space="preserve">≈ 4,75 à 4,80 $</w:t>
            </w:r>
          </w:p>
        </w:tc>
      </w:tr>
      <w:tr>
        <w:tc>
          <w:tcPr/>
          <w:p>
            <w:pPr>
              <w:pStyle w:val="Compact"/>
              <w:jc w:val="left"/>
            </w:pPr>
            <w:r>
              <w:rPr>
                <w:bCs/>
                <w:b/>
              </w:rPr>
              <w:t xml:space="preserve">Total — 1 dossier analysé, Essentiel (3 profils)</w:t>
            </w:r>
          </w:p>
        </w:tc>
        <w:tc>
          <w:tcPr/>
          <w:p>
            <w:pPr>
              <w:pStyle w:val="Compact"/>
              <w:jc w:val="left"/>
            </w:pPr>
            <w:r>
              <w:t xml:space="preserve">Extraction + 3 reformulations</w:t>
            </w:r>
          </w:p>
        </w:tc>
        <w:tc>
          <w:tcPr/>
          <w:p>
            <w:pPr>
              <w:pStyle w:val="Compact"/>
              <w:jc w:val="left"/>
            </w:pPr>
            <w:r>
              <w:rPr>
                <w:bCs/>
                <w:b/>
              </w:rPr>
              <w:t xml:space="preserve">≈ 4,63 à 4,65 $</w:t>
            </w:r>
          </w:p>
        </w:tc>
      </w:tr>
      <w:tr>
        <w:tc>
          <w:tcPr/>
          <w:p>
            <w:pPr>
              <w:pStyle w:val="Compact"/>
              <w:jc w:val="left"/>
            </w:pPr>
            <w:r>
              <w:t xml:space="preserve">1 question de chat (moyenne routée + cache)</w:t>
            </w:r>
          </w:p>
        </w:tc>
        <w:tc>
          <w:tcPr/>
          <w:p>
            <w:pPr>
              <w:pStyle w:val="Compact"/>
              <w:jc w:val="left"/>
            </w:pPr>
            <w:r>
              <w:t xml:space="preserve">Sonnet 5 majoritaire + escalade Fable 5 ponctuelle</w:t>
            </w:r>
          </w:p>
        </w:tc>
        <w:tc>
          <w:tcPr/>
          <w:p>
            <w:pPr>
              <w:pStyle w:val="Compact"/>
              <w:jc w:val="left"/>
            </w:pPr>
            <w:r>
              <w:t xml:space="preserve">~0,02 $</w:t>
            </w:r>
          </w:p>
        </w:tc>
      </w:tr>
      <w:tr>
        <w:tc>
          <w:tcPr/>
          <w:p>
            <w:pPr>
              <w:pStyle w:val="Compact"/>
              <w:jc w:val="left"/>
            </w:pPr>
            <w:r>
              <w:t xml:space="preserve">1 comparaison entre dossiers (occasionnel)</w:t>
            </w:r>
          </w:p>
        </w:tc>
        <w:tc>
          <w:tcPr/>
          <w:p>
            <w:pPr>
              <w:pStyle w:val="Compact"/>
              <w:jc w:val="left"/>
            </w:pPr>
            <w:r>
              <w:t xml:space="preserve">Fable 5, deux dossiers croisés</w:t>
            </w:r>
          </w:p>
        </w:tc>
        <w:tc>
          <w:tcPr/>
          <w:p>
            <w:pPr>
              <w:pStyle w:val="Compact"/>
              <w:jc w:val="left"/>
            </w:pPr>
            <w:r>
              <w:t xml:space="preserve">~6 $</w:t>
            </w:r>
          </w:p>
        </w:tc>
      </w:tr>
      <w:tr>
        <w:tc>
          <w:tcPr/>
          <w:p>
            <w:pPr>
              <w:pStyle w:val="Compact"/>
              <w:jc w:val="left"/>
            </w:pPr>
            <w:r>
              <w:t xml:space="preserve">1 ajout Copilote épinglé à la note</w:t>
            </w:r>
          </w:p>
        </w:tc>
        <w:tc>
          <w:tcPr/>
          <w:p>
            <w:pPr>
              <w:pStyle w:val="Compact"/>
              <w:jc w:val="left"/>
            </w:pPr>
            <w:r>
              <w:t xml:space="preserve">Classification Haiku 4.5 uniquement (la question est déjà comptée dans le chat)</w:t>
            </w:r>
          </w:p>
        </w:tc>
        <w:tc>
          <w:tcPr/>
          <w:p>
            <w:pPr>
              <w:pStyle w:val="Compact"/>
              <w:jc w:val="left"/>
            </w:pPr>
            <w:r>
              <w:t xml:space="preserve">&lt; 0,01 $</w:t>
            </w:r>
          </w:p>
        </w:tc>
      </w:tr>
    </w:tbl>
    <w:p>
      <w:pPr>
        <w:pStyle w:val="BodyText"/>
      </w:pPr>
      <w:r>
        <w:rPr>
          <w:iCs/>
          <w:i/>
        </w:rPr>
        <w:t xml:space="preserve">Note : le coût de ~0,02 $/question suppose un usage dense et régulier (plusieurs questions à la suite sur un même dossier), typique du pattern Analyste/Fonds, qui maximise l’efficacité du cache de prompt 1h (section 5). Pour un usage plus sporadique — le pattern attendu sur l’offre Essentiel — le coût réel par question peut monter jusqu’à ~0,06 $ ; cette fourchette (0,02 à 0,06 $) est celle utilisée dans les simulations de marge (section 8).</w:t>
      </w:r>
    </w:p>
    <w:p>
      <w:pPr>
        <w:pStyle w:val="BodyText"/>
      </w:pPr>
      <w:r>
        <w:rPr>
          <w:iCs/>
          <w:i/>
        </w:rPr>
        <w:t xml:space="preserve">Point méthodologique : l’extraction exhaustive coûte davantage que l’ancien résumé exécutif (3,25 $) car elle doit couvrir systématiquement les six catégories de la taxonomie (Note d’Architecture, section 4.I) plutôt qu’une synthèse générique — le volume de sortie augmente en conséquence. Ce surcoût de ~1,55 $ par nouveau dossier analysé est répercuté dans les simulations de marge ci-dessous (section 8).</w:t>
      </w:r>
    </w:p>
    <w:bookmarkEnd w:id="23"/>
    <w:bookmarkStart w:id="24" w:name="Xe223f2b4a81f70761f17879ab8c46de5765331b"/>
    <w:p>
      <w:pPr>
        <w:pStyle w:val="Heading1"/>
      </w:pPr>
      <w:r>
        <w:t xml:space="preserve">5. Cache de Prompt — Le Levier qui Rend le Chat et les Reformulations Peu Coûteux</w:t>
      </w:r>
    </w:p>
    <w:p>
      <w:pPr>
        <w:pStyle w:val="FirstParagraph"/>
      </w:pPr>
      <w:r>
        <w:t xml:space="preserve">Le cache de prompt (fonctionnalité native de l’API Anthropic, paramètre cache_control, aucun outil supplémentaire à héberger) permet de relire le contexte d’une session de travail à 10 % du tarif d’entrée standard, contre 1,25× à 2× ce tarif pour la première lecture. FinLens utilise le palier 1 heure : le cache se rafraîchit à chaque appel, donc une session active — que ce soit une conversation de chat ou les six reformulations par profil émises coup sur coup après l’extraction — reste dans un seul cache continu tant que l’écart entre deux appels ne dépasse pas une heure. C’est ce mécanisme, combiné au routage vers Sonnet 5, qui ramène le coût moyen d’une question de chat à environ 0,02 $ au lieu de 0,09 $ si tout passait par Fable 5 sans optimisation, et qui rend l’estimation de 0,25-0,30 $ pour les 6 reformulations plutôt conservatrice (seule la première paie le tarif d’entrée plein).</w:t>
      </w:r>
    </w:p>
    <w:p>
      <w:pPr>
        <w:pStyle w:val="BodyText"/>
      </w:pPr>
      <w:r>
        <w:t xml:space="preserve">Distinction importante : le cache de prompt est une optimisation de coût éphémère, à ne pas confondre avec la mémoire persistante de la plateforme (Qdrant et Supabase, qui ne s’effacent jamais). C’est cette mémoire permanente qui permet à un analyste de retrouver son dossier le lendemain — le cache n’a aucun rôle dans cette continuité.</w:t>
      </w:r>
    </w:p>
    <w:bookmarkEnd w:id="24"/>
    <w:bookmarkStart w:id="25" w:name="X4e37173cc21d08aaad9c3753ab9a4e6591a2f46"/>
    <w:p>
      <w:pPr>
        <w:pStyle w:val="Heading1"/>
      </w:pPr>
      <w:r>
        <w:t xml:space="preserve">6. Volume de Pages : une Politique Réellement Illimitée</w:t>
      </w:r>
    </w:p>
    <w:p>
      <w:pPr>
        <w:pStyle w:val="FirstParagraph"/>
      </w:pPr>
      <w:r>
        <w:t xml:space="preserve">Le nombre de documents par dossier n’est pas limité : ce qui a un impact sur le coût, c’est le volume de pages, pas le nombre de fichiers. Grâce à la fenêtre de contexte native de Claude Fable 5 (1 million de tokens, soit environ 1 500 à 3 000 pages), la quasi-totalité des dossiers réels tient dans un seul appel IA. Au-delà de ce seuil technique (cas rare, data room géante), le système bascule automatiquement en résumé multi-passages (map-reduce) — invisible pour le client, jamais bloquant.</w:t>
      </w:r>
    </w:p>
    <w:bookmarkEnd w:id="25"/>
    <w:bookmarkStart w:id="26" w:name="grille-tarifaire-des-3-offres"/>
    <w:p>
      <w:pPr>
        <w:pStyle w:val="Heading1"/>
      </w:pPr>
      <w:r>
        <w:t xml:space="preserve">7. Grille Tarifaire des 3 Offres</w:t>
      </w:r>
    </w:p>
    <w:p>
      <w:pPr>
        <w:pStyle w:val="FirstParagraph"/>
      </w:pPr>
      <w:r>
        <w:t xml:space="preserve">La différenciation entre les trois offres ne repose plus sur un même principe : Essentiel fonctionne par quotas mensuels fermes et visibles, tandis qu’Analyste et Fonds restent construites sur le principe du volume illimité protégé par le routage (la section 9 détaille les deux logiques de garde-fous).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Offre</w:t>
            </w:r>
          </w:p>
        </w:tc>
        <w:tc>
          <w:tcPr/>
          <w:p>
            <w:pPr>
              <w:pStyle w:val="Compact"/>
              <w:jc w:val="left"/>
            </w:pPr>
            <w:r>
              <w:rPr>
                <w:bCs/>
                <w:b/>
              </w:rPr>
              <w:t xml:space="preserve">Prix</w:t>
            </w:r>
          </w:p>
        </w:tc>
        <w:tc>
          <w:tcPr/>
          <w:p>
            <w:pPr>
              <w:pStyle w:val="Compact"/>
              <w:jc w:val="left"/>
            </w:pPr>
            <w:r>
              <w:rPr>
                <w:bCs/>
                <w:b/>
              </w:rPr>
              <w:t xml:space="preserve">Contenu</w:t>
            </w:r>
          </w:p>
        </w:tc>
        <w:tc>
          <w:tcPr/>
          <w:p>
            <w:pPr>
              <w:pStyle w:val="Compact"/>
              <w:jc w:val="left"/>
            </w:pPr>
            <w:r>
              <w:rPr>
                <w:bCs/>
                <w:b/>
              </w:rPr>
              <w:t xml:space="preserve">Plafonds</w:t>
            </w:r>
          </w:p>
        </w:tc>
      </w:tr>
      <w:tr>
        <w:tc>
          <w:tcPr/>
          <w:p>
            <w:pPr>
              <w:pStyle w:val="Compact"/>
              <w:jc w:val="left"/>
            </w:pPr>
            <w:r>
              <w:t xml:space="preserve">FinLens Essentiel</w:t>
            </w:r>
          </w:p>
        </w:tc>
        <w:tc>
          <w:tcPr/>
          <w:p>
            <w:pPr>
              <w:pStyle w:val="Compact"/>
              <w:jc w:val="left"/>
            </w:pPr>
            <w:r>
              <w:t xml:space="preserve">23 €/mois</w:t>
            </w:r>
          </w:p>
        </w:tc>
        <w:tc>
          <w:tcPr/>
          <w:p>
            <w:pPr>
              <w:pStyle w:val="Compact"/>
              <w:jc w:val="left"/>
            </w:pPr>
            <w:r>
              <w:t xml:space="preserve">4 dossiers actifs simultanés, gardés sans limite de durée ; rotation libre et gratuite entre dossiers déjà analysés (aucun nouvel appel Fable 5/Sonnet 5 à la réouverture) ; 3 profils d’analyse sur les 6 (Généraliste/Étudiant, CFO, Analyste indépendant/Family Office) ; export illimité (PDF/Word)</w:t>
            </w:r>
          </w:p>
        </w:tc>
        <w:tc>
          <w:tcPr/>
          <w:p>
            <w:pPr>
              <w:pStyle w:val="Compact"/>
              <w:jc w:val="left"/>
            </w:pPr>
            <w:r>
              <w:t xml:space="preserve">3 nouveaux dossiers analysés par mois (extraction + 3 profils Fable 5/Sonnet 5) ; 100 questions de chat par mois, tous dossiers confondus ; pas de comparateur de dossiers ; reset individuel au prochain prélèvement</w:t>
            </w:r>
          </w:p>
        </w:tc>
      </w:tr>
      <w:tr>
        <w:tc>
          <w:tcPr/>
          <w:p>
            <w:pPr>
              <w:pStyle w:val="Compact"/>
              <w:jc w:val="left"/>
            </w:pPr>
            <w:r>
              <w:t xml:space="preserve">FinLens Analyste</w:t>
            </w:r>
          </w:p>
        </w:tc>
        <w:tc>
          <w:tcPr/>
          <w:p>
            <w:pPr>
              <w:pStyle w:val="Compact"/>
              <w:jc w:val="left"/>
            </w:pPr>
            <w:r>
              <w:t xml:space="preserve">690 €/mois (1 siège)</w:t>
            </w:r>
          </w:p>
        </w:tc>
        <w:tc>
          <w:tcPr/>
          <w:p>
            <w:pPr>
              <w:pStyle w:val="Compact"/>
              <w:jc w:val="left"/>
            </w:pPr>
            <w:r>
              <w:t xml:space="preserve">Dossiers, documents, pages et questions illimités ; les 6 profils d’analyse disponibles</w:t>
            </w:r>
          </w:p>
        </w:tc>
        <w:tc>
          <w:tcPr/>
          <w:p>
            <w:pPr>
              <w:pStyle w:val="Compact"/>
              <w:jc w:val="left"/>
            </w:pPr>
            <w:r>
              <w:t xml:space="preserve">15 dossiers ouverts simultanément</w:t>
            </w:r>
          </w:p>
        </w:tc>
      </w:tr>
      <w:tr>
        <w:tc>
          <w:tcPr/>
          <w:p>
            <w:pPr>
              <w:pStyle w:val="Compact"/>
              <w:jc w:val="left"/>
            </w:pPr>
            <w:r>
              <w:t xml:space="preserve">FinLens Fonds</w:t>
            </w:r>
          </w:p>
        </w:tc>
        <w:tc>
          <w:tcPr/>
          <w:p>
            <w:pPr>
              <w:pStyle w:val="Compact"/>
              <w:jc w:val="left"/>
            </w:pPr>
            <w:r>
              <w:t xml:space="preserve">Sur devis, à partir de 2 900 €/mois (5 sièges à 580 €). Sièges additionnels : 580 €/mois jusqu’au 10e siège, puis 630 €/mois au-delà (palier lié au risque de concentration d’usage — section 9).</w:t>
            </w:r>
          </w:p>
        </w:tc>
        <w:tc>
          <w:tcPr/>
          <w:p>
            <w:pPr>
              <w:pStyle w:val="Compact"/>
              <w:jc w:val="left"/>
            </w:pPr>
            <w:r>
              <w:t xml:space="preserve">Idem Analyste, par siège</w:t>
            </w:r>
          </w:p>
        </w:tc>
        <w:tc>
          <w:tcPr/>
          <w:p>
            <w:pPr>
              <w:pStyle w:val="Compact"/>
              <w:jc w:val="left"/>
            </w:pPr>
            <w:r>
              <w:t xml:space="preserve">15 dossiers ouverts simultanément par siège</w:t>
            </w:r>
          </w:p>
        </w:tc>
      </w:tr>
    </w:tbl>
    <w:bookmarkEnd w:id="26"/>
    <w:bookmarkStart w:id="27" w:name="X85c084cd0fdb2c4d38c747be607914cc542dc02"/>
    <w:p>
      <w:pPr>
        <w:pStyle w:val="Heading1"/>
      </w:pPr>
      <w:r>
        <w:t xml:space="preserve">8. Simulation de Marge — Du Cas Normal au Cas Extrême</w:t>
      </w:r>
    </w:p>
    <w:p>
      <w:pPr>
        <w:pStyle w:val="FirstParagraph"/>
      </w:pPr>
      <w:r>
        <w:t xml:space="preserve">Vérification, pas objectif : ces chiffres ne servent pas à calibrer un plafond, mais à confirmer que le modèle reste positif même dans les scénarios les plus défavorables plausibles pour un usage humain réel.</w:t>
      </w:r>
    </w:p>
    <w:p>
      <w:pPr>
        <w:pStyle w:val="BodyText"/>
      </w:pPr>
      <w:r>
        <w:rPr>
          <w:bCs/>
          <w:b/>
        </w:rPr>
        <w:t xml:space="preserve">Méthode de mise à jour :</w:t>
      </w:r>
      <w:r>
        <w:t xml:space="preserve"> </w:t>
      </w:r>
      <w:r>
        <w:t xml:space="preserve">chaque scénario ci-dessous reprend le coût précédemment calculé et y ajoute le surcoût de l’extraction multi-profil (+1,55 $ par nouveau dossier analysé, section 4), appliqué au nombre de nouveaux dossiers du scénario. Le coût du comparateur et des questions de chat est inchangé.</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Scénario</w:t>
            </w:r>
          </w:p>
        </w:tc>
        <w:tc>
          <w:tcPr/>
          <w:p>
            <w:pPr>
              <w:pStyle w:val="Compact"/>
              <w:jc w:val="left"/>
            </w:pPr>
            <w:r>
              <w:rPr>
                <w:bCs/>
                <w:b/>
              </w:rPr>
              <w:t xml:space="preserve">Détail d’usage</w:t>
            </w:r>
          </w:p>
        </w:tc>
        <w:tc>
          <w:tcPr/>
          <w:p>
            <w:pPr>
              <w:pStyle w:val="Compact"/>
              <w:jc w:val="left"/>
            </w:pPr>
            <w:r>
              <w:rPr>
                <w:bCs/>
                <w:b/>
              </w:rPr>
              <w:t xml:space="preserve">Facture</w:t>
            </w:r>
          </w:p>
        </w:tc>
        <w:tc>
          <w:tcPr/>
          <w:p>
            <w:pPr>
              <w:pStyle w:val="Compact"/>
              <w:jc w:val="left"/>
            </w:pPr>
            <w:r>
              <w:rPr>
                <w:bCs/>
                <w:b/>
              </w:rPr>
              <w:t xml:space="preserve">Coût réel</w:t>
            </w:r>
          </w:p>
        </w:tc>
        <w:tc>
          <w:tcPr/>
          <w:p>
            <w:pPr>
              <w:pStyle w:val="Compact"/>
              <w:jc w:val="left"/>
            </w:pPr>
            <w:r>
              <w:rPr>
                <w:bCs/>
                <w:b/>
              </w:rPr>
              <w:t xml:space="preserve">Marge</w:t>
            </w:r>
          </w:p>
        </w:tc>
      </w:tr>
      <w:tr>
        <w:tc>
          <w:tcPr/>
          <w:p>
            <w:pPr>
              <w:pStyle w:val="Compact"/>
              <w:jc w:val="left"/>
            </w:pPr>
            <w:r>
              <w:t xml:space="preserve">Essentiel — usage normal</w:t>
            </w:r>
          </w:p>
        </w:tc>
        <w:tc>
          <w:tcPr/>
          <w:p>
            <w:pPr>
              <w:pStyle w:val="Compact"/>
              <w:jc w:val="left"/>
            </w:pPr>
            <w:r>
              <w:t xml:space="preserve">1 nouveau dossier, ~30 questions</w:t>
            </w:r>
          </w:p>
        </w:tc>
        <w:tc>
          <w:tcPr/>
          <w:p>
            <w:pPr>
              <w:pStyle w:val="Compact"/>
              <w:jc w:val="left"/>
            </w:pPr>
            <w:r>
              <w:t xml:space="preserve">23 €</w:t>
            </w:r>
          </w:p>
        </w:tc>
        <w:tc>
          <w:tcPr/>
          <w:p>
            <w:pPr>
              <w:pStyle w:val="Compact"/>
              <w:jc w:val="left"/>
            </w:pPr>
            <w:r>
              <w:t xml:space="preserve">5,25 à 6,45 €</w:t>
            </w:r>
          </w:p>
        </w:tc>
        <w:tc>
          <w:tcPr/>
          <w:p>
            <w:pPr>
              <w:pStyle w:val="Compact"/>
              <w:jc w:val="left"/>
            </w:pPr>
            <w:r>
              <w:t xml:space="preserve">72 à 77 %</w:t>
            </w:r>
          </w:p>
        </w:tc>
      </w:tr>
      <w:tr>
        <w:tc>
          <w:tcPr/>
          <w:p>
            <w:pPr>
              <w:pStyle w:val="Compact"/>
              <w:jc w:val="left"/>
            </w:pPr>
            <w:r>
              <w:t xml:space="preserve">Essentiel — quota max (cache efficace)</w:t>
            </w:r>
          </w:p>
        </w:tc>
        <w:tc>
          <w:tcPr/>
          <w:p>
            <w:pPr>
              <w:pStyle w:val="Compact"/>
              <w:jc w:val="left"/>
            </w:pPr>
            <w:r>
              <w:t xml:space="preserve">3 nouveaux dossiers, 100 questions</w:t>
            </w:r>
          </w:p>
        </w:tc>
        <w:tc>
          <w:tcPr/>
          <w:p>
            <w:pPr>
              <w:pStyle w:val="Compact"/>
              <w:jc w:val="left"/>
            </w:pPr>
            <w:r>
              <w:t xml:space="preserve">23 €</w:t>
            </w:r>
          </w:p>
        </w:tc>
        <w:tc>
          <w:tcPr/>
          <w:p>
            <w:pPr>
              <w:pStyle w:val="Compact"/>
              <w:jc w:val="left"/>
            </w:pPr>
            <w:r>
              <w:t xml:space="preserve">15,95 €</w:t>
            </w:r>
          </w:p>
        </w:tc>
        <w:tc>
          <w:tcPr/>
          <w:p>
            <w:pPr>
              <w:pStyle w:val="Compact"/>
              <w:jc w:val="left"/>
            </w:pPr>
            <w:r>
              <w:t xml:space="preserve">31 %</w:t>
            </w:r>
          </w:p>
        </w:tc>
      </w:tr>
      <w:tr>
        <w:tc>
          <w:tcPr/>
          <w:p>
            <w:pPr>
              <w:pStyle w:val="Compact"/>
              <w:jc w:val="left"/>
            </w:pPr>
            <w:r>
              <w:t xml:space="preserve">Essentiel — quota max (cache peu efficace)</w:t>
            </w:r>
          </w:p>
        </w:tc>
        <w:tc>
          <w:tcPr/>
          <w:p>
            <w:pPr>
              <w:pStyle w:val="Compact"/>
              <w:jc w:val="left"/>
            </w:pPr>
            <w:r>
              <w:t xml:space="preserve">3 nouveaux dossiers, 100 questions</w:t>
            </w:r>
          </w:p>
        </w:tc>
        <w:tc>
          <w:tcPr/>
          <w:p>
            <w:pPr>
              <w:pStyle w:val="Compact"/>
              <w:jc w:val="left"/>
            </w:pPr>
            <w:r>
              <w:t xml:space="preserve">23 €</w:t>
            </w:r>
          </w:p>
        </w:tc>
        <w:tc>
          <w:tcPr/>
          <w:p>
            <w:pPr>
              <w:pStyle w:val="Compact"/>
              <w:jc w:val="left"/>
            </w:pPr>
            <w:r>
              <w:t xml:space="preserve">19,95 €</w:t>
            </w:r>
          </w:p>
        </w:tc>
        <w:tc>
          <w:tcPr/>
          <w:p>
            <w:pPr>
              <w:pStyle w:val="Compact"/>
              <w:jc w:val="left"/>
            </w:pPr>
            <w:r>
              <w:t xml:space="preserve">13 %</w:t>
            </w:r>
          </w:p>
        </w:tc>
      </w:tr>
      <w:tr>
        <w:tc>
          <w:tcPr/>
          <w:p>
            <w:pPr>
              <w:pStyle w:val="Compact"/>
              <w:jc w:val="left"/>
            </w:pPr>
            <w:r>
              <w:t xml:space="preserve">Analyste — usage normal</w:t>
            </w:r>
          </w:p>
        </w:tc>
        <w:tc>
          <w:tcPr/>
          <w:p>
            <w:pPr>
              <w:pStyle w:val="Compact"/>
              <w:jc w:val="left"/>
            </w:pPr>
            <w:r>
              <w:t xml:space="preserve">20 dossiers, 25 questions/dossier, 1 comparaison</w:t>
            </w:r>
          </w:p>
        </w:tc>
        <w:tc>
          <w:tcPr/>
          <w:p>
            <w:pPr>
              <w:pStyle w:val="Compact"/>
              <w:jc w:val="left"/>
            </w:pPr>
            <w:r>
              <w:t xml:space="preserve">690 €</w:t>
            </w:r>
          </w:p>
        </w:tc>
        <w:tc>
          <w:tcPr/>
          <w:p>
            <w:pPr>
              <w:pStyle w:val="Compact"/>
              <w:jc w:val="left"/>
            </w:pPr>
            <w:r>
              <w:t xml:space="preserve">112 €</w:t>
            </w:r>
          </w:p>
        </w:tc>
        <w:tc>
          <w:tcPr/>
          <w:p>
            <w:pPr>
              <w:pStyle w:val="Compact"/>
              <w:jc w:val="left"/>
            </w:pPr>
            <w:r>
              <w:t xml:space="preserve">84 %</w:t>
            </w:r>
          </w:p>
        </w:tc>
      </w:tr>
      <w:tr>
        <w:tc>
          <w:tcPr/>
          <w:p>
            <w:pPr>
              <w:pStyle w:val="Compact"/>
              <w:jc w:val="left"/>
            </w:pPr>
            <w:r>
              <w:t xml:space="preserve">Analyste — usage soutenu</w:t>
            </w:r>
          </w:p>
        </w:tc>
        <w:tc>
          <w:tcPr/>
          <w:p>
            <w:pPr>
              <w:pStyle w:val="Compact"/>
              <w:jc w:val="left"/>
            </w:pPr>
            <w:r>
              <w:t xml:space="preserve">40 dossiers, 60 questions/dossier, 3 comparaisons</w:t>
            </w:r>
          </w:p>
        </w:tc>
        <w:tc>
          <w:tcPr/>
          <w:p>
            <w:pPr>
              <w:pStyle w:val="Compact"/>
              <w:jc w:val="left"/>
            </w:pPr>
            <w:r>
              <w:t xml:space="preserve">690 €</w:t>
            </w:r>
          </w:p>
        </w:tc>
        <w:tc>
          <w:tcPr/>
          <w:p>
            <w:pPr>
              <w:pStyle w:val="Compact"/>
              <w:jc w:val="left"/>
            </w:pPr>
            <w:r>
              <w:t xml:space="preserve">258 €</w:t>
            </w:r>
          </w:p>
        </w:tc>
        <w:tc>
          <w:tcPr/>
          <w:p>
            <w:pPr>
              <w:pStyle w:val="Compact"/>
              <w:jc w:val="left"/>
            </w:pPr>
            <w:r>
              <w:t xml:space="preserve">63 %</w:t>
            </w:r>
          </w:p>
        </w:tc>
      </w:tr>
      <w:tr>
        <w:tc>
          <w:tcPr/>
          <w:p>
            <w:pPr>
              <w:pStyle w:val="Compact"/>
              <w:jc w:val="left"/>
            </w:pPr>
            <w:r>
              <w:t xml:space="preserve">Analyste — usage extrême (« le mur »)</w:t>
            </w:r>
          </w:p>
        </w:tc>
        <w:tc>
          <w:tcPr/>
          <w:p>
            <w:pPr>
              <w:pStyle w:val="Compact"/>
              <w:jc w:val="left"/>
            </w:pPr>
            <w:r>
              <w:t xml:space="preserve">60 dossiers, 100 questions/dossier, 5 comparaisons</w:t>
            </w:r>
          </w:p>
        </w:tc>
        <w:tc>
          <w:tcPr/>
          <w:p>
            <w:pPr>
              <w:pStyle w:val="Compact"/>
              <w:jc w:val="left"/>
            </w:pPr>
            <w:r>
              <w:t xml:space="preserve">690 €</w:t>
            </w:r>
          </w:p>
        </w:tc>
        <w:tc>
          <w:tcPr/>
          <w:p>
            <w:pPr>
              <w:pStyle w:val="Compact"/>
              <w:jc w:val="left"/>
            </w:pPr>
            <w:r>
              <w:t xml:space="preserve">438 €</w:t>
            </w:r>
          </w:p>
        </w:tc>
        <w:tc>
          <w:tcPr/>
          <w:p>
            <w:pPr>
              <w:pStyle w:val="Compact"/>
              <w:jc w:val="left"/>
            </w:pPr>
            <w:r>
              <w:t xml:space="preserve">37 %</w:t>
            </w:r>
          </w:p>
        </w:tc>
      </w:tr>
      <w:tr>
        <w:tc>
          <w:tcPr/>
          <w:p>
            <w:pPr>
              <w:pStyle w:val="Compact"/>
              <w:jc w:val="left"/>
            </w:pPr>
            <w:r>
              <w:t xml:space="preserve">Fonds — équipe de 5, usage normal</w:t>
            </w:r>
          </w:p>
        </w:tc>
        <w:tc>
          <w:tcPr/>
          <w:p>
            <w:pPr>
              <w:pStyle w:val="Compact"/>
              <w:jc w:val="left"/>
            </w:pPr>
            <w:r>
              <w:t xml:space="preserve">100 dossiers, 25 q/dossier, 5 comparaisons (total équipe)</w:t>
            </w:r>
          </w:p>
        </w:tc>
        <w:tc>
          <w:tcPr/>
          <w:p>
            <w:pPr>
              <w:pStyle w:val="Compact"/>
              <w:jc w:val="left"/>
            </w:pPr>
            <w:r>
              <w:t xml:space="preserve">2 900 €</w:t>
            </w:r>
          </w:p>
        </w:tc>
        <w:tc>
          <w:tcPr/>
          <w:p>
            <w:pPr>
              <w:pStyle w:val="Compact"/>
              <w:jc w:val="left"/>
            </w:pPr>
            <w:r>
              <w:t xml:space="preserve">560 €</w:t>
            </w:r>
          </w:p>
        </w:tc>
        <w:tc>
          <w:tcPr/>
          <w:p>
            <w:pPr>
              <w:pStyle w:val="Compact"/>
              <w:jc w:val="left"/>
            </w:pPr>
            <w:r>
              <w:t xml:space="preserve">81 %</w:t>
            </w:r>
          </w:p>
        </w:tc>
      </w:tr>
      <w:tr>
        <w:tc>
          <w:tcPr/>
          <w:p>
            <w:pPr>
              <w:pStyle w:val="Compact"/>
              <w:jc w:val="left"/>
            </w:pPr>
            <w:r>
              <w:t xml:space="preserve">Fonds — équipe de 10, usage soutenu</w:t>
            </w:r>
          </w:p>
        </w:tc>
        <w:tc>
          <w:tcPr/>
          <w:p>
            <w:pPr>
              <w:pStyle w:val="Compact"/>
              <w:jc w:val="left"/>
            </w:pPr>
            <w:r>
              <w:t xml:space="preserve">400 dossiers, 60 q/dossier, 30 comparaisons (total équipe)</w:t>
            </w:r>
          </w:p>
        </w:tc>
        <w:tc>
          <w:tcPr/>
          <w:p>
            <w:pPr>
              <w:pStyle w:val="Compact"/>
              <w:jc w:val="left"/>
            </w:pPr>
            <w:r>
              <w:t xml:space="preserve">5 800 €</w:t>
            </w:r>
          </w:p>
        </w:tc>
        <w:tc>
          <w:tcPr/>
          <w:p>
            <w:pPr>
              <w:pStyle w:val="Compact"/>
              <w:jc w:val="left"/>
            </w:pPr>
            <w:r>
              <w:t xml:space="preserve">2 580 €</w:t>
            </w:r>
          </w:p>
        </w:tc>
        <w:tc>
          <w:tcPr/>
          <w:p>
            <w:pPr>
              <w:pStyle w:val="Compact"/>
              <w:jc w:val="left"/>
            </w:pPr>
            <w:r>
              <w:t xml:space="preserve">56 %</w:t>
            </w:r>
          </w:p>
        </w:tc>
      </w:tr>
      <w:tr>
        <w:tc>
          <w:tcPr/>
          <w:p>
            <w:pPr>
              <w:pStyle w:val="Compact"/>
              <w:jc w:val="left"/>
            </w:pPr>
            <w:r>
              <w:t xml:space="preserve">Fonds — équipe de 10, usage extrême</w:t>
            </w:r>
          </w:p>
        </w:tc>
        <w:tc>
          <w:tcPr/>
          <w:p>
            <w:pPr>
              <w:pStyle w:val="Compact"/>
              <w:jc w:val="left"/>
            </w:pPr>
            <w:r>
              <w:t xml:space="preserve">600 dossiers, 100 q/dossier, 50 comparaisons (total équipe)</w:t>
            </w:r>
          </w:p>
        </w:tc>
        <w:tc>
          <w:tcPr/>
          <w:p>
            <w:pPr>
              <w:pStyle w:val="Compact"/>
              <w:jc w:val="left"/>
            </w:pPr>
            <w:r>
              <w:t xml:space="preserve">5 800 €</w:t>
            </w:r>
          </w:p>
        </w:tc>
        <w:tc>
          <w:tcPr/>
          <w:p>
            <w:pPr>
              <w:pStyle w:val="Compact"/>
              <w:jc w:val="left"/>
            </w:pPr>
            <w:r>
              <w:t xml:space="preserve">4 380 €</w:t>
            </w:r>
          </w:p>
        </w:tc>
        <w:tc>
          <w:tcPr/>
          <w:p>
            <w:pPr>
              <w:pStyle w:val="Compact"/>
              <w:jc w:val="left"/>
            </w:pPr>
            <w:r>
              <w:t xml:space="preserve">25 %</w:t>
            </w:r>
          </w:p>
        </w:tc>
      </w:tr>
    </w:tbl>
    <w:p>
      <w:pPr>
        <w:pStyle w:val="BodyText"/>
      </w:pPr>
      <w:r>
        <w:rPr>
          <w:bCs/>
          <w:b/>
        </w:rPr>
        <w:t xml:space="preserve">Décision retenue sur Essentiel :</w:t>
      </w:r>
      <w:r>
        <w:t xml:space="preserve"> </w:t>
      </w:r>
      <w:r>
        <w:t xml:space="preserve">l’introduction du Module 2 multi-profil avait fait basculer le cas « quota max, cache peu efficace » à une marge d’environ -2 %, contre +21 % avant l’extraction multi-catégorie. Deux ajustements combinés restaurent un plancher positif : le prix passe de 20 à 23 €/mois, et Essentiel se limite à 3 profils sur les 6 (Généraliste/Étudiant, CFO, Analyste indépendant/Family Office — Note d’Architecture, section 4.I.1). L’extraction (≈4,50 $, inchangée quelle que soit l’offre) reste le poste dominant ; limiter les profils ne réduit le coût que marginalement (≈0,15 $ économisés sur 3 profils en moins), c’est bien l’ajustement de prix qui porte l’essentiel de la correction. Résultat : le plancher Essentiel remonte à 13 % (cas extrême) — en retrait par rapport aux 21 % d’avant l’introduction du Module 2, mais de nouveau solidement positif. Sur Analyste et Fonds, qui conservent les 6 profils, le plancher nominal descend de 41 % à 25 % dans le pire cas testé (Fonds, usage extrême) — un recul sensible mais qui reste largement soutenable, sans ajustement nécessaire sur ces deux offres.</w:t>
      </w:r>
    </w:p>
    <w:p>
      <w:pPr>
        <w:pStyle w:val="BodyText"/>
      </w:pPr>
      <w:r>
        <w:t xml:space="preserve">Le tableau ci-dessus suppose que le cache de prompt et le routage fonctionnent à leur efficacité nominale, y compris en usage extrême. Un second scénario mérite d’être isolé : celui où, sur un contrat donné, ces deux mécanismes de protection cessent de jouer simultanément — questions trop espacées pour bénéficier du cache 1h, et taux d’escalade vers Fable 5 anormalement élevé. Le coût par question se rapproche alors du tarif non optimisé (~0,09 $, section 5) plutôt que du tarif routé (~0,02 $)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Scénario</w:t>
            </w:r>
          </w:p>
        </w:tc>
        <w:tc>
          <w:tcPr/>
          <w:p>
            <w:pPr>
              <w:pStyle w:val="Compact"/>
              <w:jc w:val="left"/>
            </w:pPr>
            <w:r>
              <w:rPr>
                <w:bCs/>
                <w:b/>
              </w:rPr>
              <w:t xml:space="preserve">Détail d’usage</w:t>
            </w:r>
          </w:p>
        </w:tc>
        <w:tc>
          <w:tcPr/>
          <w:p>
            <w:pPr>
              <w:pStyle w:val="Compact"/>
              <w:jc w:val="left"/>
            </w:pPr>
            <w:r>
              <w:rPr>
                <w:bCs/>
                <w:b/>
              </w:rPr>
              <w:t xml:space="preserve">Facture</w:t>
            </w:r>
          </w:p>
        </w:tc>
        <w:tc>
          <w:tcPr/>
          <w:p>
            <w:pPr>
              <w:pStyle w:val="Compact"/>
              <w:jc w:val="left"/>
            </w:pPr>
            <w:r>
              <w:rPr>
                <w:bCs/>
                <w:b/>
              </w:rPr>
              <w:t xml:space="preserve">Coût (protection nominale)</w:t>
            </w:r>
          </w:p>
        </w:tc>
        <w:tc>
          <w:tcPr/>
          <w:p>
            <w:pPr>
              <w:pStyle w:val="Compact"/>
              <w:jc w:val="left"/>
            </w:pPr>
            <w:r>
              <w:rPr>
                <w:bCs/>
                <w:b/>
              </w:rPr>
              <w:t xml:space="preserve">Coût (protection en échec)</w:t>
            </w:r>
          </w:p>
        </w:tc>
        <w:tc>
          <w:tcPr/>
          <w:p>
            <w:pPr>
              <w:pStyle w:val="Compact"/>
              <w:jc w:val="left"/>
            </w:pPr>
            <w:r>
              <w:rPr>
                <w:bCs/>
                <w:b/>
              </w:rPr>
              <w:t xml:space="preserve">Marge résultante</w:t>
            </w:r>
          </w:p>
        </w:tc>
      </w:tr>
      <w:tr>
        <w:tc>
          <w:tcPr/>
          <w:p>
            <w:pPr>
              <w:pStyle w:val="Compact"/>
              <w:jc w:val="left"/>
            </w:pPr>
            <w:r>
              <w:t xml:space="preserve">Analyste — usage extrême</w:t>
            </w:r>
          </w:p>
        </w:tc>
        <w:tc>
          <w:tcPr/>
          <w:p>
            <w:pPr>
              <w:pStyle w:val="Compact"/>
              <w:jc w:val="left"/>
            </w:pPr>
            <w:r>
              <w:t xml:space="preserve">60 dossiers, 100 q/dossier, 5 comparaisons</w:t>
            </w:r>
          </w:p>
        </w:tc>
        <w:tc>
          <w:tcPr/>
          <w:p>
            <w:pPr>
              <w:pStyle w:val="Compact"/>
              <w:jc w:val="left"/>
            </w:pPr>
            <w:r>
              <w:t xml:space="preserve">690 €</w:t>
            </w:r>
          </w:p>
        </w:tc>
        <w:tc>
          <w:tcPr/>
          <w:p>
            <w:pPr>
              <w:pStyle w:val="Compact"/>
              <w:jc w:val="left"/>
            </w:pPr>
            <w:r>
              <w:t xml:space="preserve">438 € (37 %)</w:t>
            </w:r>
          </w:p>
        </w:tc>
        <w:tc>
          <w:tcPr/>
          <w:p>
            <w:pPr>
              <w:pStyle w:val="Compact"/>
              <w:jc w:val="left"/>
            </w:pPr>
            <w:r>
              <w:t xml:space="preserve">858 €</w:t>
            </w:r>
          </w:p>
        </w:tc>
        <w:tc>
          <w:tcPr/>
          <w:p>
            <w:pPr>
              <w:pStyle w:val="Compact"/>
              <w:jc w:val="left"/>
            </w:pPr>
            <w:r>
              <w:t xml:space="preserve">-24 %</w:t>
            </w:r>
          </w:p>
        </w:tc>
      </w:tr>
      <w:tr>
        <w:tc>
          <w:tcPr/>
          <w:p>
            <w:pPr>
              <w:pStyle w:val="Compact"/>
              <w:jc w:val="left"/>
            </w:pPr>
            <w:r>
              <w:t xml:space="preserve">Fonds — usage extrême (10 sièges)</w:t>
            </w:r>
          </w:p>
        </w:tc>
        <w:tc>
          <w:tcPr/>
          <w:p>
            <w:pPr>
              <w:pStyle w:val="Compact"/>
              <w:jc w:val="left"/>
            </w:pPr>
            <w:r>
              <w:t xml:space="preserve">600 dossiers, 100 q/dossier, 50 comparaisons</w:t>
            </w:r>
          </w:p>
        </w:tc>
        <w:tc>
          <w:tcPr/>
          <w:p>
            <w:pPr>
              <w:pStyle w:val="Compact"/>
              <w:jc w:val="left"/>
            </w:pPr>
            <w:r>
              <w:t xml:space="preserve">5 800 €</w:t>
            </w:r>
          </w:p>
        </w:tc>
        <w:tc>
          <w:tcPr/>
          <w:p>
            <w:pPr>
              <w:pStyle w:val="Compact"/>
              <w:jc w:val="left"/>
            </w:pPr>
            <w:r>
              <w:t xml:space="preserve">4 380 € (25 %)</w:t>
            </w:r>
          </w:p>
        </w:tc>
        <w:tc>
          <w:tcPr/>
          <w:p>
            <w:pPr>
              <w:pStyle w:val="Compact"/>
              <w:jc w:val="left"/>
            </w:pPr>
            <w:r>
              <w:t xml:space="preserve">8 580 €</w:t>
            </w:r>
          </w:p>
        </w:tc>
        <w:tc>
          <w:tcPr/>
          <w:p>
            <w:pPr>
              <w:pStyle w:val="Compact"/>
              <w:jc w:val="left"/>
            </w:pPr>
            <w:r>
              <w:t xml:space="preserve">-48 %</w:t>
            </w:r>
          </w:p>
        </w:tc>
      </w:tr>
    </w:tbl>
    <w:p>
      <w:pPr>
        <w:pStyle w:val="BodyText"/>
      </w:pPr>
      <w:r>
        <w:t xml:space="preserve">Ce scénario reste rare pris isolément — il suppose la conjonction de deux échecs simultanés sur un usage déjà extrême. Mais son impact sur la stratégie de croissance diffère selon l’origine du volume ajouté :</w:t>
      </w:r>
    </w:p>
    <w:p>
      <w:pPr>
        <w:numPr>
          <w:ilvl w:val="0"/>
          <w:numId w:val="1001"/>
        </w:numPr>
      </w:pPr>
      <w:r>
        <w:t xml:space="preserve">Ajouter des clients Fonds distincts dilue ce risque : un seul siège en usage normal (marge ≈ +470 €) absorbe une bonne part de la perte d’un siège tombé dans ce scénario pessimiste. Tant que les usages extrêmes de contrats différents restent indépendants, la croissance du nombre de clients protège la marge globale.</w:t>
      </w:r>
    </w:p>
    <w:p>
      <w:pPr>
        <w:numPr>
          <w:ilvl w:val="0"/>
          <w:numId w:val="1001"/>
        </w:numPr>
      </w:pPr>
      <w:r>
        <w:t xml:space="preserve">Ajouter des sièges à l’intérieur d’un même contrat Fonds ne bénéficie pas de cette dilution : une équipe qui intensifie son usage le fait généralement ensemble (même deal, même période de due-diligence), donc le risque scale avec le nombre de sièges du contrat plutôt que de se diluer. C’est ce risque de concentration intra-contrat — pas la croissance du nombre de clients — qui doit être traité par des garde-fous dédiés (section 9).</w:t>
      </w:r>
    </w:p>
    <w:bookmarkEnd w:id="27"/>
    <w:bookmarkStart w:id="28" w:name="garde-fous-deux-logiques-selon-loffre"/>
    <w:p>
      <w:pPr>
        <w:pStyle w:val="Heading1"/>
      </w:pPr>
      <w:r>
        <w:t xml:space="preserve">9. Garde-fous : Deux Logiques Selon l’Offre</w:t>
      </w:r>
    </w:p>
    <w:p>
      <w:pPr>
        <w:pStyle w:val="FirstParagraph"/>
      </w:pPr>
      <w:r>
        <w:t xml:space="preserve">Sur Analyste et Fonds, le seul plafond visible reste le nombre de dossiers ouverts simultanément (15 par siège) — il borne la largeur de l’espace de travail actif à un instant donné, très au-dessus du besoin réel d’un analyste humain (rarement plus de 5 à 10 deals vraiment vivants en parallèle). Le reste de la protection est invisible et ne repose pas sur des chiffres commerciaux :</w:t>
      </w:r>
    </w:p>
    <w:p>
      <w:pPr>
        <w:numPr>
          <w:ilvl w:val="0"/>
          <w:numId w:val="1002"/>
        </w:numPr>
      </w:pPr>
      <w:r>
        <w:t xml:space="preserve">Détection de vélocité anormale : surveillance du rythme de création de dossiers et de questions par siège, comparé à la moyenne des comptes. Objectif : repérer les comptes scriptés ou partagés/revendus, pas brider un usage intense mais réel.</w:t>
      </w:r>
    </w:p>
    <w:p>
      <w:pPr>
        <w:numPr>
          <w:ilvl w:val="0"/>
          <w:numId w:val="1002"/>
        </w:numPr>
      </w:pPr>
      <w:r>
        <w:t xml:space="preserve">Escalade vers une revue humaine, pas un blocage automatique : sauf schéma clairement non-humain, une anomalie déclenche une vérification manuelle plutôt qu’une coupure d’accès.</w:t>
      </w:r>
    </w:p>
    <w:p>
      <w:pPr>
        <w:numPr>
          <w:ilvl w:val="0"/>
          <w:numId w:val="1002"/>
        </w:numPr>
      </w:pPr>
      <w:r>
        <w:t xml:space="preserve">Clause d’usage raisonnable dans les CGU : filet de sécurité contractuel (pas d’automatisation en masse, pas de revente d’accès) pour les cas qui ne rentrent dans aucune règle technique — à faire rédiger précisément par un juriste.</w:t>
      </w:r>
    </w:p>
    <w:p>
      <w:pPr>
        <w:pStyle w:val="FirstParagraph"/>
      </w:pPr>
      <w:r>
        <w:t xml:space="preserve">Sur Essentiel, la marge unitaire (23 €/mois, ajustée à l’introduction du Module 2 multi-profil — section 8) reste plus fine que sur Analyste et Fonds, avec toutefois un plancher positif dans tous les scénarios testés depuis l’ajustement du prix et la limitation à 3 profils sur 6. Les plafonds sont ici assumés et communiqués clairement à l’utilisateur, avec un blocage automatique plutôt qu’une simple revue :</w:t>
      </w:r>
    </w:p>
    <w:p>
      <w:pPr>
        <w:numPr>
          <w:ilvl w:val="0"/>
          <w:numId w:val="1003"/>
        </w:numPr>
      </w:pPr>
      <w:r>
        <w:t xml:space="preserve">4 dossiers actifs simultanés, gardés sans limite de durée ; rotation libre et gratuite entre dossiers déjà analysés.</w:t>
      </w:r>
    </w:p>
    <w:p>
      <w:pPr>
        <w:numPr>
          <w:ilvl w:val="0"/>
          <w:numId w:val="1003"/>
        </w:numPr>
      </w:pPr>
      <w:r>
        <w:t xml:space="preserve">3 nouveaux dossiers analysés par mois et 100 questions de chat par mois (tous dossiers confondus, pas de compteur séparé par dossier) — le premier seuil atteint déclenche le blocage. Ce quota reste inchangé : c’est l’ajustement du prix (23 €/mois) et la limitation à 3 profils sur 6 (section 8) qui protègent la marge, pas une réduction supplémentaire du quota.</w:t>
      </w:r>
    </w:p>
    <w:p>
      <w:pPr>
        <w:numPr>
          <w:ilvl w:val="0"/>
          <w:numId w:val="1003"/>
        </w:numPr>
      </w:pPr>
      <w:r>
        <w:t xml:space="preserve">Une fois un quota atteint, un message informe l’utilisateur et l’invite à patienter jusqu’au prochain prélèvement ; la consultation des dossiers existants, l’historique de chat et les exports restent disponibles sans restriction.</w:t>
      </w:r>
    </w:p>
    <w:p>
      <w:pPr>
        <w:numPr>
          <w:ilvl w:val="0"/>
          <w:numId w:val="1003"/>
        </w:numPr>
      </w:pPr>
      <w:r>
        <w:t xml:space="preserve">Le quota se réinitialise individuellement pour chaque abonné, déclenché par le webhook de paiement Stripe (invoice.paid) plutôt qu’à date fixe pour tous — cohérent avec la fenêtre de prélèvement étalée du 1er au 6 du mois.</w:t>
      </w:r>
    </w:p>
    <w:p>
      <w:pPr>
        <w:pStyle w:val="FirstParagraph"/>
      </w:pPr>
      <w:r>
        <w:rPr>
          <w:bCs/>
          <w:b/>
        </w:rPr>
        <w:t xml:space="preserve">Risque de concentration sur les gros contrats Fonds</w:t>
      </w:r>
    </w:p>
    <w:p>
      <w:pPr>
        <w:pStyle w:val="BodyText"/>
      </w:pPr>
      <w:r>
        <w:t xml:space="preserve">Contrairement à l’ajout de clients Fonds distincts, l’ajout de sièges à l’intérieur d’un même contrat ne bénéficie pas de l’effet de dilution (section 8) : les sièges d’une même équipe tendent à intensifier leur usage ensemble (même deal, même période), donc le risque scale avec la taille du contrat plutôt que de se diluer. Un dispositif dédié s’y applique, fondé sur le coût réel plutôt que sur le rythme des requêtes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Coût réel cumulé du contrat / Facture</w:t>
            </w:r>
          </w:p>
        </w:tc>
        <w:tc>
          <w:tcPr/>
          <w:p>
            <w:pPr>
              <w:pStyle w:val="Compact"/>
              <w:jc w:val="left"/>
            </w:pPr>
            <w:r>
              <w:rPr>
                <w:bCs/>
                <w:b/>
              </w:rPr>
              <w:t xml:space="preserve">Action</w:t>
            </w:r>
          </w:p>
        </w:tc>
      </w:tr>
      <w:tr>
        <w:tc>
          <w:tcPr/>
          <w:p>
            <w:pPr>
              <w:pStyle w:val="Compact"/>
              <w:jc w:val="left"/>
            </w:pPr>
            <w:r>
              <w:t xml:space="preserve">&lt; 40 %</w:t>
            </w:r>
          </w:p>
        </w:tc>
        <w:tc>
          <w:tcPr/>
          <w:p>
            <w:pPr>
              <w:pStyle w:val="Compact"/>
              <w:jc w:val="left"/>
            </w:pPr>
            <w:r>
              <w:t xml:space="preserve">Normal — aucune action</w:t>
            </w:r>
          </w:p>
        </w:tc>
      </w:tr>
      <w:tr>
        <w:tc>
          <w:tcPr/>
          <w:p>
            <w:pPr>
              <w:pStyle w:val="Compact"/>
              <w:jc w:val="left"/>
            </w:pPr>
            <w:r>
              <w:t xml:space="preserve">40-70 %</w:t>
            </w:r>
          </w:p>
        </w:tc>
        <w:tc>
          <w:tcPr/>
          <w:p>
            <w:pPr>
              <w:pStyle w:val="Compact"/>
              <w:jc w:val="left"/>
            </w:pPr>
            <w:r>
              <w:t xml:space="preserve">Surveillance automatique interne, aucun contact client</w:t>
            </w:r>
          </w:p>
        </w:tc>
      </w:tr>
      <w:tr>
        <w:tc>
          <w:tcPr/>
          <w:p>
            <w:pPr>
              <w:pStyle w:val="Compact"/>
              <w:jc w:val="left"/>
            </w:pPr>
            <w:r>
              <w:t xml:space="preserve">70-100 %</w:t>
            </w:r>
          </w:p>
        </w:tc>
        <w:tc>
          <w:tcPr/>
          <w:p>
            <w:pPr>
              <w:pStyle w:val="Compact"/>
              <w:jc w:val="left"/>
            </w:pPr>
            <w:r>
              <w:t xml:space="preserve">Contact commercial proactif — comprendre l’usage, pas restreindre l’accès</w:t>
            </w:r>
          </w:p>
        </w:tc>
      </w:tr>
      <w:tr>
        <w:tc>
          <w:tcPr/>
          <w:p>
            <w:pPr>
              <w:pStyle w:val="Compact"/>
              <w:jc w:val="left"/>
            </w:pPr>
            <w:r>
              <w:t xml:space="preserve">&gt; 100 % sur 2 cycles consécutifs</w:t>
            </w:r>
          </w:p>
        </w:tc>
        <w:tc>
          <w:tcPr/>
          <w:p>
            <w:pPr>
              <w:pStyle w:val="Compact"/>
              <w:jc w:val="left"/>
            </w:pPr>
            <w:r>
              <w:t xml:space="preserve">Clause de renégociation tarifaire déclenchée pour le renouvellement</w:t>
            </w:r>
          </w:p>
        </w:tc>
      </w:tr>
    </w:tbl>
    <w:p>
      <w:pPr>
        <w:numPr>
          <w:ilvl w:val="0"/>
          <w:numId w:val="1004"/>
        </w:numPr>
      </w:pPr>
      <w:r>
        <w:t xml:space="preserve">Le seuil se calcule sur le coût réel cumulé du contrat entier (tous sièges confondus), pas siège par siège — pour capter le risque même quand seule une partie de l’équipe est en usage extrême.</w:t>
      </w:r>
    </w:p>
    <w:p>
      <w:pPr>
        <w:numPr>
          <w:ilvl w:val="0"/>
          <w:numId w:val="1004"/>
        </w:numPr>
      </w:pPr>
      <w:r>
        <w:t xml:space="preserve">Palier tarifaire au-delà de 10 sièges sur un même contrat (580 € jusqu’au 10e siège, 630 € au-delà, section 7) — la marge de sécurité se construit précisément là où le risque de corrélation intra-équipe est le plus élevé.</w:t>
      </w:r>
    </w:p>
    <w:p>
      <w:pPr>
        <w:numPr>
          <w:ilvl w:val="0"/>
          <w:numId w:val="1004"/>
        </w:numPr>
      </w:pPr>
      <w:r>
        <w:t xml:space="preserve">Vérification manuelle avant activation en cas d’ajout massif et soudain de sièges (ex. +5 d’un coup) sur un contrat existant.</w:t>
      </w:r>
    </w:p>
    <w:p>
      <w:pPr>
        <w:numPr>
          <w:ilvl w:val="0"/>
          <w:numId w:val="1004"/>
        </w:numPr>
      </w:pPr>
      <w:r>
        <w:t xml:space="preserve">Clause de renégociation contractuelle, distincte de la clause d’usage raisonnable des CGU (qui vise la fraude, pas l’usage légitime) : « Si le coût réel de traitement d’un contrat dépasse structurellement le montant facturé sur deux cycles de facturation consécutifs, FinLens se réserve le droit de proposer un palier tarifaire adapté à la reconduction du contrat. »</w:t>
      </w:r>
    </w:p>
    <w:p>
      <w:pPr>
        <w:numPr>
          <w:ilvl w:val="0"/>
          <w:numId w:val="1004"/>
        </w:numPr>
      </w:pPr>
      <w:r>
        <w:t xml:space="preserve">Réserve de marge au niveau du portefeuille : une fraction (10-15 %) de la marge des comptes en usage normal est conservée comme coussin plutôt que comptée intégralement comme profit distribuable — contrepartie financière de l’effet de dilution entre contrats différents.</w:t>
      </w:r>
    </w:p>
    <w:p>
      <w:pPr>
        <w:numPr>
          <w:ilvl w:val="0"/>
          <w:numId w:val="1004"/>
        </w:numPr>
      </w:pPr>
      <w:r>
        <w:t xml:space="preserve">Ajustement du classifieur de complexité (Haiku 4.5) comme levier produit complémentaire : surveiller, au niveau produit, les contrats dont le taux d’escalade vers Fable 5 ou la fréquence de rupture de cache (questions espacées de plus d’1h) sont structurellement élevés — un pattern parfois corrigible en amont plutôt qu’à absorber uniquement côté pricing.</w:t>
      </w:r>
    </w:p>
    <w:p>
      <w:pPr>
        <w:pStyle w:val="FirstParagraph"/>
      </w:pPr>
      <w:r>
        <w:t xml:space="preserve">La clause d’usage raisonnable des CGU et la détection de vélocité anormale s’appliquent aux trois offres comme filet de sécurité complémentaire. Le scénario le plus extrême testé en section 8 (une équipe entière au maximum d’intensité en continu, ou un compte Essentiel qui sature ses deux quotas chaque mois avec un cache peu efficace) correspond exactement au pattern que ce dispositif est censé absorber ou intercepter — ce n’est pas à la tarification seule de s’en charger, ce qui permet de garder les offres larges et simples pour tous les usages réels. Le cas Essentiel isolé en section 8, initialement en marge légèrement négative, a été traité en amont par l’ajustement de prix et la limitation à 3 profils — un arbitrage produit tranché, indépendant de ces garde-fous.</w:t>
      </w:r>
    </w:p>
    <w:p>
      <w:pPr>
        <w:pStyle w:val="BodyText"/>
      </w:pPr>
      <w:r>
        <w:t xml:space="preserve">FinLens — Coûts &amp; Pricing — Confidentiel</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2026-07-13T10:26:14Z</dcterms:created>
  <dcterms:modified xsi:type="dcterms:W3CDTF">2026-07-13T10:26:14Z</dcterms:modified>
</cp:coreProperties>
</file>

<file path=docProps/custom.xml><?xml version="1.0" encoding="utf-8"?>
<Properties xmlns="http://schemas.openxmlformats.org/officeDocument/2006/custom-properties" xmlns:vt="http://schemas.openxmlformats.org/officeDocument/2006/docPropsVTypes"/>
</file>