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b/>
          <w:bCs/>
          <w:color w:val="146B45"/>
          <w:spacing w:val="30"/>
          <w:sz w:val="26"/>
          <w:szCs w:val="26"/>
        </w:rPr>
        <w:t xml:space="preserve">FINLENS</w:t>
      </w:r>
    </w:p>
    <w:p>
      <w:pPr>
        <w:spacing w:after="200"/>
      </w:pPr>
      <w:r>
        <w:rPr>
          <w:b/>
          <w:bCs/>
          <w:color w:val="1A1F1A"/>
          <w:sz w:val="52"/>
          <w:szCs w:val="52"/>
        </w:rPr>
        <w:t xml:space="preserve">Note de fonctionnement — Prototype V1</w:t>
      </w:r>
    </w:p>
    <w:p>
      <w:pPr>
        <w:spacing w:after="40"/>
      </w:pPr>
      <w:r>
        <w:rPr>
          <w:i/>
          <w:iCs/>
          <w:color w:val="5B635E"/>
          <w:sz w:val="24"/>
          <w:szCs w:val="24"/>
        </w:rPr>
        <w:t xml:space="preserve">Copilote d'analyse financière pour investisseurs — plateforme utilisateur</w:t>
      </w:r>
    </w:p>
    <w:p>
      <w:pPr>
        <w:spacing w:after="60" w:before="300"/>
      </w:pPr>
      <w:r>
        <w:rPr>
          <w:color w:val="5B635E"/>
          <w:sz w:val="20"/>
          <w:szCs w:val="20"/>
        </w:rPr>
        <w:t xml:space="preserve">26 juillet 2026</w:t>
      </w:r>
    </w:p>
    <w:p>
      <w:pPr>
        <w:spacing w:after="500"/>
      </w:pPr>
      <w:r>
        <w:rPr>
          <w:color w:val="5B635E"/>
          <w:sz w:val="20"/>
          <w:szCs w:val="20"/>
        </w:rPr>
        <w:t xml:space="preserve">Document compagnon du prototype interactif finlens-plateforme.html</w:t>
      </w:r>
    </w:p>
    <w:p>
      <w:pPr>
        <w:pBdr>
          <w:bottom w:val="single" w:color="E3E6E1" w:sz="6" w:space="4"/>
        </w:pBdr>
        <w:spacing w:after="260" w:before="80"/>
      </w:pPr>
    </w:p>
    <w:p>
      <w:pPr>
        <w:spacing w:after="160" w:line="300"/>
      </w:pPr>
      <w:r>
        <w:t xml:space="preserve">Ce document décrit le fonctionnement du prototype cliquable FinLens : ce qui a été construit, pourquoi, comment chaque module fonctionne, et ce qui reste simulé en attendant le raccordement à la stack réelle. Il se lit en complément du fichier </w:t>
      </w:r>
      <w:r>
        <w:rPr>
          <w:b/>
          <w:bCs/>
        </w:rPr>
        <w:t xml:space="preserve">finlens-plateforme.html</w:t>
      </w:r>
      <w:r>
        <w:t xml:space="preserve">, qui reste la référence pour tout ce qui touche à l'apparence, à l'ordre exact des interactions et aux libellés à l'écran.</w:t>
      </w:r>
    </w:p>
    <w:p>
      <w:pPr>
        <w:pBdr>
          <w:left w:val="single" w:color="146B45" w:sz="18" w:space="8"/>
        </w:pBdr>
        <w:shd w:fill="EFF6F1" w:val="clear"/>
        <w:spacing w:after="200" w:before="60"/>
        <w:ind w:left="120"/>
      </w:pPr>
      <w:r>
        <w:rPr>
          <w:b/>
          <w:bCs/>
          <w:color w:val="146B45"/>
        </w:rPr>
        <w:t xml:space="preserve">Note — </w:t>
      </w:r>
      <w:r>
        <w:t xml:space="preserve">Toutes les données affichées dans le prototype (dossiers, montants, contradictions, signaux) sont fictives. Elles ont été construites pour être internement cohérentes — un bilan qui s'équilibre, un flux de trésorerie qui reboucle sur la trésorerie du bilan — afin que la démonstration reste crédible même quand on vérifie les chiffres en détail.</w:t>
      </w:r>
    </w:p>
    <w:p>
      <w:r>
        <w:br w:type="page"/>
      </w:r>
    </w:p>
    <w:p>
      <w:pPr>
        <w:pStyle w:val="Heading1"/>
      </w:pPr>
      <w:r>
        <w:t xml:space="preserve">Sommaire</w:t>
      </w:r>
    </w:p>
    <w:p>
      <w:pPr>
        <w:spacing w:after="130"/>
      </w:pPr>
      <w:r>
        <w:rPr>
          <w:color w:val="1A1F1A"/>
          <w:sz w:val="23"/>
          <w:szCs w:val="23"/>
        </w:rPr>
        <w:t xml:space="preserve">1. Vue d'ensemble</w:t>
      </w:r>
    </w:p>
    <w:p>
      <w:pPr>
        <w:spacing w:after="130"/>
      </w:pPr>
      <w:r>
        <w:rPr>
          <w:color w:val="1A1F1A"/>
          <w:sz w:val="23"/>
          <w:szCs w:val="23"/>
        </w:rPr>
        <w:t xml:space="preserve">2. Parcours public (site vitrine)</w:t>
      </w:r>
    </w:p>
    <w:p>
      <w:pPr>
        <w:spacing w:after="130"/>
      </w:pPr>
      <w:r>
        <w:rPr>
          <w:color w:val="1A1F1A"/>
          <w:sz w:val="23"/>
          <w:szCs w:val="23"/>
        </w:rPr>
        <w:t xml:space="preserve">3. Inscription, choix d'offre et paiement</w:t>
      </w:r>
    </w:p>
    <w:p>
      <w:pPr>
        <w:spacing w:after="130"/>
      </w:pPr>
      <w:r>
        <w:rPr>
          <w:color w:val="1A1F1A"/>
          <w:sz w:val="23"/>
          <w:szCs w:val="23"/>
        </w:rPr>
        <w:t xml:space="preserve">4. Architecture générale de l'application</w:t>
      </w:r>
    </w:p>
    <w:p>
      <w:pPr>
        <w:spacing w:after="130"/>
      </w:pPr>
      <w:r>
        <w:rPr>
          <w:color w:val="1A1F1A"/>
          <w:sz w:val="23"/>
          <w:szCs w:val="23"/>
        </w:rPr>
        <w:t xml:space="preserve">5. Tableau de bord</w:t>
      </w:r>
    </w:p>
    <w:p>
      <w:pPr>
        <w:spacing w:after="130"/>
      </w:pPr>
      <w:r>
        <w:rPr>
          <w:color w:val="1A1F1A"/>
          <w:sz w:val="23"/>
          <w:szCs w:val="23"/>
        </w:rPr>
        <w:t xml:space="preserve">6. Gestion des dossiers</w:t>
      </w:r>
    </w:p>
    <w:p>
      <w:pPr>
        <w:spacing w:after="130"/>
      </w:pPr>
      <w:r>
        <w:rPr>
          <w:color w:val="1A1F1A"/>
          <w:sz w:val="23"/>
          <w:szCs w:val="23"/>
        </w:rPr>
        <w:t xml:space="preserve">7. Le Copilote — chat sourcé</w:t>
      </w:r>
    </w:p>
    <w:p>
      <w:pPr>
        <w:spacing w:after="130"/>
      </w:pPr>
      <w:r>
        <w:rPr>
          <w:color w:val="1A1F1A"/>
          <w:sz w:val="23"/>
          <w:szCs w:val="23"/>
        </w:rPr>
        <w:t xml:space="preserve">8. Chiffres clés — états financiers reconstruits</w:t>
      </w:r>
    </w:p>
    <w:p>
      <w:pPr>
        <w:spacing w:after="130"/>
      </w:pPr>
      <w:r>
        <w:rPr>
          <w:color w:val="1A1F1A"/>
          <w:sz w:val="23"/>
          <w:szCs w:val="23"/>
        </w:rPr>
        <w:t xml:space="preserve">9. Profils d'analyse</w:t>
      </w:r>
    </w:p>
    <w:p>
      <w:pPr>
        <w:spacing w:after="130"/>
      </w:pPr>
      <w:r>
        <w:rPr>
          <w:color w:val="1A1F1A"/>
          <w:sz w:val="23"/>
          <w:szCs w:val="23"/>
        </w:rPr>
        <w:t xml:space="preserve">10. Contrôles — contradictions et checklist</w:t>
      </w:r>
    </w:p>
    <w:p>
      <w:pPr>
        <w:spacing w:after="130"/>
      </w:pPr>
      <w:r>
        <w:rPr>
          <w:color w:val="1A1F1A"/>
          <w:sz w:val="23"/>
          <w:szCs w:val="23"/>
        </w:rPr>
        <w:t xml:space="preserve">11. Comparateur</w:t>
      </w:r>
    </w:p>
    <w:p>
      <w:pPr>
        <w:spacing w:after="130"/>
      </w:pPr>
      <w:r>
        <w:rPr>
          <w:color w:val="1A1F1A"/>
          <w:sz w:val="23"/>
          <w:szCs w:val="23"/>
        </w:rPr>
        <w:t xml:space="preserve">12. Recherche globale</w:t>
      </w:r>
    </w:p>
    <w:p>
      <w:pPr>
        <w:spacing w:after="130"/>
      </w:pPr>
      <w:r>
        <w:rPr>
          <w:color w:val="1A1F1A"/>
          <w:sz w:val="23"/>
          <w:szCs w:val="23"/>
        </w:rPr>
        <w:t xml:space="preserve">13. Signaux</w:t>
      </w:r>
    </w:p>
    <w:p>
      <w:pPr>
        <w:spacing w:after="130"/>
      </w:pPr>
      <w:r>
        <w:rPr>
          <w:color w:val="1A1F1A"/>
          <w:sz w:val="23"/>
          <w:szCs w:val="23"/>
        </w:rPr>
        <w:t xml:space="preserve">14. Exports</w:t>
      </w:r>
    </w:p>
    <w:p>
      <w:pPr>
        <w:spacing w:after="130"/>
      </w:pPr>
      <w:r>
        <w:rPr>
          <w:color w:val="1A1F1A"/>
          <w:sz w:val="23"/>
          <w:szCs w:val="23"/>
        </w:rPr>
        <w:t xml:space="preserve">15. Facturation, offres et équipe</w:t>
      </w:r>
    </w:p>
    <w:p>
      <w:pPr>
        <w:spacing w:after="130"/>
      </w:pPr>
      <w:r>
        <w:rPr>
          <w:color w:val="1A1F1A"/>
          <w:sz w:val="23"/>
          <w:szCs w:val="23"/>
        </w:rPr>
        <w:t xml:space="preserve">16. Réglages et confidentialité</w:t>
      </w:r>
    </w:p>
    <w:p>
      <w:pPr>
        <w:spacing w:after="130"/>
      </w:pPr>
      <w:r>
        <w:rPr>
          <w:color w:val="1A1F1A"/>
          <w:sz w:val="23"/>
          <w:szCs w:val="23"/>
        </w:rPr>
        <w:t xml:space="preserve">17. Design system</w:t>
      </w:r>
    </w:p>
    <w:p>
      <w:pPr>
        <w:spacing w:after="130"/>
      </w:pPr>
      <w:r>
        <w:rPr>
          <w:color w:val="1A1F1A"/>
          <w:sz w:val="23"/>
          <w:szCs w:val="23"/>
        </w:rPr>
        <w:t xml:space="preserve">18. Notes techniques et limites du prototype</w:t>
      </w:r>
    </w:p>
    <w:p>
      <w:pPr>
        <w:spacing w:after="130"/>
      </w:pPr>
      <w:r>
        <w:rPr>
          <w:color w:val="1A1F1A"/>
          <w:sz w:val="23"/>
          <w:szCs w:val="23"/>
        </w:rPr>
        <w:t xml:space="preserve">19. Pistes d'évolution (V2)</w:t>
      </w:r>
    </w:p>
    <w:p>
      <w:r>
        <w:br w:type="page"/>
      </w:r>
    </w:p>
    <w:p>
      <w:pPr>
        <w:pStyle w:val="Heading1"/>
      </w:pPr>
      <w:r>
        <w:t xml:space="preserve">1. Vue d'ensemble</w:t>
      </w:r>
    </w:p>
    <w:p>
      <w:pPr>
        <w:spacing w:after="160" w:line="300"/>
      </w:pPr>
      <w:r>
        <w:t xml:space="preserve">FinLens est un copilote d'analyse financière destiné aux professionnels de l'investissement. Le prototype documenté ici est un fichier HTML autonome — sans serveur, sans base de données — qui simule l'intégralité du parcours utilisateur : de la découverte du produit sur la page publique jusqu'à l'usage quotidien de la plateforme, dossier par dossier.</w:t>
      </w:r>
    </w:p>
    <w:p>
      <w:pPr>
        <w:spacing w:after="160" w:line="300"/>
      </w:pPr>
      <w:r>
        <w:rPr>
          <w:b/>
          <w:bCs/>
        </w:rPr>
        <w:t xml:space="preserve">Ce que le prototype démontre : </w:t>
      </w:r>
      <w:r>
        <w:t xml:space="preserve">qu'un investisseur peut déposer des documents, obtenir une synthèse fiable et sourcée, interroger un copilote qui ne répond qu'à partir de ces documents, détecter des incohérences entre eux, et reconstruire des états financiers exploitables — le tout sans jamais quitter l'écran ni douter de la provenance d'un chiffre.</w:t>
      </w:r>
    </w:p>
    <w:p>
      <w:pPr>
        <w:pStyle w:val="Heading2"/>
      </w:pPr>
      <w:r>
        <w:t xml:space="preserve">1.1 Proposition de valeur</w:t>
      </w:r>
    </w:p>
    <w:p>
      <w:pPr>
        <w:pStyle w:val="ListParagraph"/>
        <w:numPr>
          <w:ilvl w:val="0"/>
          <w:numId w:val="2"/>
        </w:numPr>
        <w:spacing w:after="90" w:line="290"/>
      </w:pPr>
      <w:r>
        <w:rPr>
          <w:b/>
          <w:bCs/>
        </w:rPr>
        <w:t xml:space="preserve">Gain de temps : </w:t>
      </w:r>
      <w:r>
        <w:t xml:space="preserve">un rapport de plusieurs centaines de pages est résumé en quelques minutes plutôt qu'en plusieurs jours de lecture.</w:t>
      </w:r>
    </w:p>
    <w:p>
      <w:pPr>
        <w:pStyle w:val="ListParagraph"/>
        <w:numPr>
          <w:ilvl w:val="0"/>
          <w:numId w:val="2"/>
        </w:numPr>
        <w:spacing w:after="90" w:line="290"/>
      </w:pPr>
      <w:r>
        <w:rPr>
          <w:b/>
          <w:bCs/>
        </w:rPr>
        <w:t xml:space="preserve">Zéro hallucination, par construction : </w:t>
      </w:r>
      <w:r>
        <w:t xml:space="preserve">l'architecture RAG (retrieval-augmented generation) contraint le moteur à ne répondre qu'à partir des documents indexés. Quand une information n'y figure pas, le produit le signale plutôt que de l'inventer.</w:t>
      </w:r>
    </w:p>
    <w:p>
      <w:pPr>
        <w:pStyle w:val="ListParagraph"/>
        <w:numPr>
          <w:ilvl w:val="0"/>
          <w:numId w:val="2"/>
        </w:numPr>
        <w:spacing w:after="90" w:line="290"/>
      </w:pPr>
      <w:r>
        <w:rPr>
          <w:b/>
          <w:bCs/>
        </w:rPr>
        <w:t xml:space="preserve">Traçabilité systématique : </w:t>
      </w:r>
      <w:r>
        <w:t xml:space="preserve">chaque affirmation — dans la synthèse, le chat, les états financiers ou les exports — porte une puce de citation cliquable qui ouvre la page exacte du document d'origine, passage surligné.</w:t>
      </w:r>
    </w:p>
    <w:p>
      <w:pPr>
        <w:pStyle w:val="ListParagraph"/>
        <w:numPr>
          <w:ilvl w:val="0"/>
          <w:numId w:val="2"/>
        </w:numPr>
        <w:spacing w:after="90" w:line="290"/>
      </w:pPr>
      <w:r>
        <w:rPr>
          <w:b/>
          <w:bCs/>
        </w:rPr>
        <w:t xml:space="preserve">Analyse croisée : </w:t>
      </w:r>
      <w:r>
        <w:t xml:space="preserve">le moteur ne se contente pas de résumer un document isolé ; il recoupe plusieurs pièces d'un même dossier pour détecter les contradictions (chiffres divergents, clauses non reprises d'un support à l'autre) et reconstruire des tableaux financiers cohérents.</w:t>
      </w:r>
    </w:p>
    <w:p>
      <w:pPr>
        <w:pStyle w:val="ListParagraph"/>
        <w:numPr>
          <w:ilvl w:val="0"/>
          <w:numId w:val="2"/>
        </w:numPr>
        <w:spacing w:after="90" w:line="290"/>
      </w:pPr>
      <w:r>
        <w:rPr>
          <w:b/>
          <w:bCs/>
        </w:rPr>
        <w:t xml:space="preserve">Un même dossier, plusieurs lectures : </w:t>
      </w:r>
      <w:r>
        <w:t xml:space="preserve">le système de profils d'analyse restitue une synthèse différente selon qu'elle est lue par un investisseur en capital, un banquier M&amp;A, un family office, un auditeur ou un généraliste — à partir des mêmes documents.</w:t>
      </w:r>
    </w:p>
    <w:p>
      <w:pPr>
        <w:pStyle w:val="Heading2"/>
      </w:pPr>
      <w:r>
        <w:t xml:space="preserve">1.2 Cibles utilisateurs</w:t>
      </w:r>
    </w:p>
    <w:p>
      <w:pPr>
        <w:spacing w:after="160" w:line="300"/>
      </w:pPr>
      <w:r>
        <w:t xml:space="preserve">Cinq segments professionnels sont couverts explicitement par le produit, plus un profil de lecture pédagogique — et un septième profil, Personnalisé, pour composer sa propre grille d'indicateurs (section 9.4) :</w:t>
      </w:r>
    </w:p>
    <w:p>
      <w:pPr>
        <w:pStyle w:val="ListParagraph"/>
        <w:numPr>
          <w:ilvl w:val="0"/>
          <w:numId w:val="2"/>
        </w:numPr>
        <w:spacing w:after="90" w:line="290"/>
      </w:pPr>
      <w:r>
        <w:t xml:space="preserve">Private Equity / Venture Capital</w:t>
      </w:r>
    </w:p>
    <w:p>
      <w:pPr>
        <w:pStyle w:val="ListParagraph"/>
        <w:numPr>
          <w:ilvl w:val="0"/>
          <w:numId w:val="2"/>
        </w:numPr>
        <w:spacing w:after="90" w:line="290"/>
      </w:pPr>
      <w:r>
        <w:t xml:space="preserve">M&amp;A / Banques d'affaires</w:t>
      </w:r>
    </w:p>
    <w:p>
      <w:pPr>
        <w:pStyle w:val="ListParagraph"/>
        <w:numPr>
          <w:ilvl w:val="0"/>
          <w:numId w:val="2"/>
        </w:numPr>
        <w:spacing w:after="90" w:line="290"/>
      </w:pPr>
      <w:r>
        <w:t xml:space="preserve">Family offices et analystes indépendants</w:t>
      </w:r>
    </w:p>
    <w:p>
      <w:pPr>
        <w:pStyle w:val="ListParagraph"/>
        <w:numPr>
          <w:ilvl w:val="0"/>
          <w:numId w:val="2"/>
        </w:numPr>
        <w:spacing w:after="90" w:line="290"/>
      </w:pPr>
      <w:r>
        <w:t xml:space="preserve">Directions financières (CFO) en veille concurrentielle</w:t>
      </w:r>
    </w:p>
    <w:p>
      <w:pPr>
        <w:pStyle w:val="ListParagraph"/>
        <w:numPr>
          <w:ilvl w:val="0"/>
          <w:numId w:val="2"/>
        </w:numPr>
        <w:spacing w:after="90" w:line="290"/>
      </w:pPr>
      <w:r>
        <w:t xml:space="preserve">Cabinets d'audit et de conseil financier</w:t>
      </w:r>
    </w:p>
    <w:p>
      <w:pPr>
        <w:pStyle w:val="ListParagraph"/>
        <w:numPr>
          <w:ilvl w:val="0"/>
          <w:numId w:val="2"/>
        </w:numPr>
        <w:spacing w:after="90" w:line="290"/>
      </w:pPr>
      <w:r>
        <w:t xml:space="preserve">Généraliste : étudiants, curieux, tout profil non spécialiste souhaitant un résumé vulgarisé</w:t>
      </w:r>
    </w:p>
    <w:p>
      <w:pPr>
        <w:pBdr>
          <w:left w:val="single" w:color="146B45" w:sz="18" w:space="8"/>
        </w:pBdr>
        <w:shd w:fill="EFF6F1" w:val="clear"/>
        <w:spacing w:after="200" w:before="60"/>
        <w:ind w:left="120"/>
      </w:pPr>
      <w:r>
        <w:rPr>
          <w:b/>
          <w:bCs/>
          <w:color w:val="146B45"/>
        </w:rPr>
        <w:t xml:space="preserve">Note — </w:t>
      </w:r>
      <w:r>
        <w:t xml:space="preserve">Ce ciblage est repris directement dans le système de « profils d'analyse » du produit (section 10) : chaque segment correspond à un profil sélectionnable dans l'application, avec sa propre grille de lecture.</w:t>
      </w:r>
    </w:p>
    <w:p>
      <w:r>
        <w:br w:type="page"/>
      </w:r>
    </w:p>
    <w:p>
      <w:pPr>
        <w:pStyle w:val="Heading1"/>
      </w:pPr>
      <w:r>
        <w:t xml:space="preserve">2. Parcours public (site vitrine)</w:t>
      </w:r>
    </w:p>
    <w:p>
      <w:pPr>
        <w:spacing w:after="160" w:line="300"/>
      </w:pPr>
      <w:r>
        <w:t xml:space="preserve">La page d'accueil est conçue comme un site marketing complet, pas comme un simple écran de connexion. Elle doit convaincre un visiteur qui ne connaît pas encore le produit.</w:t>
      </w:r>
    </w:p>
    <w:p>
      <w:pPr>
        <w:pStyle w:val="Heading2"/>
      </w:pPr>
      <w:r>
        <w:t xml:space="preserve">2.1 Page d'accueil</w:t>
      </w:r>
    </w:p>
    <w:p>
      <w:pPr>
        <w:pStyle w:val="ListParagraph"/>
        <w:numPr>
          <w:ilvl w:val="0"/>
          <w:numId w:val="2"/>
        </w:numPr>
        <w:spacing w:after="90" w:line="290"/>
      </w:pPr>
      <w:r>
        <w:rPr>
          <w:b/>
          <w:bCs/>
        </w:rPr>
        <w:t xml:space="preserve">Hero sombre </w:t>
      </w:r>
      <w:r>
        <w:t xml:space="preserve">— fond « encre » profond avec halo vert diffus et grain subtil (texture SVG), signature visuelle constante du produit quel que soit le thème choisi par ailleurs (voir section 17).</w:t>
      </w:r>
    </w:p>
    <w:p>
      <w:pPr>
        <w:pStyle w:val="ListParagraph"/>
        <w:numPr>
          <w:ilvl w:val="0"/>
          <w:numId w:val="2"/>
        </w:numPr>
        <w:spacing w:after="90" w:line="290"/>
      </w:pPr>
      <w:r>
        <w:rPr>
          <w:b/>
          <w:bCs/>
        </w:rPr>
        <w:t xml:space="preserve">Démonstration interactive </w:t>
      </w:r>
      <w:r>
        <w:t xml:space="preserve">— une carte reproduisant l'interface du Copilote, avec quatre questions cliquables. Chaque clic simule une réponse sourcée qui se compose en direct, citations cliquables à l'appui. C'est l'argument de conversion principal : le visiteur teste la promesse « zéro hallucination » lui-même, avant même de créer un compte.</w:t>
      </w:r>
    </w:p>
    <w:p>
      <w:pPr>
        <w:pStyle w:val="ListParagraph"/>
        <w:numPr>
          <w:ilvl w:val="0"/>
          <w:numId w:val="2"/>
        </w:numPr>
        <w:spacing w:after="90" w:line="290"/>
      </w:pPr>
      <w:r>
        <w:rPr>
          <w:b/>
          <w:bCs/>
        </w:rPr>
        <w:t xml:space="preserve">Modules du produit </w:t>
      </w:r>
      <w:r>
        <w:t xml:space="preserve">— six blocs présentant Data Room, Synthèse exécutive, Copilote sourcé, Détection de contradictions, Extraction chiffrée et Export, avec un badge « Analyste &amp; Fonds » sur les fonctionnalités réservées aux offres payantes.</w:t>
      </w:r>
    </w:p>
    <w:p>
      <w:pPr>
        <w:pStyle w:val="ListParagraph"/>
        <w:numPr>
          <w:ilvl w:val="0"/>
          <w:numId w:val="2"/>
        </w:numPr>
        <w:spacing w:after="90" w:line="290"/>
      </w:pPr>
      <w:r>
        <w:rPr>
          <w:b/>
          <w:bCs/>
        </w:rPr>
        <w:t xml:space="preserve">Tableau comparatif </w:t>
      </w:r>
      <w:r>
        <w:t xml:space="preserve">— FinLens face à une IA généraliste, un analyste junior et la lecture manuelle, avec délai et coût par dossier chiffrés pour chaque option.</w:t>
      </w:r>
    </w:p>
    <w:p>
      <w:pPr>
        <w:pStyle w:val="ListParagraph"/>
        <w:numPr>
          <w:ilvl w:val="0"/>
          <w:numId w:val="2"/>
        </w:numPr>
        <w:spacing w:after="90" w:line="290"/>
      </w:pPr>
      <w:r>
        <w:rPr>
          <w:b/>
          <w:bCs/>
        </w:rPr>
        <w:t xml:space="preserve">Calculateur de ROI </w:t>
      </w:r>
      <w:r>
        <w:t xml:space="preserve">— trois curseurs (dossiers par mois, heures de lecture par dossier, coût horaire chargé) recalculent en direct une économie annuelle nette et un multiple de retour sur l'abonnement.</w:t>
      </w:r>
    </w:p>
    <w:p>
      <w:pPr>
        <w:pStyle w:val="ListParagraph"/>
        <w:numPr>
          <w:ilvl w:val="0"/>
          <w:numId w:val="2"/>
        </w:numPr>
        <w:spacing w:after="90" w:line="290"/>
      </w:pPr>
      <w:r>
        <w:rPr>
          <w:b/>
          <w:bCs/>
        </w:rPr>
        <w:t xml:space="preserve">Aperçu du livrable </w:t>
      </w:r>
      <w:r>
        <w:t xml:space="preserve">— une maquette de note d'investissement rendue à l'écran, pour montrer concrètement ce qui sort du produit plutôt que de le décrire.</w:t>
      </w:r>
    </w:p>
    <w:p>
      <w:pPr>
        <w:pStyle w:val="ListParagraph"/>
        <w:numPr>
          <w:ilvl w:val="0"/>
          <w:numId w:val="2"/>
        </w:numPr>
        <w:spacing w:after="90" w:line="290"/>
      </w:pPr>
      <w:r>
        <w:t xml:space="preserve">FAQ, bandeau de conformité (RGPD, hébergement UE, chiffrement) et bande d'appel à l'action finale.</w:t>
      </w:r>
    </w:p>
    <w:p>
      <w:pPr>
        <w:pStyle w:val="Heading2"/>
      </w:pPr>
      <w:r>
        <w:t xml:space="preserve">2.2 Tarifs</w:t>
      </w:r>
    </w:p>
    <w:p>
      <w:pPr>
        <w:spacing w:after="160" w:line="300"/>
      </w:pPr>
      <w:r>
        <w:t xml:space="preserve">Trois offres, présentées avec bascule mensuel / annuel (deux mois offerts à l'année) :</w:t>
      </w:r>
    </w:p>
    <w:tbl>
      <w:tblPr>
        <w:tblW w:type="dxa" w:w="10100"/>
        <w:tblBorders>
          <w:top w:val="single" w:color="E3E6E1" w:sz="4"/>
          <w:left w:val="single" w:color="E3E6E1" w:sz="4"/>
          <w:bottom w:val="single" w:color="E3E6E1" w:sz="4"/>
          <w:right w:val="single" w:color="E3E6E1" w:sz="4"/>
          <w:insideH w:val="single" w:color="E3E6E1" w:sz="4"/>
          <w:insideV w:val="single" w:color="E3E6E1" w:sz="4"/>
        </w:tblBorders>
      </w:tblPr>
      <w:tblGrid>
        <w:gridCol w:w="2600"/>
        <w:gridCol w:w="2400"/>
        <w:gridCol w:w="2100"/>
        <w:gridCol w:w="3000"/>
      </w:tblGrid>
      <w:tr>
        <w:trPr>
          <w:tblHeader/>
        </w:trPr>
        <w:tc>
          <w:tcPr>
            <w:shd w:fill="EFF6F1" w:val="clear"/>
            <w:tcMar>
              <w:top w:type="dxa" w:w="90"/>
              <w:left w:type="dxa" w:w="110"/>
              <w:bottom w:type="dxa" w:w="90"/>
              <w:right w:type="dxa" w:w="110"/>
            </w:tcMar>
            <w:vAlign w:val="center"/>
          </w:tcPr>
          <w:p>
            <w:pPr>
              <w:jc w:val="left"/>
            </w:pPr>
            <w:r>
              <w:rPr>
                <w:b/>
                <w:bCs/>
              </w:rPr>
              <w:t xml:space="preserve">Offre</w:t>
            </w:r>
          </w:p>
        </w:tc>
        <w:tc>
          <w:tcPr>
            <w:shd w:fill="EFF6F1" w:val="clear"/>
            <w:tcMar>
              <w:top w:type="dxa" w:w="90"/>
              <w:left w:type="dxa" w:w="110"/>
              <w:bottom w:type="dxa" w:w="90"/>
              <w:right w:type="dxa" w:w="110"/>
            </w:tcMar>
            <w:vAlign w:val="center"/>
          </w:tcPr>
          <w:p>
            <w:pPr>
              <w:jc w:val="left"/>
            </w:pPr>
            <w:r>
              <w:rPr>
                <w:b/>
                <w:bCs/>
              </w:rPr>
              <w:t xml:space="preserve">Prix</w:t>
            </w:r>
          </w:p>
        </w:tc>
        <w:tc>
          <w:tcPr>
            <w:shd w:fill="EFF6F1" w:val="clear"/>
            <w:tcMar>
              <w:top w:type="dxa" w:w="90"/>
              <w:left w:type="dxa" w:w="110"/>
              <w:bottom w:type="dxa" w:w="90"/>
              <w:right w:type="dxa" w:w="110"/>
            </w:tcMar>
            <w:vAlign w:val="center"/>
          </w:tcPr>
          <w:p>
            <w:pPr>
              <w:jc w:val="left"/>
            </w:pPr>
            <w:r>
              <w:rPr>
                <w:b/>
                <w:bCs/>
              </w:rPr>
              <w:t xml:space="preserve">Dossiers</w:t>
            </w:r>
          </w:p>
        </w:tc>
        <w:tc>
          <w:tcPr>
            <w:shd w:fill="EFF6F1" w:val="clear"/>
            <w:tcMar>
              <w:top w:type="dxa" w:w="90"/>
              <w:left w:type="dxa" w:w="110"/>
              <w:bottom w:type="dxa" w:w="90"/>
              <w:right w:type="dxa" w:w="110"/>
            </w:tcMar>
            <w:vAlign w:val="center"/>
          </w:tcPr>
          <w:p>
            <w:pPr>
              <w:jc w:val="left"/>
            </w:pPr>
            <w:r>
              <w:rPr>
                <w:b/>
                <w:bCs/>
              </w:rPr>
              <w:t xml:space="preserve">Particularité</w:t>
            </w:r>
          </w:p>
        </w:tc>
      </w:tr>
      <w:tr>
        <w:tc>
          <w:tcPr>
            <w:tcMar>
              <w:top w:type="dxa" w:w="90"/>
              <w:left w:type="dxa" w:w="110"/>
              <w:bottom w:type="dxa" w:w="90"/>
              <w:right w:type="dxa" w:w="110"/>
            </w:tcMar>
            <w:vAlign w:val="center"/>
          </w:tcPr>
          <w:p>
            <w:pPr>
              <w:jc w:val="left"/>
            </w:pPr>
            <w:r>
              <w:rPr>
                <w:b w:val="false"/>
                <w:bCs w:val="false"/>
              </w:rPr>
              <w:t xml:space="preserve">Essentiel</w:t>
            </w:r>
          </w:p>
        </w:tc>
        <w:tc>
          <w:tcPr>
            <w:tcMar>
              <w:top w:type="dxa" w:w="90"/>
              <w:left w:type="dxa" w:w="110"/>
              <w:bottom w:type="dxa" w:w="90"/>
              <w:right w:type="dxa" w:w="110"/>
            </w:tcMar>
            <w:vAlign w:val="center"/>
          </w:tcPr>
          <w:p>
            <w:pPr>
              <w:jc w:val="left"/>
            </w:pPr>
            <w:r>
              <w:rPr>
                <w:b w:val="false"/>
                <w:bCs w:val="false"/>
              </w:rPr>
              <w:t xml:space="preserve">20 €/mois</w:t>
            </w:r>
          </w:p>
        </w:tc>
        <w:tc>
          <w:tcPr>
            <w:tcMar>
              <w:top w:type="dxa" w:w="90"/>
              <w:left w:type="dxa" w:w="110"/>
              <w:bottom w:type="dxa" w:w="90"/>
              <w:right w:type="dxa" w:w="110"/>
            </w:tcMar>
            <w:vAlign w:val="center"/>
          </w:tcPr>
          <w:p>
            <w:pPr>
              <w:jc w:val="left"/>
            </w:pPr>
            <w:r>
              <w:rPr>
                <w:b w:val="false"/>
                <w:bCs w:val="false"/>
              </w:rPr>
              <w:t xml:space="preserve">4 actifs, quotas fermes</w:t>
            </w:r>
          </w:p>
        </w:tc>
        <w:tc>
          <w:tcPr>
            <w:tcMar>
              <w:top w:type="dxa" w:w="90"/>
              <w:left w:type="dxa" w:w="110"/>
              <w:bottom w:type="dxa" w:w="90"/>
              <w:right w:type="dxa" w:w="110"/>
            </w:tcMar>
            <w:vAlign w:val="center"/>
          </w:tcPr>
          <w:p>
            <w:pPr>
              <w:jc w:val="left"/>
            </w:pPr>
            <w:r>
              <w:rPr>
                <w:b w:val="false"/>
                <w:bCs w:val="false"/>
              </w:rPr>
              <w:t xml:space="preserve">3 profils d'analyse sur 6, pas de comparateur</w:t>
            </w:r>
          </w:p>
        </w:tc>
      </w:tr>
      <w:tr>
        <w:tc>
          <w:tcPr>
            <w:tcMar>
              <w:top w:type="dxa" w:w="90"/>
              <w:left w:type="dxa" w:w="110"/>
              <w:bottom w:type="dxa" w:w="90"/>
              <w:right w:type="dxa" w:w="110"/>
            </w:tcMar>
            <w:vAlign w:val="center"/>
          </w:tcPr>
          <w:p>
            <w:pPr>
              <w:jc w:val="left"/>
            </w:pPr>
            <w:r>
              <w:rPr>
                <w:b/>
                <w:bCs/>
              </w:rPr>
              <w:t xml:space="preserve">Analyste</w:t>
            </w:r>
          </w:p>
        </w:tc>
        <w:tc>
          <w:tcPr>
            <w:tcMar>
              <w:top w:type="dxa" w:w="90"/>
              <w:left w:type="dxa" w:w="110"/>
              <w:bottom w:type="dxa" w:w="90"/>
              <w:right w:type="dxa" w:w="110"/>
            </w:tcMar>
            <w:vAlign w:val="center"/>
          </w:tcPr>
          <w:p>
            <w:pPr>
              <w:jc w:val="left"/>
            </w:pPr>
            <w:r>
              <w:rPr>
                <w:b/>
                <w:bCs/>
              </w:rPr>
              <w:t xml:space="preserve">690 €/mois</w:t>
            </w:r>
          </w:p>
        </w:tc>
        <w:tc>
          <w:tcPr>
            <w:tcMar>
              <w:top w:type="dxa" w:w="90"/>
              <w:left w:type="dxa" w:w="110"/>
              <w:bottom w:type="dxa" w:w="90"/>
              <w:right w:type="dxa" w:w="110"/>
            </w:tcMar>
            <w:vAlign w:val="center"/>
          </w:tcPr>
          <w:p>
            <w:pPr>
              <w:jc w:val="left"/>
            </w:pPr>
            <w:r>
              <w:rPr>
                <w:b w:val="false"/>
                <w:bCs w:val="false"/>
              </w:rPr>
              <w:t xml:space="preserve">15 ouverts, tout illimité</w:t>
            </w:r>
          </w:p>
        </w:tc>
        <w:tc>
          <w:tcPr>
            <w:tcMar>
              <w:top w:type="dxa" w:w="90"/>
              <w:left w:type="dxa" w:w="110"/>
              <w:bottom w:type="dxa" w:w="90"/>
              <w:right w:type="dxa" w:w="110"/>
            </w:tcMar>
            <w:vAlign w:val="center"/>
          </w:tcPr>
          <w:p>
            <w:pPr>
              <w:jc w:val="left"/>
            </w:pPr>
            <w:r>
              <w:rPr>
                <w:b w:val="false"/>
                <w:bCs w:val="false"/>
              </w:rPr>
              <w:t xml:space="preserve">6 profils, comparateur, contradictions, états financiers</w:t>
            </w:r>
          </w:p>
        </w:tc>
      </w:tr>
      <w:tr>
        <w:tc>
          <w:tcPr>
            <w:tcMar>
              <w:top w:type="dxa" w:w="90"/>
              <w:left w:type="dxa" w:w="110"/>
              <w:bottom w:type="dxa" w:w="90"/>
              <w:right w:type="dxa" w:w="110"/>
            </w:tcMar>
            <w:vAlign w:val="center"/>
          </w:tcPr>
          <w:p>
            <w:pPr>
              <w:jc w:val="left"/>
            </w:pPr>
            <w:r>
              <w:rPr>
                <w:b w:val="false"/>
                <w:bCs w:val="false"/>
              </w:rPr>
              <w:t xml:space="preserve">Fonds</w:t>
            </w:r>
          </w:p>
        </w:tc>
        <w:tc>
          <w:tcPr>
            <w:tcMar>
              <w:top w:type="dxa" w:w="90"/>
              <w:left w:type="dxa" w:w="110"/>
              <w:bottom w:type="dxa" w:w="90"/>
              <w:right w:type="dxa" w:w="110"/>
            </w:tcMar>
            <w:vAlign w:val="center"/>
          </w:tcPr>
          <w:p>
            <w:pPr>
              <w:jc w:val="left"/>
            </w:pPr>
            <w:r>
              <w:rPr>
                <w:b w:val="false"/>
                <w:bCs w:val="false"/>
              </w:rPr>
              <w:t xml:space="preserve">dès 2 900 €/mois</w:t>
            </w:r>
          </w:p>
        </w:tc>
        <w:tc>
          <w:tcPr>
            <w:tcMar>
              <w:top w:type="dxa" w:w="90"/>
              <w:left w:type="dxa" w:w="110"/>
              <w:bottom w:type="dxa" w:w="90"/>
              <w:right w:type="dxa" w:w="110"/>
            </w:tcMar>
            <w:vAlign w:val="center"/>
          </w:tcPr>
          <w:p>
            <w:pPr>
              <w:jc w:val="left"/>
            </w:pPr>
            <w:r>
              <w:rPr>
                <w:b w:val="false"/>
                <w:bCs w:val="false"/>
              </w:rPr>
              <w:t xml:space="preserve">15 par siège</w:t>
            </w:r>
          </w:p>
        </w:tc>
        <w:tc>
          <w:tcPr>
            <w:tcMar>
              <w:top w:type="dxa" w:w="90"/>
              <w:left w:type="dxa" w:w="110"/>
              <w:bottom w:type="dxa" w:w="90"/>
              <w:right w:type="dxa" w:w="110"/>
            </w:tcMar>
            <w:vAlign w:val="center"/>
          </w:tcPr>
          <w:p>
            <w:pPr>
              <w:jc w:val="left"/>
            </w:pPr>
            <w:r>
              <w:rPr>
                <w:b w:val="false"/>
                <w:bCs w:val="false"/>
              </w:rPr>
              <w:t xml:space="preserve">5 sièges inclus (580 €/siège, 630 € au-delà du 10ᵉ), partage de dossiers</w:t>
            </w:r>
          </w:p>
        </w:tc>
      </w:tr>
    </w:tbl>
    <w:p>
      <w:pPr>
        <w:spacing w:after="160" w:line="300"/>
      </w:pPr>
      <w:r>
        <w:rPr>
          <w:sz w:val="4"/>
          <w:szCs w:val="4"/>
        </w:rPr>
        <w:t xml:space="preserve"/>
      </w:r>
    </w:p>
    <w:p>
      <w:pPr>
        <w:pBdr>
          <w:left w:val="single" w:color="146B45" w:sz="18" w:space="8"/>
        </w:pBdr>
        <w:shd w:fill="EFF6F1" w:val="clear"/>
        <w:spacing w:after="200" w:before="60"/>
        <w:ind w:left="120"/>
      </w:pPr>
      <w:r>
        <w:rPr>
          <w:b/>
          <w:bCs/>
          <w:color w:val="146B45"/>
        </w:rPr>
        <w:t xml:space="preserve">Note — </w:t>
      </w:r>
      <w:r>
        <w:t xml:space="preserve">Le mécanisme de restriction par offre n'est pas qu'un argument marketing : il est réellement simulé dans l'application (section 10.3) — changer d'offre depuis Facturation modifie concrètement les profils d'analyse accessibles.</w:t>
      </w:r>
    </w:p>
    <w:p>
      <w:r>
        <w:br w:type="page"/>
      </w:r>
    </w:p>
    <w:p>
      <w:pPr>
        <w:pStyle w:val="Heading1"/>
      </w:pPr>
      <w:r>
        <w:t xml:space="preserve">3. Inscription, choix d'offre et paiement</w:t>
      </w:r>
    </w:p>
    <w:p>
      <w:pPr>
        <w:spacing w:after="160" w:line="300"/>
      </w:pPr>
      <w:r>
        <w:t xml:space="preserve">Le parcours d'entrée suit quatre écrans : création de compte (email ou OAuth simulé Google/Microsoft) → choix de l'offre → paiement → confirmation avec mise en route en trois étapes. Chaque écran affiche un panneau latéral sombre reprenant la signature visuelle du hero.</w:t>
      </w:r>
    </w:p>
    <w:p>
      <w:pPr>
        <w:pStyle w:val="ListParagraph"/>
        <w:numPr>
          <w:ilvl w:val="0"/>
          <w:numId w:val="2"/>
        </w:numPr>
        <w:spacing w:after="90" w:line="290"/>
      </w:pPr>
      <w:r>
        <w:rPr>
          <w:b/>
          <w:bCs/>
        </w:rPr>
        <w:t xml:space="preserve">Paiement </w:t>
      </w:r>
      <w:r>
        <w:t xml:space="preserve">— formulaire de carte factice (aucune donnée n'est traitée), récapitulatif avec TVA calculée, mention explicite « maquette de démonstration ».</w:t>
      </w:r>
    </w:p>
    <w:p>
      <w:pPr>
        <w:pStyle w:val="ListParagraph"/>
        <w:numPr>
          <w:ilvl w:val="0"/>
          <w:numId w:val="2"/>
        </w:numPr>
        <w:spacing w:after="90" w:line="290"/>
      </w:pPr>
      <w:r>
        <w:rPr>
          <w:b/>
          <w:bCs/>
        </w:rPr>
        <w:t xml:space="preserve">Écran de succès </w:t>
      </w:r>
      <w:r>
        <w:t xml:space="preserve">— check-list de mise en route en trois points (créer un espace, déposer les documents, recevoir la synthèse) plutôt qu'un simple message de bienvenue.</w:t>
      </w:r>
    </w:p>
    <w:p>
      <w:pPr>
        <w:pBdr>
          <w:left w:val="single" w:color="146B45" w:sz="18" w:space="8"/>
        </w:pBdr>
        <w:shd w:fill="EFF6F1" w:val="clear"/>
        <w:spacing w:after="200" w:before="60"/>
        <w:ind w:left="120"/>
      </w:pPr>
      <w:r>
        <w:rPr>
          <w:b/>
          <w:bCs/>
          <w:color w:val="146B45"/>
        </w:rPr>
        <w:t xml:space="preserve">Note — </w:t>
      </w:r>
      <w:r>
        <w:t xml:space="preserve">Choisir une offre à cet endroit (choosePlan) modifie réellement l'état applicatif currentPlan, qui pilote ensuite le verrouillage des profils d'analyse une fois dans l'application.</w:t>
      </w:r>
    </w:p>
    <w:p>
      <w:r>
        <w:br w:type="page"/>
      </w:r>
    </w:p>
    <w:p>
      <w:pPr>
        <w:pStyle w:val="Heading1"/>
      </w:pPr>
      <w:r>
        <w:t xml:space="preserve">4. Architecture générale de l'application</w:t>
      </w:r>
    </w:p>
    <w:p>
      <w:pPr>
        <w:spacing w:after="160" w:line="300"/>
      </w:pPr>
      <w:r>
        <w:t xml:space="preserve">Une fois connecté, l'utilisateur bascule sur une mise en page à deux colonnes : une barre latérale sombre fixe (toujours foncée, quel que soit le thème choisi — c'est la signature de marque) et une zone de contenu qui suit le thème clair ou sombre choisi.</w:t>
      </w:r>
    </w:p>
    <w:p>
      <w:pPr>
        <w:pStyle w:val="Heading2"/>
      </w:pPr>
      <w:r>
        <w:t xml:space="preserve">4.1 Barre latérale et palette de commandes</w:t>
      </w:r>
    </w:p>
    <w:p>
      <w:pPr>
        <w:spacing w:after="160" w:line="300"/>
      </w:pPr>
      <w:r>
        <w:t xml:space="preserve">La navigation principale regroupe : Tableau de bord, Dossiers (avec compteur), Signaux (avec compteur d'alertes non lues), Recherche globale, Comparateur, Exports, puis une section Compte (Facturation, Équipe, Réglages).</w:t>
      </w:r>
    </w:p>
    <w:p>
      <w:pPr>
        <w:pStyle w:val="ListParagraph"/>
        <w:numPr>
          <w:ilvl w:val="0"/>
          <w:numId w:val="2"/>
        </w:numPr>
        <w:spacing w:after="90" w:line="290"/>
      </w:pPr>
      <w:r>
        <w:rPr>
          <w:b/>
          <w:bCs/>
        </w:rPr>
        <w:t xml:space="preserve">Palette de commandes (⌘K) </w:t>
      </w:r>
      <w:r>
        <w:t xml:space="preserve">— un raccourci clavier ouvre une fenêtre de recherche universelle, avec navigation au clavier (flèches, entrée, échap), qui regroupe actions rapides, sections de navigation et recherche par nom de dossier.</w:t>
      </w:r>
    </w:p>
    <w:p>
      <w:pPr>
        <w:pStyle w:val="ListParagraph"/>
        <w:numPr>
          <w:ilvl w:val="0"/>
          <w:numId w:val="2"/>
        </w:numPr>
        <w:spacing w:after="90" w:line="290"/>
      </w:pPr>
      <w:r>
        <w:rPr>
          <w:b/>
          <w:bCs/>
        </w:rPr>
        <w:t xml:space="preserve">Jauge de dossiers ouverts </w:t>
      </w:r>
      <w:r>
        <w:t xml:space="preserve">— la barre latérale affiche en permanence le nombre de dossiers actifs sur le plafond de l'offre (15 pour Analyste/Fonds), avec un message rappelant que les questions et analyses restent illimitées quel que soit ce plafond.</w:t>
      </w:r>
    </w:p>
    <w:p>
      <w:pPr>
        <w:pStyle w:val="Heading2"/>
      </w:pPr>
      <w:r>
        <w:t xml:space="preserve">4.2 Navigation mobile</w:t>
      </w:r>
    </w:p>
    <w:p>
      <w:pPr>
        <w:spacing w:after="160" w:line="300"/>
      </w:pPr>
      <w:r>
        <w:t xml:space="preserve">Le prototype a été audité spécifiquement sur petit écran : sous 780 pixels de large, la barre latérale se transforme en tiroir coulissant ouvert par un bouton « trois barres » dans la barre d'application, avec un fond assombri cliquable pour le refermer. Le même principe s'applique :</w:t>
      </w:r>
    </w:p>
    <w:p>
      <w:pPr>
        <w:pStyle w:val="ListParagraph"/>
        <w:numPr>
          <w:ilvl w:val="0"/>
          <w:numId w:val="2"/>
        </w:numPr>
        <w:spacing w:after="90" w:line="290"/>
      </w:pPr>
      <w:r>
        <w:t xml:space="preserve">au menu du site public (liens d'ancrage + connexion/inscription, en tiroir déroulant sous le logo) ;</w:t>
      </w:r>
    </w:p>
    <w:p>
      <w:pPr>
        <w:pStyle w:val="ListParagraph"/>
        <w:numPr>
          <w:ilvl w:val="0"/>
          <w:numId w:val="2"/>
        </w:numPr>
        <w:spacing w:after="90" w:line="290"/>
      </w:pPr>
      <w:r>
        <w:t xml:space="preserve">au sommaire de la note d'analyse complète (transformé en bandeau d'onglets défilant horizontalement plutôt que masqué).</w:t>
      </w:r>
    </w:p>
    <w:p>
      <w:pPr>
        <w:spacing w:after="160" w:line="300"/>
      </w:pPr>
      <w:r>
        <w:t xml:space="preserve">Le tiroir se referme automatiquement à chaque navigation (changement de section, ouverture d'un dossier), pour éviter qu'il reste ouvert par-dessus le nouvel écran.</w:t>
      </w:r>
    </w:p>
    <w:p>
      <w:r>
        <w:br w:type="page"/>
      </w:r>
    </w:p>
    <w:p>
      <w:pPr>
        <w:pStyle w:val="Heading1"/>
      </w:pPr>
      <w:r>
        <w:t xml:space="preserve">5. Tableau de bord</w:t>
      </w:r>
    </w:p>
    <w:p>
      <w:pPr>
        <w:spacing w:after="160" w:line="300"/>
      </w:pPr>
      <w:r>
        <w:t xml:space="preserve">L'écran d'accueil de l'application n'est pas une liste de statistiques passives : il met en avant ce qui demande une décision aujourd'hui.</w:t>
      </w:r>
    </w:p>
    <w:p>
      <w:pPr>
        <w:pStyle w:val="ListParagraph"/>
        <w:numPr>
          <w:ilvl w:val="0"/>
          <w:numId w:val="2"/>
        </w:numPr>
        <w:spacing w:after="90" w:line="290"/>
      </w:pPr>
      <w:r>
        <w:rPr>
          <w:b/>
          <w:bCs/>
        </w:rPr>
        <w:t xml:space="preserve">File « À traiter en priorité » </w:t>
      </w:r>
      <w:r>
        <w:t xml:space="preserve">— quatre cartes classées par gravité (critique, à surveiller, information) : contradictions détectées à arbitrer, documents manquants, signaux non lus, dossiers inactifs depuis plusieurs jours. Chaque carte mène directement à l'écran concerné.</w:t>
      </w:r>
    </w:p>
    <w:p>
      <w:pPr>
        <w:pStyle w:val="ListParagraph"/>
        <w:numPr>
          <w:ilvl w:val="0"/>
          <w:numId w:val="2"/>
        </w:numPr>
        <w:spacing w:after="90" w:line="290"/>
      </w:pPr>
      <w:r>
        <w:rPr>
          <w:b/>
          <w:bCs/>
        </w:rPr>
        <w:t xml:space="preserve">Indicateurs clés </w:t>
      </w:r>
      <w:r>
        <w:t xml:space="preserve">— dossiers ouverts, analyses du mois, questions posées, temps estimé économisé, chacun avec une mini-courbe d'évolution (sparkline).</w:t>
      </w:r>
    </w:p>
    <w:p>
      <w:pPr>
        <w:pStyle w:val="ListParagraph"/>
        <w:numPr>
          <w:ilvl w:val="0"/>
          <w:numId w:val="2"/>
        </w:numPr>
        <w:spacing w:after="90" w:line="290"/>
      </w:pPr>
      <w:r>
        <w:rPr>
          <w:b/>
          <w:bCs/>
        </w:rPr>
        <w:t xml:space="preserve">Pipeline </w:t>
      </w:r>
      <w:r>
        <w:t xml:space="preserve">— répartition des dossiers actifs par étape (Screening, Due diligence, Comité, Closing, Écarté).</w:t>
      </w:r>
    </w:p>
    <w:p>
      <w:pPr>
        <w:pStyle w:val="ListParagraph"/>
        <w:numPr>
          <w:ilvl w:val="0"/>
          <w:numId w:val="2"/>
        </w:numPr>
        <w:spacing w:after="90" w:line="290"/>
      </w:pPr>
      <w:r>
        <w:rPr>
          <w:b/>
          <w:bCs/>
        </w:rPr>
        <w:t xml:space="preserve">Reprendre </w:t>
      </w:r>
      <w:r>
        <w:t xml:space="preserve">— accès direct aux derniers dossiers consultés, et fil d'activité récente de l'organisation.</w:t>
      </w:r>
    </w:p>
    <w:p>
      <w:r>
        <w:br w:type="page"/>
      </w:r>
    </w:p>
    <w:p>
      <w:pPr>
        <w:pStyle w:val="Heading1"/>
      </w:pPr>
      <w:r>
        <w:t xml:space="preserve">6. Gestion des dossiers</w:t>
      </w:r>
    </w:p>
    <w:p>
      <w:pPr>
        <w:spacing w:after="160" w:line="300"/>
      </w:pPr>
      <w:r>
        <w:t xml:space="preserve">Un dossier correspond à une entreprise étudiée : jusqu'à 50 documents, volume de pages illimité sur les offres payantes.</w:t>
      </w:r>
    </w:p>
    <w:p>
      <w:pPr>
        <w:pStyle w:val="ListParagraph"/>
        <w:numPr>
          <w:ilvl w:val="0"/>
          <w:numId w:val="2"/>
        </w:numPr>
        <w:spacing w:after="90" w:line="290"/>
      </w:pPr>
      <w:r>
        <w:rPr>
          <w:b/>
          <w:bCs/>
        </w:rPr>
        <w:t xml:space="preserve">Cycle de vie </w:t>
      </w:r>
      <w:r>
        <w:t xml:space="preserve">— actif → archivé → corbeille (30 jours, restaurable) → purge définitive. Archiver un dossier libère immédiatement un emplacement sans rien supprimer : l'analyse, l'historique de chat et l'indexation restent intacts et consultables après restauration.</w:t>
      </w:r>
    </w:p>
    <w:p>
      <w:pPr>
        <w:pStyle w:val="ListParagraph"/>
        <w:numPr>
          <w:ilvl w:val="0"/>
          <w:numId w:val="2"/>
        </w:numPr>
        <w:spacing w:after="90" w:line="290"/>
      </w:pPr>
      <w:r>
        <w:rPr>
          <w:b/>
          <w:bCs/>
        </w:rPr>
        <w:t xml:space="preserve">Plafond de 15 dossiers ouverts </w:t>
      </w:r>
      <w:r>
        <w:t xml:space="preserve">(par siège, sur les offres payantes) — seule limite visible du produit ; elle ne porte que sur le nombre de dossiers simultanément actifs, jamais sur le volume de pages, de questions ou d'analyses.</w:t>
      </w:r>
    </w:p>
    <w:p>
      <w:pPr>
        <w:pStyle w:val="ListParagraph"/>
        <w:numPr>
          <w:ilvl w:val="0"/>
          <w:numId w:val="2"/>
        </w:numPr>
        <w:spacing w:after="90" w:line="290"/>
      </w:pPr>
      <w:r>
        <w:rPr>
          <w:b/>
          <w:bCs/>
        </w:rPr>
        <w:t xml:space="preserve">Pastille de risque </w:t>
      </w:r>
      <w:r>
        <w:t xml:space="preserve">— chaque ligne de dossier affiche un score de risque coloré (vert / orange / rouge), calculé section 10.</w:t>
      </w:r>
    </w:p>
    <w:p>
      <w:pPr>
        <w:pStyle w:val="ListParagraph"/>
        <w:numPr>
          <w:ilvl w:val="0"/>
          <w:numId w:val="2"/>
        </w:numPr>
        <w:spacing w:after="90" w:line="290"/>
      </w:pPr>
      <w:r>
        <w:rPr>
          <w:b/>
          <w:bCs/>
        </w:rPr>
        <w:t xml:space="preserve">Filtres </w:t>
      </w:r>
      <w:r>
        <w:t xml:space="preserve">(Actifs, Archivés, Corbeille, Tous) et recherche par nom ou secteur.</w:t>
      </w:r>
    </w:p>
    <w:p>
      <w:pPr>
        <w:pStyle w:val="Heading2"/>
      </w:pPr>
      <w:r>
        <w:t xml:space="preserve">6.1 Anatomie d'un dossier</w:t>
      </w:r>
    </w:p>
    <w:p>
      <w:pPr>
        <w:spacing w:after="160" w:line="300"/>
      </w:pPr>
      <w:r>
        <w:t xml:space="preserve">Une fois ouvert, un dossier se décline en sept onglets :</w:t>
      </w:r>
    </w:p>
    <w:p>
      <w:pPr>
        <w:pStyle w:val="ListParagraph"/>
        <w:numPr>
          <w:ilvl w:val="0"/>
          <w:numId w:val="2"/>
        </w:numPr>
        <w:spacing w:after="90" w:line="290"/>
      </w:pPr>
      <w:r>
        <w:rPr>
          <w:b/>
          <w:bCs/>
        </w:rPr>
        <w:t xml:space="preserve">Synthèse </w:t>
      </w:r>
      <w:r>
        <w:t xml:space="preserve">— jauge de risque, indicateurs clés adaptés au profil d'analyse choisi, résumé exhaustif structuré en cinq sections, bouton vers la note complète (détaillé section 10).</w:t>
      </w:r>
    </w:p>
    <w:p>
      <w:pPr>
        <w:pStyle w:val="ListParagraph"/>
        <w:numPr>
          <w:ilvl w:val="0"/>
          <w:numId w:val="2"/>
        </w:numPr>
        <w:spacing w:after="90" w:line="290"/>
      </w:pPr>
      <w:r>
        <w:rPr>
          <w:b/>
          <w:bCs/>
        </w:rPr>
        <w:t xml:space="preserve">Documents </w:t>
      </w:r>
      <w:r>
        <w:t xml:space="preserve">— zone de dépôt, liste des pièces indexées avec statut, et analyse de complétude : le produit signale les documents attendus mais absents, avec la raison (« bloque l'analyse du BFR », par exemple), en fonction du type d'opération déclaré à la création du dossier.</w:t>
      </w:r>
    </w:p>
    <w:p>
      <w:pPr>
        <w:pStyle w:val="ListParagraph"/>
        <w:numPr>
          <w:ilvl w:val="0"/>
          <w:numId w:val="2"/>
        </w:numPr>
        <w:spacing w:after="90" w:line="290"/>
      </w:pPr>
      <w:r>
        <w:rPr>
          <w:b/>
          <w:bCs/>
        </w:rPr>
        <w:t xml:space="preserve">Copilote </w:t>
      </w:r>
      <w:r>
        <w:t xml:space="preserve">— chat sourcé (section 7).</w:t>
      </w:r>
    </w:p>
    <w:p>
      <w:pPr>
        <w:pStyle w:val="ListParagraph"/>
        <w:numPr>
          <w:ilvl w:val="0"/>
          <w:numId w:val="2"/>
        </w:numPr>
        <w:spacing w:after="90" w:line="290"/>
      </w:pPr>
      <w:r>
        <w:rPr>
          <w:b/>
          <w:bCs/>
        </w:rPr>
        <w:t xml:space="preserve">Chiffres clés </w:t>
      </w:r>
      <w:r>
        <w:t xml:space="preserve">— états financiers reconstruits (section 8, le module le plus développé du prototype).</w:t>
      </w:r>
    </w:p>
    <w:p>
      <w:pPr>
        <w:pStyle w:val="ListParagraph"/>
        <w:numPr>
          <w:ilvl w:val="0"/>
          <w:numId w:val="2"/>
        </w:numPr>
        <w:spacing w:after="90" w:line="290"/>
      </w:pPr>
      <w:r>
        <w:rPr>
          <w:b/>
          <w:bCs/>
        </w:rPr>
        <w:t xml:space="preserve">Contrôles </w:t>
      </w:r>
      <w:r>
        <w:t xml:space="preserve">— contradictions détectées et checklist de due diligence (section 9).</w:t>
      </w:r>
    </w:p>
    <w:p>
      <w:pPr>
        <w:pStyle w:val="ListParagraph"/>
        <w:numPr>
          <w:ilvl w:val="0"/>
          <w:numId w:val="2"/>
        </w:numPr>
        <w:spacing w:after="90" w:line="290"/>
      </w:pPr>
      <w:r>
        <w:rPr>
          <w:b/>
          <w:bCs/>
        </w:rPr>
        <w:t xml:space="preserve">Comparateur </w:t>
      </w:r>
      <w:r>
        <w:t xml:space="preserve">— comparaison de deux documents ou deux dossiers.</w:t>
      </w:r>
    </w:p>
    <w:p>
      <w:pPr>
        <w:pStyle w:val="ListParagraph"/>
        <w:numPr>
          <w:ilvl w:val="0"/>
          <w:numId w:val="2"/>
        </w:numPr>
        <w:spacing w:after="90" w:line="290"/>
      </w:pPr>
      <w:r>
        <w:rPr>
          <w:b/>
          <w:bCs/>
        </w:rPr>
        <w:t xml:space="preserve">Export </w:t>
      </w:r>
      <w:r>
        <w:t xml:space="preserve">— génération de la note de synthèse.</w:t>
      </w:r>
    </w:p>
    <w:p>
      <w:r>
        <w:br w:type="page"/>
      </w:r>
    </w:p>
    <w:p>
      <w:pPr>
        <w:pStyle w:val="Heading1"/>
      </w:pPr>
      <w:r>
        <w:t xml:space="preserve">7. Le Copilote — chat sourcé</w:t>
      </w:r>
    </w:p>
    <w:p>
      <w:pPr>
        <w:spacing w:after="160" w:line="300"/>
      </w:pPr>
      <w:r>
        <w:t xml:space="preserve">Le chat ne répond qu'à partir des documents du dossier ouvert. Chaque réponse simulée est accompagnée d'un bloc de sources cliquables, et d'actions rapides (ajouter la réponse au mémo, copier avec sa référence, signaler).</w:t>
      </w:r>
    </w:p>
    <w:p>
      <w:pPr>
        <w:pStyle w:val="ListParagraph"/>
        <w:numPr>
          <w:ilvl w:val="0"/>
          <w:numId w:val="2"/>
        </w:numPr>
        <w:spacing w:after="90" w:line="290"/>
      </w:pPr>
      <w:r>
        <w:rPr>
          <w:b/>
          <w:bCs/>
        </w:rPr>
        <w:t xml:space="preserve">Packs de questions </w:t>
      </w:r>
      <w:r>
        <w:t xml:space="preserve">— une liste de questions suggérées, différente selon le type d'opération du dossier (Due diligence, LBO, Série A/B, Screening, Veille) : les covenants bancaires pour un LBO, la table de capitalisation pour un tour de financement, etc.</w:t>
      </w:r>
    </w:p>
    <w:p>
      <w:pPr>
        <w:pStyle w:val="ListParagraph"/>
        <w:numPr>
          <w:ilvl w:val="0"/>
          <w:numId w:val="2"/>
        </w:numPr>
        <w:spacing w:after="90" w:line="290"/>
      </w:pPr>
      <w:r>
        <w:rPr>
          <w:b/>
          <w:bCs/>
        </w:rPr>
        <w:t xml:space="preserve">Étiquette « Analyse approfondie » </w:t>
      </w:r>
      <w:r>
        <w:t xml:space="preserve">— apparaît automatiquement quand la question détectée est complexe (comparaison, calcul, écart), avec un délai de réponse simulé plus long, pour représenter un traitement à plus forte charge de calcul.</w:t>
      </w:r>
    </w:p>
    <w:p>
      <w:pPr>
        <w:pStyle w:val="ListParagraph"/>
        <w:numPr>
          <w:ilvl w:val="0"/>
          <w:numId w:val="2"/>
        </w:numPr>
        <w:spacing w:after="90" w:line="290"/>
      </w:pPr>
      <w:r>
        <w:rPr>
          <w:b/>
          <w:bCs/>
        </w:rPr>
        <w:t xml:space="preserve">Discipline de citation </w:t>
      </w:r>
      <w:r>
        <w:t xml:space="preserve">— toute réponse simulée s'appuie sur les mêmes clés de sourçage que le reste du produit : cliquer une puce ouvre le panneau latéral avec la page exacte, passage surligné.</w:t>
      </w:r>
    </w:p>
    <w:p>
      <w:r>
        <w:br w:type="page"/>
      </w:r>
    </w:p>
    <w:p>
      <w:pPr>
        <w:pStyle w:val="Heading1"/>
      </w:pPr>
      <w:r>
        <w:t xml:space="preserve">8. Chiffres clés — états financiers reconstruits</w:t>
      </w:r>
    </w:p>
    <w:p>
      <w:pPr>
        <w:spacing w:after="160" w:line="300"/>
      </w:pPr>
      <w:r>
        <w:t xml:space="preserve">C'est le module le plus abouti du prototype et celui qui matérialise le mieux la promesse du produit : éviter à l'utilisateur d'avoir à fouiller les documents ou à interroger le Copilote pour retrouver une donnée financière. Le moteur croise les pièces indexées, juge lesquelles sont pertinentes, et reconstruit le compte de résultat, le bilan et le tableau de flux de trésorerie sous une forme exploitable, chaque cellule tracée jusqu'à sa source.</w:t>
      </w:r>
    </w:p>
    <w:p>
      <w:pPr>
        <w:pStyle w:val="Heading2"/>
      </w:pPr>
      <w:r>
        <w:t xml:space="preserve">8.1 Deux niveaux de lecture</w:t>
      </w:r>
    </w:p>
    <w:p>
      <w:pPr>
        <w:pStyle w:val="ListParagraph"/>
        <w:numPr>
          <w:ilvl w:val="0"/>
          <w:numId w:val="2"/>
        </w:numPr>
        <w:spacing w:after="90" w:line="290"/>
      </w:pPr>
      <w:r>
        <w:rPr>
          <w:b/>
          <w:bCs/>
        </w:rPr>
        <w:t xml:space="preserve">Vue Simplifiée </w:t>
      </w:r>
      <w:r>
        <w:t xml:space="preserve">(par défaut) — 8 à 9 indicateurs les plus suivis, en tableau condensé : chiffre d'affaires, marge, résultat opérationnel, résultat net, free cash-flow, dette nette et son ratio, stocks, capitaux propres.</w:t>
      </w:r>
    </w:p>
    <w:p>
      <w:pPr>
        <w:pStyle w:val="ListParagraph"/>
        <w:numPr>
          <w:ilvl w:val="0"/>
          <w:numId w:val="2"/>
        </w:numPr>
        <w:spacing w:after="90" w:line="290"/>
      </w:pPr>
      <w:r>
        <w:rPr>
          <w:b/>
          <w:bCs/>
        </w:rPr>
        <w:t xml:space="preserve">Vue États complets </w:t>
      </w:r>
      <w:r>
        <w:t xml:space="preserve">— accessible par un bouton bascule, elle déplie :</w:t>
      </w:r>
    </w:p>
    <w:p>
      <w:pPr>
        <w:pStyle w:val="ListParagraph"/>
        <w:numPr>
          <w:ilvl w:val="1"/>
          <w:numId w:val="2"/>
        </w:numPr>
        <w:spacing w:after="90" w:line="290"/>
      </w:pPr>
      <w:r>
        <w:t xml:space="preserve">le compte de résultat intégral, du chiffre d'affaires au résultat net part du Groupe ;</w:t>
      </w:r>
    </w:p>
    <w:p>
      <w:pPr>
        <w:pStyle w:val="ListParagraph"/>
        <w:numPr>
          <w:ilvl w:val="1"/>
          <w:numId w:val="2"/>
        </w:numPr>
        <w:spacing w:after="90" w:line="290"/>
      </w:pPr>
      <w:r>
        <w:t xml:space="preserve">le bilan complet, actif et passif, dont les totaux s'équilibrent ;</w:t>
      </w:r>
    </w:p>
    <w:p>
      <w:pPr>
        <w:pStyle w:val="ListParagraph"/>
        <w:numPr>
          <w:ilvl w:val="1"/>
          <w:numId w:val="2"/>
        </w:numPr>
        <w:spacing w:after="90" w:line="290"/>
      </w:pPr>
      <w:r>
        <w:t xml:space="preserve">le tableau de flux de trésorerie, de la capacité d'autofinancement à la trésorerie de clôture ;</w:t>
      </w:r>
    </w:p>
    <w:p>
      <w:pPr>
        <w:pStyle w:val="ListParagraph"/>
        <w:numPr>
          <w:ilvl w:val="1"/>
          <w:numId w:val="2"/>
        </w:numPr>
        <w:spacing w:after="90" w:line="290"/>
      </w:pPr>
      <w:r>
        <w:t xml:space="preserve">une section « Analyse des évolutions » : quatre à cinq blocs de texte qui expliquent pourquoi les chiffres ont évolué ainsi, en croisant plusieurs documents entre eux.</w:t>
      </w:r>
    </w:p>
    <w:p>
      <w:pPr>
        <w:pStyle w:val="Heading2"/>
      </w:pPr>
      <w:r>
        <w:t xml:space="preserve">8.2 Traçabilité : sourcé ou estimé</w:t>
      </w:r>
    </w:p>
    <w:p>
      <w:pPr>
        <w:spacing w:after="160" w:line="300"/>
      </w:pPr>
      <w:r>
        <w:t xml:space="preserve">Chaque ligne porte l'une de deux étiquettes, pour rester honnête sur l'origine du chiffre plutôt que de prétendre à une exhaustivité que les documents ne permettent pas :</w:t>
      </w:r>
    </w:p>
    <w:p>
      <w:pPr>
        <w:pStyle w:val="ListParagraph"/>
        <w:numPr>
          <w:ilvl w:val="0"/>
          <w:numId w:val="2"/>
        </w:numPr>
        <w:spacing w:after="90" w:line="290"/>
      </w:pPr>
      <w:r>
        <w:rPr>
          <w:b/>
          <w:bCs/>
        </w:rPr>
        <w:t xml:space="preserve">Une puce de page (ex. p.148) </w:t>
      </w:r>
      <w:r>
        <w:t xml:space="preserve">— la ligne reprend une donnée explicitement présente dans un document indexé ; cliquer ouvre le passage exact.</w:t>
      </w:r>
    </w:p>
    <w:p>
      <w:pPr>
        <w:pStyle w:val="ListParagraph"/>
        <w:numPr>
          <w:ilvl w:val="0"/>
          <w:numId w:val="2"/>
        </w:numPr>
        <w:spacing w:after="90" w:line="290"/>
      </w:pPr>
      <w:r>
        <w:rPr>
          <w:b/>
          <w:bCs/>
        </w:rPr>
        <w:t xml:space="preserve">Un badge « estimé » </w:t>
      </w:r>
      <w:r>
        <w:t xml:space="preserve">— la ligne complète le tableau par recoupement (le total doit s'équilibrer, le résultat net doit se retrouver dans le tableau de flux, etc.), faute de détail plus fin dans les documents disponibles. Une bannière de méthodologie rappelle cette distinction en toutes lettres au-dessus de chaque état complet.</w:t>
      </w:r>
    </w:p>
    <w:p>
      <w:pPr>
        <w:pBdr>
          <w:left w:val="single" w:color="146B45" w:sz="18" w:space="8"/>
        </w:pBdr>
        <w:shd w:fill="EFF6F1" w:val="clear"/>
        <w:spacing w:after="200" w:before="60"/>
        <w:ind w:left="120"/>
      </w:pPr>
      <w:r>
        <w:rPr>
          <w:b/>
          <w:bCs/>
          <w:color w:val="146B45"/>
        </w:rPr>
        <w:t xml:space="preserve">Note — </w:t>
      </w:r>
      <w:r>
        <w:t xml:space="preserve">Sur le dossier de démonstration LVMH, le modèle complet est arithmétiquement bouclé : le résultat net alimente le tableau de flux, la trésorerie de clôture calculée retombe exactement sur la trésorerie du bilan, la dette nette recalculée (dette financière brute moins trésorerie) retombe sur le chiffre déjà cité ailleurs dans le produit (19,8 Md€, ratio 0,9×), et le total du bilan s'équilibre à l'actif comme au passif, sur les deux exercices présentés. Le même exercice a été fait sur le dossier Helios (levée de fonds SaaS), avec un tableau de flux simplifié à un seul exercice faute de donnée d'ouverture antérieure dans les documents indexés.</w:t>
      </w:r>
    </w:p>
    <w:p>
      <w:pPr>
        <w:pStyle w:val="Heading2"/>
      </w:pPr>
      <w:r>
        <w:t xml:space="preserve">8.3 Section « Analyse des évolutions »</w:t>
      </w:r>
    </w:p>
    <w:p>
      <w:pPr>
        <w:spacing w:after="160" w:line="300"/>
      </w:pPr>
      <w:r>
        <w:t xml:space="preserve">Propre à la vue complète, cette section relie explicitement plusieurs documents entre eux plutôt que de commenter une seule ligne isolément. Sur le dossier LVMH, par exemple : la hausse du chiffre d'affaires (+10,5 %) plus que compense le repli de marge (−0,8 point), ce qui explique pourquoi le résultat opérationnel courant progresse malgré tout ; ce repli de marge est lui-même relié à l'investissement dans le réseau de distribution en propre mentionné dans le rapport de gestion, cohérent avec la hausse estimée des immobilisations au bilan. C'est une démonstration concrète de « croiser les données » plutôt qu'un simple copier-coller de paragraphes.</w:t>
      </w:r>
    </w:p>
    <w:p>
      <w:pPr>
        <w:pStyle w:val="Heading2"/>
      </w:pPr>
      <w:r>
        <w:t xml:space="preserve">8.4 Dossiers couverts et dossiers vides</w:t>
      </w:r>
    </w:p>
    <w:p>
      <w:pPr>
        <w:spacing w:after="160" w:line="300"/>
      </w:pPr>
      <w:r>
        <w:t xml:space="preserve">Le prototype présente ce module en profondeur sur deux dossiers (LVMH — rapport annuel, et Helios — due diligence SaaS). Sur les autres dossiers de démonstration, l'onglet affiche un message d'invitation à déposer des documents financiers, plutôt qu'un tableau vide ou une erreur — le comportement attendu en production quand un dossier n'a pas encore assez de matière indexée.</w:t>
      </w:r>
    </w:p>
    <w:p>
      <w:r>
        <w:br w:type="page"/>
      </w:r>
    </w:p>
    <w:p>
      <w:pPr>
        <w:pStyle w:val="Heading1"/>
      </w:pPr>
      <w:r>
        <w:t xml:space="preserve">9. Profils d'analyse</w:t>
      </w:r>
    </w:p>
    <w:p>
      <w:pPr>
        <w:spacing w:after="160" w:line="300"/>
      </w:pPr>
      <w:r>
        <w:t xml:space="preserve">Sur un même dossier, la synthèse, le score de risque, les indicateurs clés et la note complète changent selon le profil de lecture sélectionné. C'est la traduction directe du ciblage produit (section 1.2) : les mêmes documents ne racontent pas la même histoire à un investisseur en capital et à un auditeur.</w:t>
      </w:r>
    </w:p>
    <w:p>
      <w:pPr>
        <w:pStyle w:val="Heading2"/>
      </w:pPr>
      <w:r>
        <w:t xml:space="preserve">9.1 Les sept profils</w:t>
      </w:r>
    </w:p>
    <w:tbl>
      <w:tblPr>
        <w:tblW w:type="dxa" w:w="9800"/>
        <w:tblBorders>
          <w:top w:val="single" w:color="E3E6E1" w:sz="4"/>
          <w:left w:val="single" w:color="E3E6E1" w:sz="4"/>
          <w:bottom w:val="single" w:color="E3E6E1" w:sz="4"/>
          <w:right w:val="single" w:color="E3E6E1" w:sz="4"/>
          <w:insideH w:val="single" w:color="E3E6E1" w:sz="4"/>
          <w:insideV w:val="single" w:color="E3E6E1" w:sz="4"/>
        </w:tblBorders>
      </w:tblPr>
      <w:tblGrid>
        <w:gridCol w:w="2600"/>
        <w:gridCol w:w="3400"/>
        <w:gridCol w:w="1900"/>
        <w:gridCol w:w="1900"/>
      </w:tblGrid>
      <w:tr>
        <w:trPr>
          <w:tblHeader/>
        </w:trPr>
        <w:tc>
          <w:tcPr>
            <w:shd w:fill="EFF6F1" w:val="clear"/>
            <w:tcMar>
              <w:top w:type="dxa" w:w="90"/>
              <w:left w:type="dxa" w:w="110"/>
              <w:bottom w:type="dxa" w:w="90"/>
              <w:right w:type="dxa" w:w="110"/>
            </w:tcMar>
            <w:vAlign w:val="center"/>
          </w:tcPr>
          <w:p>
            <w:pPr>
              <w:jc w:val="left"/>
            </w:pPr>
            <w:r>
              <w:rPr>
                <w:b/>
                <w:bCs/>
              </w:rPr>
              <w:t xml:space="preserve">Profil</w:t>
            </w:r>
          </w:p>
        </w:tc>
        <w:tc>
          <w:tcPr>
            <w:shd w:fill="EFF6F1" w:val="clear"/>
            <w:tcMar>
              <w:top w:type="dxa" w:w="90"/>
              <w:left w:type="dxa" w:w="110"/>
              <w:bottom w:type="dxa" w:w="90"/>
              <w:right w:type="dxa" w:w="110"/>
            </w:tcMar>
            <w:vAlign w:val="center"/>
          </w:tcPr>
          <w:p>
            <w:pPr>
              <w:jc w:val="left"/>
            </w:pPr>
            <w:r>
              <w:rPr>
                <w:b/>
                <w:bCs/>
              </w:rPr>
              <w:t xml:space="preserve">Angle de lecture</w:t>
            </w:r>
          </w:p>
        </w:tc>
        <w:tc>
          <w:tcPr>
            <w:shd w:fill="EFF6F1" w:val="clear"/>
            <w:tcMar>
              <w:top w:type="dxa" w:w="90"/>
              <w:left w:type="dxa" w:w="110"/>
              <w:bottom w:type="dxa" w:w="90"/>
              <w:right w:type="dxa" w:w="110"/>
            </w:tcMar>
            <w:vAlign w:val="center"/>
          </w:tcPr>
          <w:p>
            <w:pPr>
              <w:jc w:val="left"/>
            </w:pPr>
            <w:r>
              <w:rPr>
                <w:b/>
                <w:bCs/>
              </w:rPr>
              <w:t xml:space="preserve">Score (LVMH)</w:t>
            </w:r>
          </w:p>
        </w:tc>
        <w:tc>
          <w:tcPr>
            <w:shd w:fill="EFF6F1" w:val="clear"/>
            <w:tcMar>
              <w:top w:type="dxa" w:w="90"/>
              <w:left w:type="dxa" w:w="110"/>
              <w:bottom w:type="dxa" w:w="90"/>
              <w:right w:type="dxa" w:w="110"/>
            </w:tcMar>
            <w:vAlign w:val="center"/>
          </w:tcPr>
          <w:p>
            <w:pPr>
              <w:jc w:val="left"/>
            </w:pPr>
            <w:r>
              <w:rPr>
                <w:b/>
                <w:bCs/>
              </w:rPr>
              <w:t xml:space="preserve">Offre</w:t>
            </w:r>
          </w:p>
        </w:tc>
      </w:tr>
      <w:tr>
        <w:tc>
          <w:tcPr>
            <w:tcMar>
              <w:top w:type="dxa" w:w="90"/>
              <w:left w:type="dxa" w:w="110"/>
              <w:bottom w:type="dxa" w:w="90"/>
              <w:right w:type="dxa" w:w="110"/>
            </w:tcMar>
            <w:vAlign w:val="center"/>
          </w:tcPr>
          <w:p>
            <w:pPr>
              <w:jc w:val="left"/>
            </w:pPr>
            <w:r>
              <w:rPr>
                <w:b w:val="false"/>
                <w:bCs w:val="false"/>
              </w:rPr>
              <w:t xml:space="preserve">Private Equity / Venture Capital</w:t>
            </w:r>
          </w:p>
        </w:tc>
        <w:tc>
          <w:tcPr>
            <w:tcMar>
              <w:top w:type="dxa" w:w="90"/>
              <w:left w:type="dxa" w:w="110"/>
              <w:bottom w:type="dxa" w:w="90"/>
              <w:right w:type="dxa" w:w="110"/>
            </w:tcMar>
            <w:vAlign w:val="center"/>
          </w:tcPr>
          <w:p>
            <w:pPr>
              <w:jc w:val="left"/>
            </w:pPr>
            <w:r>
              <w:rPr>
                <w:b w:val="false"/>
                <w:bCs w:val="false"/>
              </w:rPr>
              <w:t xml:space="preserve">Thèse d'investissement, effet de levier, trajectoire de croissance, multiples de valorisation</w:t>
            </w:r>
          </w:p>
        </w:tc>
        <w:tc>
          <w:tcPr>
            <w:tcMar>
              <w:top w:type="dxa" w:w="90"/>
              <w:left w:type="dxa" w:w="110"/>
              <w:bottom w:type="dxa" w:w="90"/>
              <w:right w:type="dxa" w:w="110"/>
            </w:tcMar>
            <w:vAlign w:val="center"/>
          </w:tcPr>
          <w:p>
            <w:pPr>
              <w:jc w:val="left"/>
            </w:pPr>
            <w:r>
              <w:rPr>
                <w:b w:val="false"/>
                <w:bCs w:val="false"/>
              </w:rPr>
              <w:t xml:space="preserve">37 / 100</w:t>
            </w:r>
          </w:p>
        </w:tc>
        <w:tc>
          <w:tcPr>
            <w:tcMar>
              <w:top w:type="dxa" w:w="90"/>
              <w:left w:type="dxa" w:w="110"/>
              <w:bottom w:type="dxa" w:w="90"/>
              <w:right w:type="dxa" w:w="110"/>
            </w:tcMar>
            <w:vAlign w:val="center"/>
          </w:tcPr>
          <w:p>
            <w:pPr>
              <w:jc w:val="left"/>
            </w:pPr>
            <w:r>
              <w:rPr>
                <w:b w:val="false"/>
                <w:bCs w:val="false"/>
              </w:rPr>
              <w:t xml:space="preserve">Analyste, Fonds</w:t>
            </w:r>
          </w:p>
        </w:tc>
      </w:tr>
      <w:tr>
        <w:tc>
          <w:tcPr>
            <w:tcMar>
              <w:top w:type="dxa" w:w="90"/>
              <w:left w:type="dxa" w:w="110"/>
              <w:bottom w:type="dxa" w:w="90"/>
              <w:right w:type="dxa" w:w="110"/>
            </w:tcMar>
            <w:vAlign w:val="center"/>
          </w:tcPr>
          <w:p>
            <w:pPr>
              <w:jc w:val="left"/>
            </w:pPr>
            <w:r>
              <w:rPr>
                <w:b w:val="false"/>
                <w:bCs w:val="false"/>
              </w:rPr>
              <w:t xml:space="preserve">M&amp;A / Banque d'affaires</w:t>
            </w:r>
          </w:p>
        </w:tc>
        <w:tc>
          <w:tcPr>
            <w:tcMar>
              <w:top w:type="dxa" w:w="90"/>
              <w:left w:type="dxa" w:w="110"/>
              <w:bottom w:type="dxa" w:w="90"/>
              <w:right w:type="dxa" w:w="110"/>
            </w:tcMar>
            <w:vAlign w:val="center"/>
          </w:tcPr>
          <w:p>
            <w:pPr>
              <w:jc w:val="left"/>
            </w:pPr>
            <w:r>
              <w:rPr>
                <w:b w:val="false"/>
                <w:bCs w:val="false"/>
              </w:rPr>
              <w:t xml:space="preserve">Structuration de la transaction, synergies, clauses contractuelles, risques juridiques</w:t>
            </w:r>
          </w:p>
        </w:tc>
        <w:tc>
          <w:tcPr>
            <w:tcMar>
              <w:top w:type="dxa" w:w="90"/>
              <w:left w:type="dxa" w:w="110"/>
              <w:bottom w:type="dxa" w:w="90"/>
              <w:right w:type="dxa" w:w="110"/>
            </w:tcMar>
            <w:vAlign w:val="center"/>
          </w:tcPr>
          <w:p>
            <w:pPr>
              <w:jc w:val="left"/>
            </w:pPr>
            <w:r>
              <w:rPr>
                <w:b w:val="false"/>
                <w:bCs w:val="false"/>
              </w:rPr>
              <w:t xml:space="preserve">44 / 100</w:t>
            </w:r>
          </w:p>
        </w:tc>
        <w:tc>
          <w:tcPr>
            <w:tcMar>
              <w:top w:type="dxa" w:w="90"/>
              <w:left w:type="dxa" w:w="110"/>
              <w:bottom w:type="dxa" w:w="90"/>
              <w:right w:type="dxa" w:w="110"/>
            </w:tcMar>
            <w:vAlign w:val="center"/>
          </w:tcPr>
          <w:p>
            <w:pPr>
              <w:jc w:val="left"/>
            </w:pPr>
            <w:r>
              <w:rPr>
                <w:b w:val="false"/>
                <w:bCs w:val="false"/>
              </w:rPr>
              <w:t xml:space="preserve">Analyste, Fonds</w:t>
            </w:r>
          </w:p>
        </w:tc>
      </w:tr>
      <w:tr>
        <w:tc>
          <w:tcPr>
            <w:tcMar>
              <w:top w:type="dxa" w:w="90"/>
              <w:left w:type="dxa" w:w="110"/>
              <w:bottom w:type="dxa" w:w="90"/>
              <w:right w:type="dxa" w:w="110"/>
            </w:tcMar>
            <w:vAlign w:val="center"/>
          </w:tcPr>
          <w:p>
            <w:pPr>
              <w:jc w:val="left"/>
            </w:pPr>
            <w:r>
              <w:rPr>
                <w:b w:val="false"/>
                <w:bCs w:val="false"/>
              </w:rPr>
              <w:t xml:space="preserve">Analyste indépendant / Family Office</w:t>
            </w:r>
          </w:p>
        </w:tc>
        <w:tc>
          <w:tcPr>
            <w:tcMar>
              <w:top w:type="dxa" w:w="90"/>
              <w:left w:type="dxa" w:w="110"/>
              <w:bottom w:type="dxa" w:w="90"/>
              <w:right w:type="dxa" w:w="110"/>
            </w:tcMar>
            <w:vAlign w:val="center"/>
          </w:tcPr>
          <w:p>
            <w:pPr>
              <w:jc w:val="left"/>
            </w:pPr>
            <w:r>
              <w:rPr>
                <w:b w:val="false"/>
                <w:bCs w:val="false"/>
              </w:rPr>
              <w:t xml:space="preserve">Solidité patrimoniale, diversification, préservation du capital long terme</w:t>
            </w:r>
          </w:p>
        </w:tc>
        <w:tc>
          <w:tcPr>
            <w:tcMar>
              <w:top w:type="dxa" w:w="90"/>
              <w:left w:type="dxa" w:w="110"/>
              <w:bottom w:type="dxa" w:w="90"/>
              <w:right w:type="dxa" w:w="110"/>
            </w:tcMar>
            <w:vAlign w:val="center"/>
          </w:tcPr>
          <w:p>
            <w:pPr>
              <w:jc w:val="left"/>
            </w:pPr>
            <w:r>
              <w:rPr>
                <w:b w:val="false"/>
                <w:bCs w:val="false"/>
              </w:rPr>
              <w:t xml:space="preserve">24 / 100</w:t>
            </w:r>
          </w:p>
        </w:tc>
        <w:tc>
          <w:tcPr>
            <w:tcMar>
              <w:top w:type="dxa" w:w="90"/>
              <w:left w:type="dxa" w:w="110"/>
              <w:bottom w:type="dxa" w:w="90"/>
              <w:right w:type="dxa" w:w="110"/>
            </w:tcMar>
            <w:vAlign w:val="center"/>
          </w:tcPr>
          <w:p>
            <w:pPr>
              <w:jc w:val="left"/>
            </w:pPr>
            <w:r>
              <w:rPr>
                <w:b w:val="false"/>
                <w:bCs w:val="false"/>
              </w:rPr>
              <w:t xml:space="preserve">Toutes offres</w:t>
            </w:r>
          </w:p>
        </w:tc>
      </w:tr>
      <w:tr>
        <w:tc>
          <w:tcPr>
            <w:tcMar>
              <w:top w:type="dxa" w:w="90"/>
              <w:left w:type="dxa" w:w="110"/>
              <w:bottom w:type="dxa" w:w="90"/>
              <w:right w:type="dxa" w:w="110"/>
            </w:tcMar>
            <w:vAlign w:val="center"/>
          </w:tcPr>
          <w:p>
            <w:pPr>
              <w:jc w:val="left"/>
            </w:pPr>
            <w:r>
              <w:rPr>
                <w:b w:val="false"/>
                <w:bCs w:val="false"/>
              </w:rPr>
              <w:t xml:space="preserve">CFO / Direction financière</w:t>
            </w:r>
          </w:p>
        </w:tc>
        <w:tc>
          <w:tcPr>
            <w:tcMar>
              <w:top w:type="dxa" w:w="90"/>
              <w:left w:type="dxa" w:w="110"/>
              <w:bottom w:type="dxa" w:w="90"/>
              <w:right w:type="dxa" w:w="110"/>
            </w:tcMar>
            <w:vAlign w:val="center"/>
          </w:tcPr>
          <w:p>
            <w:pPr>
              <w:jc w:val="left"/>
            </w:pPr>
            <w:r>
              <w:rPr>
                <w:b w:val="false"/>
                <w:bCs w:val="false"/>
              </w:rPr>
              <w:t xml:space="preserve">Veille concurrentielle, benchmark sectoriel, positionnement face aux pairs</w:t>
            </w:r>
          </w:p>
        </w:tc>
        <w:tc>
          <w:tcPr>
            <w:tcMar>
              <w:top w:type="dxa" w:w="90"/>
              <w:left w:type="dxa" w:w="110"/>
              <w:bottom w:type="dxa" w:w="90"/>
              <w:right w:type="dxa" w:w="110"/>
            </w:tcMar>
            <w:vAlign w:val="center"/>
          </w:tcPr>
          <w:p>
            <w:pPr>
              <w:jc w:val="left"/>
            </w:pPr>
            <w:r>
              <w:rPr>
                <w:b w:val="false"/>
                <w:bCs w:val="false"/>
              </w:rPr>
              <w:t xml:space="preserve">33 / 100</w:t>
            </w:r>
          </w:p>
        </w:tc>
        <w:tc>
          <w:tcPr>
            <w:tcMar>
              <w:top w:type="dxa" w:w="90"/>
              <w:left w:type="dxa" w:w="110"/>
              <w:bottom w:type="dxa" w:w="90"/>
              <w:right w:type="dxa" w:w="110"/>
            </w:tcMar>
            <w:vAlign w:val="center"/>
          </w:tcPr>
          <w:p>
            <w:pPr>
              <w:jc w:val="left"/>
            </w:pPr>
            <w:r>
              <w:rPr>
                <w:b w:val="false"/>
                <w:bCs w:val="false"/>
              </w:rPr>
              <w:t xml:space="preserve">Toutes offres</w:t>
            </w:r>
          </w:p>
        </w:tc>
      </w:tr>
      <w:tr>
        <w:tc>
          <w:tcPr>
            <w:tcMar>
              <w:top w:type="dxa" w:w="90"/>
              <w:left w:type="dxa" w:w="110"/>
              <w:bottom w:type="dxa" w:w="90"/>
              <w:right w:type="dxa" w:w="110"/>
            </w:tcMar>
            <w:vAlign w:val="center"/>
          </w:tcPr>
          <w:p>
            <w:pPr>
              <w:jc w:val="left"/>
            </w:pPr>
            <w:r>
              <w:rPr>
                <w:b w:val="false"/>
                <w:bCs w:val="false"/>
              </w:rPr>
              <w:t xml:space="preserve">Audit &amp; Conseil financier</w:t>
            </w:r>
          </w:p>
        </w:tc>
        <w:tc>
          <w:tcPr>
            <w:tcMar>
              <w:top w:type="dxa" w:w="90"/>
              <w:left w:type="dxa" w:w="110"/>
              <w:bottom w:type="dxa" w:w="90"/>
              <w:right w:type="dxa" w:w="110"/>
            </w:tcMar>
            <w:vAlign w:val="center"/>
          </w:tcPr>
          <w:p>
            <w:pPr>
              <w:jc w:val="left"/>
            </w:pPr>
            <w:r>
              <w:rPr>
                <w:b w:val="false"/>
                <w:bCs w:val="false"/>
              </w:rPr>
              <w:t xml:space="preserve">Conformité, provisions, incohérences comptables, zones de risque à documenter</w:t>
            </w:r>
          </w:p>
        </w:tc>
        <w:tc>
          <w:tcPr>
            <w:tcMar>
              <w:top w:type="dxa" w:w="90"/>
              <w:left w:type="dxa" w:w="110"/>
              <w:bottom w:type="dxa" w:w="90"/>
              <w:right w:type="dxa" w:w="110"/>
            </w:tcMar>
            <w:vAlign w:val="center"/>
          </w:tcPr>
          <w:p>
            <w:pPr>
              <w:jc w:val="left"/>
            </w:pPr>
            <w:r>
              <w:rPr>
                <w:b w:val="false"/>
                <w:bCs w:val="false"/>
              </w:rPr>
              <w:t xml:space="preserve">32 / 100</w:t>
            </w:r>
          </w:p>
        </w:tc>
        <w:tc>
          <w:tcPr>
            <w:tcMar>
              <w:top w:type="dxa" w:w="90"/>
              <w:left w:type="dxa" w:w="110"/>
              <w:bottom w:type="dxa" w:w="90"/>
              <w:right w:type="dxa" w:w="110"/>
            </w:tcMar>
            <w:vAlign w:val="center"/>
          </w:tcPr>
          <w:p>
            <w:pPr>
              <w:jc w:val="left"/>
            </w:pPr>
            <w:r>
              <w:rPr>
                <w:b w:val="false"/>
                <w:bCs w:val="false"/>
              </w:rPr>
              <w:t xml:space="preserve">Analyste, Fonds</w:t>
            </w:r>
          </w:p>
        </w:tc>
      </w:tr>
      <w:tr>
        <w:tc>
          <w:tcPr>
            <w:tcMar>
              <w:top w:type="dxa" w:w="90"/>
              <w:left w:type="dxa" w:w="110"/>
              <w:bottom w:type="dxa" w:w="90"/>
              <w:right w:type="dxa" w:w="110"/>
            </w:tcMar>
            <w:vAlign w:val="center"/>
          </w:tcPr>
          <w:p>
            <w:pPr>
              <w:jc w:val="left"/>
            </w:pPr>
            <w:r>
              <w:rPr>
                <w:b w:val="false"/>
                <w:bCs w:val="false"/>
              </w:rPr>
              <w:t xml:space="preserve">Généraliste / Étudiant</w:t>
            </w:r>
          </w:p>
        </w:tc>
        <w:tc>
          <w:tcPr>
            <w:tcMar>
              <w:top w:type="dxa" w:w="90"/>
              <w:left w:type="dxa" w:w="110"/>
              <w:bottom w:type="dxa" w:w="90"/>
              <w:right w:type="dxa" w:w="110"/>
            </w:tcMar>
            <w:vAlign w:val="center"/>
          </w:tcPr>
          <w:p>
            <w:pPr>
              <w:jc w:val="left"/>
            </w:pPr>
            <w:r>
              <w:rPr>
                <w:b w:val="false"/>
                <w:bCs w:val="false"/>
              </w:rPr>
              <w:t xml:space="preserve">Résumé pédagogique, vulgarisé, sans jargon technique, glossaire intégré</w:t>
            </w:r>
          </w:p>
        </w:tc>
        <w:tc>
          <w:tcPr>
            <w:tcMar>
              <w:top w:type="dxa" w:w="90"/>
              <w:left w:type="dxa" w:w="110"/>
              <w:bottom w:type="dxa" w:w="90"/>
              <w:right w:type="dxa" w:w="110"/>
            </w:tcMar>
            <w:vAlign w:val="center"/>
          </w:tcPr>
          <w:p>
            <w:pPr>
              <w:jc w:val="left"/>
            </w:pPr>
            <w:r>
              <w:rPr>
                <w:b w:val="false"/>
                <w:bCs w:val="false"/>
              </w:rPr>
              <w:t xml:space="preserve">30 / 100</w:t>
            </w:r>
          </w:p>
        </w:tc>
        <w:tc>
          <w:tcPr>
            <w:tcMar>
              <w:top w:type="dxa" w:w="90"/>
              <w:left w:type="dxa" w:w="110"/>
              <w:bottom w:type="dxa" w:w="90"/>
              <w:right w:type="dxa" w:w="110"/>
            </w:tcMar>
            <w:vAlign w:val="center"/>
          </w:tcPr>
          <w:p>
            <w:pPr>
              <w:jc w:val="left"/>
            </w:pPr>
            <w:r>
              <w:rPr>
                <w:b w:val="false"/>
                <w:bCs w:val="false"/>
              </w:rPr>
              <w:t xml:space="preserve">Toutes offres</w:t>
            </w:r>
          </w:p>
        </w:tc>
      </w:tr>
      <w:tr>
        <w:tc>
          <w:tcPr>
            <w:tcMar>
              <w:top w:type="dxa" w:w="90"/>
              <w:left w:type="dxa" w:w="110"/>
              <w:bottom w:type="dxa" w:w="90"/>
              <w:right w:type="dxa" w:w="110"/>
            </w:tcMar>
            <w:vAlign w:val="center"/>
          </w:tcPr>
          <w:p>
            <w:pPr>
              <w:jc w:val="left"/>
            </w:pPr>
            <w:r>
              <w:rPr>
                <w:b/>
                <w:bCs/>
              </w:rPr>
              <w:t xml:space="preserve">Personnalisé</w:t>
            </w:r>
          </w:p>
        </w:tc>
        <w:tc>
          <w:tcPr>
            <w:tcMar>
              <w:top w:type="dxa" w:w="90"/>
              <w:left w:type="dxa" w:w="110"/>
              <w:bottom w:type="dxa" w:w="90"/>
              <w:right w:type="dxa" w:w="110"/>
            </w:tcMar>
            <w:vAlign w:val="center"/>
          </w:tcPr>
          <w:p>
            <w:pPr>
              <w:jc w:val="left"/>
            </w:pPr>
            <w:r>
              <w:rPr>
                <w:b w:val="false"/>
                <w:bCs w:val="false"/>
              </w:rPr>
              <w:t xml:space="preserve">Indicateurs choisis librement par l'utilisateur, analyse complète neutre en dessous</w:t>
            </w:r>
          </w:p>
        </w:tc>
        <w:tc>
          <w:tcPr>
            <w:tcMar>
              <w:top w:type="dxa" w:w="90"/>
              <w:left w:type="dxa" w:w="110"/>
              <w:bottom w:type="dxa" w:w="90"/>
              <w:right w:type="dxa" w:w="110"/>
            </w:tcMar>
            <w:vAlign w:val="center"/>
          </w:tcPr>
          <w:p>
            <w:pPr>
              <w:jc w:val="left"/>
            </w:pPr>
            <w:r>
              <w:rPr>
                <w:b w:val="false"/>
                <w:bCs w:val="false"/>
              </w:rPr>
              <w:t xml:space="preserve">38 / 100</w:t>
            </w:r>
          </w:p>
        </w:tc>
        <w:tc>
          <w:tcPr>
            <w:tcMar>
              <w:top w:type="dxa" w:w="90"/>
              <w:left w:type="dxa" w:w="110"/>
              <w:bottom w:type="dxa" w:w="90"/>
              <w:right w:type="dxa" w:w="110"/>
            </w:tcMar>
            <w:vAlign w:val="center"/>
          </w:tcPr>
          <w:p>
            <w:pPr>
              <w:jc w:val="left"/>
            </w:pPr>
            <w:r>
              <w:rPr>
                <w:b w:val="false"/>
                <w:bCs w:val="false"/>
              </w:rPr>
              <w:t xml:space="preserve">Analyste, Fonds</w:t>
            </w:r>
          </w:p>
        </w:tc>
      </w:tr>
    </w:tbl>
    <w:p>
      <w:pPr>
        <w:spacing w:after="160" w:line="300"/>
      </w:pPr>
      <w:r>
        <w:rPr>
          <w:sz w:val="4"/>
          <w:szCs w:val="4"/>
        </w:rPr>
        <w:t xml:space="preserve"/>
      </w:r>
    </w:p>
    <w:p>
      <w:pPr>
        <w:spacing w:after="160" w:line="300"/>
      </w:pPr>
      <w:r>
        <w:t xml:space="preserve">Le contenu n'est pas un simple changement d'étiquette : chaque profil a sa propre rédaction. Le profil PE / VC introduit une section sur les multiples de valorisation qui précise explicitement quand une donnée n'est pas sourcée aux documents (repère de marché externe, à vérifier) ; le profil M&amp;A ajoute une section dédiée aux synergies et une autre aux risques juridiques ; le profil Family Office raisonne en « poids dans un portefeuille diversifié » plutôt qu'en décision d'acquisition ; le profil Généraliste explique la marge opérationnelle et l'EBITDA en langage courant, avec un glossaire complet en fin de note.</w:t>
      </w:r>
    </w:p>
    <w:p>
      <w:pPr>
        <w:pStyle w:val="Heading2"/>
      </w:pPr>
      <w:r>
        <w:t xml:space="preserve">9.2 Score de risque adapté</w:t>
      </w:r>
    </w:p>
    <w:p>
      <w:pPr>
        <w:spacing w:after="160" w:line="300"/>
      </w:pPr>
      <w:r>
        <w:t xml:space="preserve">Le score affiché n'est pas unique : chaque profil pondère cinq axes différents. Sur le dossier LVMH, l'axe « effet de levier soutenable » domine la lecture PE (bilan sain, aucun covenant → score bas), tandis que l'axe « structure du capital » domine la lecture VC sur le dossier Helios (clause de liquidation préférentielle non divulguée → score élevé). Un même dossier peut donc apparaître à la fois comme peu risqué et très risqué, selon qui le lit — ce qui est le comportement recherché.</w:t>
      </w:r>
    </w:p>
    <w:p>
      <w:pPr>
        <w:pStyle w:val="Heading2"/>
      </w:pPr>
      <w:r>
        <w:t xml:space="preserve">9.3 Indicateurs clés adaptés au profil</w:t>
      </w:r>
    </w:p>
    <w:p>
      <w:pPr>
        <w:spacing w:after="160" w:line="300"/>
      </w:pPr>
      <w:r>
        <w:t xml:space="preserve">La grille d'indicateurs (KPI) affichée en tête de synthèse n'est pas fixe : chaque profil sélectionne six indicateurs pertinents parmi une bibliothèque partagée d'une vingtaine de mesures sourcées. La note complète, une fois dépliée, en affiche huit à neuf — volontairement plus détaillée que la synthèse, pour donner une raison concrète d'ouvrir la note plutôt que de s'arrêter à l'aperçu.</w:t>
      </w:r>
    </w:p>
    <w:p>
      <w:pPr>
        <w:pStyle w:val="ListParagraph"/>
        <w:numPr>
          <w:ilvl w:val="0"/>
          <w:numId w:val="2"/>
        </w:numPr>
        <w:spacing w:after="90" w:line="290"/>
      </w:pPr>
      <w:r>
        <w:t xml:space="preserve">PE / VC : free cash-flow, dette nette / EBITDA, croissance de la division principale, marge, multiple indicatif, covenants…</w:t>
      </w:r>
    </w:p>
    <w:p>
      <w:pPr>
        <w:pStyle w:val="ListParagraph"/>
        <w:numPr>
          <w:ilvl w:val="0"/>
          <w:numId w:val="2"/>
        </w:numPr>
        <w:spacing w:after="90" w:line="290"/>
      </w:pPr>
      <w:r>
        <w:t xml:space="preserve">Généraliste : les mêmes faits, reformulés en langage courant (« ce qu'il lui reste sur 100 € vendus » plutôt que « marge opérationnelle »).</w:t>
      </w:r>
    </w:p>
    <w:p>
      <w:pPr>
        <w:pStyle w:val="Heading2"/>
      </w:pPr>
      <w:r>
        <w:t xml:space="preserve">9.4 Le profil Personnalisé</w:t>
      </w:r>
    </w:p>
    <w:p>
      <w:pPr>
        <w:spacing w:after="160" w:line="300"/>
      </w:pPr>
      <w:r>
        <w:t xml:space="preserve">Le septième profil ne propose pas une lecture métier pré-rédigée : il laisse l'utilisateur composer lui-même la grille d'indicateurs affichée pour le dossier, tout en conservant en dessous une analyse complète et rédigée — le profil personnalisé sert à choisir les indicateurs, pas à s'en contenter.</w:t>
      </w:r>
    </w:p>
    <w:p>
      <w:pPr>
        <w:pStyle w:val="ListParagraph"/>
        <w:numPr>
          <w:ilvl w:val="0"/>
          <w:numId w:val="2"/>
        </w:numPr>
        <w:spacing w:after="90" w:line="290"/>
      </w:pPr>
      <w:r>
        <w:rPr>
          <w:b/>
          <w:bCs/>
        </w:rPr>
        <w:t xml:space="preserve">Sélecteur à cocher, groupé par catégorie : </w:t>
      </w:r>
      <w:r>
        <w:t xml:space="preserve">Compte de résultat, Structure financière &amp; dette, Trésorerie &amp; BFR, Risques &amp; valorisation — dix-sept indicateurs au total, repris de la même bibliothèque que les six profils métier.</w:t>
      </w:r>
    </w:p>
    <w:p>
      <w:pPr>
        <w:pStyle w:val="ListParagraph"/>
        <w:numPr>
          <w:ilvl w:val="0"/>
          <w:numId w:val="2"/>
        </w:numPr>
        <w:spacing w:after="90" w:line="290"/>
      </w:pPr>
      <w:r>
        <w:rPr>
          <w:b/>
          <w:bCs/>
        </w:rPr>
        <w:t xml:space="preserve">Plafond de douze indicateurs </w:t>
      </w:r>
      <w:r>
        <w:t xml:space="preserve">pour garder l'aperçu lisible, avec message d'avertissement au-delà, et un bouton de réinitialisation vers une sélection de départ (six indicateurs).</w:t>
      </w:r>
    </w:p>
    <w:p>
      <w:pPr>
        <w:pStyle w:val="ListParagraph"/>
        <w:numPr>
          <w:ilvl w:val="0"/>
          <w:numId w:val="2"/>
        </w:numPr>
        <w:spacing w:after="90" w:line="290"/>
      </w:pPr>
      <w:r>
        <w:rPr>
          <w:b/>
          <w:bCs/>
        </w:rPr>
        <w:t xml:space="preserve">Repli / dépli de la liste </w:t>
      </w:r>
      <w:r>
        <w:t xml:space="preserve">une fois la sélection faite : la checklist se réduit à une ligne de pastilles récapitulatives (bouton « Replier »), et se rouvre à tout moment (« Modifier la sélection ») — pensé pour ne pas encombrer l'écran une fois le choix arrêté.</w:t>
      </w:r>
    </w:p>
    <w:p>
      <w:pPr>
        <w:pStyle w:val="ListParagraph"/>
        <w:numPr>
          <w:ilvl w:val="0"/>
          <w:numId w:val="2"/>
        </w:numPr>
        <w:spacing w:after="90" w:line="290"/>
      </w:pPr>
      <w:r>
        <w:rPr>
          <w:b/>
          <w:bCs/>
        </w:rPr>
        <w:t xml:space="preserve">Sous la sélection, l'analyse reste complète : </w:t>
      </w:r>
      <w:r>
        <w:t xml:space="preserve">jauge de risque sur cinq axes neutres (sans priorité métier), résumé exhaustif en cinq sections et note complète en sept sections — identiques en profondeur à celles des profils métier, mais rédigées sous un angle volontairement transversal plutôt que orienté PE, M&amp;A ou audit.</w:t>
      </w:r>
    </w:p>
    <w:p>
      <w:pPr>
        <w:pBdr>
          <w:left w:val="single" w:color="146B45" w:sz="18" w:space="8"/>
        </w:pBdr>
        <w:shd w:fill="EFF6F1" w:val="clear"/>
        <w:spacing w:after="200" w:before="60"/>
        <w:ind w:left="120"/>
      </w:pPr>
      <w:r>
        <w:rPr>
          <w:b/>
          <w:bCs/>
          <w:color w:val="146B45"/>
        </w:rPr>
        <w:t xml:space="preserve">Note — </w:t>
      </w:r>
      <w:r>
        <w:t xml:space="preserve">Le score de risque, le résumé et la note complète du profil Personnalisé ne dépendent pas des indicateurs cochés : cocher deux ou douze indicateurs ne change que l'aperçu chiffré en haut de page, jamais l'analyse rédigée en dessous.</w:t>
      </w:r>
    </w:p>
    <w:p>
      <w:pPr>
        <w:pStyle w:val="Heading2"/>
      </w:pPr>
      <w:r>
        <w:t xml:space="preserve">9.5 Verrouillage par offre</w:t>
      </w:r>
    </w:p>
    <w:p>
      <w:pPr>
        <w:spacing w:after="160" w:line="300"/>
      </w:pPr>
      <w:r>
        <w:t xml:space="preserve">La restriction commerciale décrite en section 2.2 est réellement appliquée dans l'application, pas seulement affichée sur la page tarifs :</w:t>
      </w:r>
    </w:p>
    <w:p>
      <w:pPr>
        <w:pStyle w:val="ListParagraph"/>
        <w:numPr>
          <w:ilvl w:val="0"/>
          <w:numId w:val="2"/>
        </w:numPr>
        <w:spacing w:after="90" w:line="290"/>
      </w:pPr>
      <w:r>
        <w:t xml:space="preserve">sous l'offre Essentiel, les quatre profils réservés (PE / VC, M&amp;A, Audit, Personnalisé) apparaissent grisés avec un cadenas dans le sélecteur de profil ;</w:t>
      </w:r>
    </w:p>
    <w:p>
      <w:pPr>
        <w:pStyle w:val="ListParagraph"/>
        <w:numPr>
          <w:ilvl w:val="0"/>
          <w:numId w:val="2"/>
        </w:numPr>
        <w:spacing w:after="90" w:line="290"/>
      </w:pPr>
      <w:r>
        <w:t xml:space="preserve">cliquer dessus déclenche un message d'invitation à changer d'offre plutôt qu'un changement silencieux ;</w:t>
      </w:r>
    </w:p>
    <w:p>
      <w:pPr>
        <w:pStyle w:val="ListParagraph"/>
        <w:numPr>
          <w:ilvl w:val="0"/>
          <w:numId w:val="2"/>
        </w:numPr>
        <w:spacing w:after="90" w:line="290"/>
      </w:pPr>
      <w:r>
        <w:t xml:space="preserve">si un profil verrouillé était affiché au moment d'un changement d'offre vers Essentiel, l'écran se rabat automatiquement sur un profil autorisé plutôt que de rester bloqué ;</w:t>
      </w:r>
    </w:p>
    <w:p>
      <w:pPr>
        <w:pStyle w:val="ListParagraph"/>
        <w:numPr>
          <w:ilvl w:val="0"/>
          <w:numId w:val="2"/>
        </w:numPr>
        <w:spacing w:after="90" w:line="290"/>
      </w:pPr>
      <w:r>
        <w:t xml:space="preserve">la page Facturation elle-même change de contenu selon l'offre active (quotas fermes affichés pour Essentiel, indicateurs « illimité » pour Analyste).</w:t>
      </w:r>
    </w:p>
    <w:p>
      <w:pPr>
        <w:pBdr>
          <w:left w:val="single" w:color="146B45" w:sz="18" w:space="8"/>
        </w:pBdr>
        <w:shd w:fill="EFF6F1" w:val="clear"/>
        <w:spacing w:after="200" w:before="60"/>
        <w:ind w:left="120"/>
      </w:pPr>
      <w:r>
        <w:rPr>
          <w:b/>
          <w:bCs/>
          <w:color w:val="146B45"/>
        </w:rPr>
        <w:t xml:space="preserve">Note — </w:t>
      </w:r>
      <w:r>
        <w:t xml:space="preserve">Changer d'offre depuis Facturation → Changer d'offre → Essentiel (paiement fictif) permet de vérifier ce comportement en conditions réelles dans le prototype. Le profil Personnalisé, comme PE / VC, M&amp;A et Audit, est réservé aux offres Analyste et Fonds.</w:t>
      </w:r>
    </w:p>
    <w:p>
      <w:r>
        <w:br w:type="page"/>
      </w:r>
    </w:p>
    <w:p>
      <w:pPr>
        <w:pStyle w:val="Heading1"/>
      </w:pPr>
      <w:r>
        <w:t xml:space="preserve">10. Contrôles — contradictions et checklist</w:t>
      </w:r>
    </w:p>
    <w:p>
      <w:pPr>
        <w:pStyle w:val="Heading2"/>
      </w:pPr>
      <w:r>
        <w:t xml:space="preserve">10.1 Détection de contradictions</w:t>
      </w:r>
    </w:p>
    <w:p>
      <w:pPr>
        <w:spacing w:after="160" w:line="300"/>
      </w:pPr>
      <w:r>
        <w:t xml:space="preserve">Le moteur croise systématiquement les chiffres, dates et clauses d'un document à l'autre au sein d'un même dossier. Chaque écart détecté est présenté avec les deux passages d'origine côte à côte, un niveau de gravité (critique, à vérifier, mineur), une lecture rédigée expliquant l'écart probable, et des actions rapides (voir la source A, voir la source B, ajouter aux questions management, marquer comme arbitré).</w:t>
      </w:r>
    </w:p>
    <w:p>
      <w:pPr>
        <w:spacing w:after="160" w:line="300"/>
      </w:pPr>
      <w:r>
        <w:rPr>
          <w:b/>
          <w:bCs/>
        </w:rPr>
        <w:t xml:space="preserve">Exemple central du prototype (dossier Helios) : </w:t>
      </w:r>
      <w:r>
        <w:t xml:space="preserve">le teaser investisseurs annonce un chiffre d'affaires de 14,0 M€ ; l'annexe des états financiers retient 12,8 M€ nets. L'écart de 1,2 M€ correspond à des refacturations et à du carnet de commandes signé non encore facturé — expliqué dans l'annexe, mais absent du support commercial. Une seconde contradiction porte sur une clause de liquidation préférentielle (1,5×, rang 1) présente dans le pacte d'actionnaires mais absente de tous les supports de présentation.</w:t>
      </w:r>
    </w:p>
    <w:p>
      <w:pPr>
        <w:pStyle w:val="Heading2"/>
      </w:pPr>
      <w:r>
        <w:t xml:space="preserve">10.2 Checklist de due diligence</w:t>
      </w:r>
    </w:p>
    <w:p>
      <w:pPr>
        <w:spacing w:after="160" w:line="300"/>
      </w:pPr>
      <w:r>
        <w:t xml:space="preserve">Une checklist est pré-chargée à la création du dossier selon le type d'opération déclaré, puis cochée automatiquement à mesure que le moteur trouve la réponse dans les documents. Chaque ligne affiche si elle a été vérifiée automatiquement, si elle exige une vérification manuelle, ou si elle est liée à une contradiction ou à un document manquant détecté ailleurs dans le dossier.</w:t>
      </w:r>
    </w:p>
    <w:p>
      <w:r>
        <w:br w:type="page"/>
      </w:r>
    </w:p>
    <w:p>
      <w:pPr>
        <w:pStyle w:val="Heading1"/>
      </w:pPr>
      <w:r>
        <w:t xml:space="preserve">11. Comparateur</w:t>
      </w:r>
    </w:p>
    <w:p>
      <w:pPr>
        <w:spacing w:after="160" w:line="300"/>
      </w:pPr>
      <w:r>
        <w:t xml:space="preserve">Permet de confronter deux dossiers ou deux documents d'un même dossier, ligne par ligne, sur les indicateurs financiers principaux, avec une lecture rédigée en bas de tableau et chaque ligne reliée à sa source. Fonctionnalité réservée aux offres Analyste et Fonds.</w:t>
      </w:r>
    </w:p>
    <w:p>
      <w:r>
        <w:br w:type="page"/>
      </w:r>
    </w:p>
    <w:p>
      <w:pPr>
        <w:pStyle w:val="Heading1"/>
      </w:pPr>
      <w:r>
        <w:t xml:space="preserve">12. Recherche globale</w:t>
      </w:r>
    </w:p>
    <w:p>
      <w:pPr>
        <w:spacing w:after="160" w:line="300"/>
      </w:pPr>
      <w:r>
        <w:t xml:space="preserve">Une seule question posée simultanément à tous les dossiers actifs de l'utilisateur, avec des suggestions de recherche fréquentes (covenants, liquidation préférentielle, revenus récurrents, concentration client). Chaque résultat affiche le dossier d'origine, le document, la page, et ouvre directement le passage surligné ou le dossier concerné.</w:t>
      </w:r>
    </w:p>
    <w:p>
      <w:r>
        <w:br w:type="page"/>
      </w:r>
    </w:p>
    <w:p>
      <w:pPr>
        <w:pStyle w:val="Heading1"/>
      </w:pPr>
      <w:r>
        <w:t xml:space="preserve">13. Signaux</w:t>
      </w:r>
    </w:p>
    <w:p>
      <w:pPr>
        <w:spacing w:after="160" w:line="300"/>
      </w:pPr>
      <w:r>
        <w:t xml:space="preserve">Vue centralisée de toutes les alertes détectées dans l'ensemble des dossiers de l'utilisateur — contradictions critiques, points à surveiller, informations — avec filtres (tous, non lus, critiques, à surveiller) et un compteur de signaux non lus affiché en permanence dans la barre latérale.</w:t>
      </w:r>
    </w:p>
    <w:p>
      <w:r>
        <w:br w:type="page"/>
      </w:r>
    </w:p>
    <w:p>
      <w:pPr>
        <w:pStyle w:val="Heading1"/>
      </w:pPr>
      <w:r>
        <w:t xml:space="preserve">14. Exports</w:t>
      </w:r>
    </w:p>
    <w:p>
      <w:pPr>
        <w:spacing w:after="160" w:line="300"/>
      </w:pPr>
      <w:r>
        <w:t xml:space="preserve">Génération de la note de synthèse en PDF ou Word (le format « diapositives » a été retiré du prototype à la demande du produit — seuls PDF et Word sont proposés). L'utilisateur choisit un modèle (note d'investissement, screening rapide, due diligence complète), les sections à inclure, et deux options : joindre les pages sources en annexe cliquable, et inclure la checklist de due diligence.</w:t>
      </w:r>
    </w:p>
    <w:p>
      <w:pPr>
        <w:spacing w:after="160" w:line="300"/>
      </w:pPr>
      <w:r>
        <w:t xml:space="preserve">Le lecteur de note complète (section 9) dispose par ailleurs de son propre bouton d'export rapide en PDF, pour extraire immédiatement la note d'un profil donné sans repasser par cet écran.</w:t>
      </w:r>
    </w:p>
    <w:p>
      <w:r>
        <w:br w:type="page"/>
      </w:r>
    </w:p>
    <w:p>
      <w:pPr>
        <w:pStyle w:val="Heading1"/>
      </w:pPr>
      <w:r>
        <w:t xml:space="preserve">15. Facturation, offres et équipe</w:t>
      </w:r>
    </w:p>
    <w:p>
      <w:pPr>
        <w:pStyle w:val="Heading2"/>
      </w:pPr>
      <w:r>
        <w:t xml:space="preserve">15.1 Facturation</w:t>
      </w:r>
    </w:p>
    <w:p>
      <w:pPr>
        <w:spacing w:after="160" w:line="300"/>
      </w:pPr>
      <w:r>
        <w:t xml:space="preserve">La page Facturation reflète l'offre réellement active dans l'application (voir section 9.4) : carte d'abonnement, quotas ou mention « illimité » selon le cas, historique de factures téléchargeables. Sur l'offre Essentiel, une bannière rappelle explicitement que seuls 3 des 6 profils d'analyse sont accessibles.</w:t>
      </w:r>
    </w:p>
    <w:p>
      <w:pPr>
        <w:pStyle w:val="Heading2"/>
      </w:pPr>
      <w:r>
        <w:t xml:space="preserve">15.2 Équipe</w:t>
      </w:r>
    </w:p>
    <w:p>
      <w:pPr>
        <w:spacing w:after="160" w:line="300"/>
      </w:pPr>
      <w:r>
        <w:t xml:space="preserve">La gestion multi-sièges, le partage de dossiers et les annotations d'équipe sont présentés comme réservés à l'offre Fonds ; l'écran affiche le mécanisme de tarification par siège (580 €, 630 € au-delà du 10ᵉ) et un bouton de demande de devis.</w:t>
      </w:r>
    </w:p>
    <w:p>
      <w:r>
        <w:br w:type="page"/>
      </w:r>
    </w:p>
    <w:p>
      <w:pPr>
        <w:pStyle w:val="Heading1"/>
      </w:pPr>
      <w:r>
        <w:t xml:space="preserve">16. Réglages et confidentialité</w:t>
      </w:r>
    </w:p>
    <w:p>
      <w:pPr>
        <w:pStyle w:val="ListParagraph"/>
        <w:numPr>
          <w:ilvl w:val="0"/>
          <w:numId w:val="2"/>
        </w:numPr>
        <w:spacing w:after="90" w:line="290"/>
      </w:pPr>
      <w:r>
        <w:t xml:space="preserve">Profil : identité et organisation.</w:t>
      </w:r>
    </w:p>
    <w:p>
      <w:pPr>
        <w:pStyle w:val="ListParagraph"/>
        <w:numPr>
          <w:ilvl w:val="0"/>
          <w:numId w:val="2"/>
        </w:numPr>
        <w:spacing w:after="90" w:line="290"/>
      </w:pPr>
      <w:r>
        <w:t xml:space="preserve">Alertes : préférences de notification (contradiction critique, document manquant, synthèse terminée, récapitulatif hebdomadaire, dossier inactif).</w:t>
      </w:r>
    </w:p>
    <w:p>
      <w:pPr>
        <w:pStyle w:val="ListParagraph"/>
        <w:numPr>
          <w:ilvl w:val="0"/>
          <w:numId w:val="2"/>
        </w:numPr>
        <w:spacing w:after="90" w:line="290"/>
      </w:pPr>
      <w:r>
        <w:rPr>
          <w:b/>
          <w:bCs/>
        </w:rPr>
        <w:t xml:space="preserve">Confidentialité des documents </w:t>
      </w:r>
      <w:r>
        <w:t xml:space="preserve">— rappel explicite que les documents sont isolés par organisation, n'entraînent jamais un modèle public, hébergés en Union Européenne, avec droit à l'effacement en self-service et purge réelle sous 30 jours après suppression d'un dossier.</w:t>
      </w:r>
    </w:p>
    <w:p>
      <w:pPr>
        <w:pStyle w:val="ListParagraph"/>
        <w:numPr>
          <w:ilvl w:val="0"/>
          <w:numId w:val="2"/>
        </w:numPr>
        <w:spacing w:after="90" w:line="290"/>
      </w:pPr>
      <w:r>
        <w:t xml:space="preserve">Zone sensible : suppression de compte, avec explication du mécanisme de purge.</w:t>
      </w:r>
    </w:p>
    <w:p>
      <w:r>
        <w:br w:type="page"/>
      </w:r>
    </w:p>
    <w:p>
      <w:pPr>
        <w:pStyle w:val="Heading1"/>
      </w:pPr>
      <w:r>
        <w:t xml:space="preserve">17. Design system</w:t>
      </w:r>
    </w:p>
    <w:p>
      <w:pPr>
        <w:pStyle w:val="Heading2"/>
      </w:pPr>
      <w:r>
        <w:t xml:space="preserve">17.1 Thème sombre par défaut, bascule vers un thème clair</w:t>
      </w:r>
    </w:p>
    <w:p>
      <w:pPr>
        <w:spacing w:after="160" w:line="300"/>
      </w:pPr>
      <w:r>
        <w:t xml:space="preserve">Contrairement à un site qui resterait toujours clair ou toujours sombre, le produit bascule intégralement entre deux thèmes via un bouton présent sur chaque écran (topbar public, barre latérale, barre d'application). Un jeu de panneaux « encre » reste volontairement fixe et sombre dans les deux thèmes — le hero, la barre latérale de l'application, le panneau d'inscription, la bande d'appel à l'action — pour conserver une signature de marque reconnaissable même en thème clair.</w:t>
      </w:r>
    </w:p>
    <w:p>
      <w:pPr>
        <w:pStyle w:val="Heading2"/>
      </w:pPr>
      <w:r>
        <w:t xml:space="preserve">17.2 Palette et typographie</w:t>
      </w:r>
    </w:p>
    <w:p>
      <w:pPr>
        <w:pStyle w:val="ListParagraph"/>
        <w:numPr>
          <w:ilvl w:val="0"/>
          <w:numId w:val="2"/>
        </w:numPr>
        <w:spacing w:after="90" w:line="290"/>
      </w:pPr>
      <w:r>
        <w:t xml:space="preserve">Accent vert émeraude vif en thème sombre, pin profond en thème clair — même famille de teinte, contraste optimal dans les deux cas.</w:t>
      </w:r>
    </w:p>
    <w:p>
      <w:pPr>
        <w:pStyle w:val="ListParagraph"/>
        <w:numPr>
          <w:ilvl w:val="0"/>
          <w:numId w:val="2"/>
        </w:numPr>
        <w:spacing w:after="90" w:line="290"/>
      </w:pPr>
      <w:r>
        <w:t xml:space="preserve">Trois polices : une serif d'affichage pour les titres, une sans-serif pour l'interface, une monospace pour tous les chiffres financiers (alignement tabulaire).</w:t>
      </w:r>
    </w:p>
    <w:p>
      <w:pPr>
        <w:pStyle w:val="Heading2"/>
      </w:pPr>
      <w:r>
        <w:t xml:space="preserve">17.3 La citation sourcée, signature du produit</w:t>
      </w:r>
    </w:p>
    <w:p>
      <w:pPr>
        <w:spacing w:after="160" w:line="300"/>
      </w:pPr>
      <w:r>
        <w:t xml:space="preserve">L'élément visuel qui revient le plus souvent dans toute l'interface est la puce de citation — un petit repère vert avec icône de loupe et numéro de page, cliquable, qui ouvre un panneau latéral reproduisant la page du document, passage surligné. Elle apparaît dans la synthèse, le chat, les états financiers, le comparateur, les signaux et les exports : c'est la preuve visuelle systématique de la promesse « zéro hallucination ».</w:t>
      </w:r>
    </w:p>
    <w:p>
      <w:r>
        <w:br w:type="page"/>
      </w:r>
    </w:p>
    <w:p>
      <w:pPr>
        <w:pStyle w:val="Heading1"/>
      </w:pPr>
      <w:r>
        <w:t xml:space="preserve">18. Notes techniques et limites du prototype</w:t>
      </w:r>
    </w:p>
    <w:p>
      <w:pPr>
        <w:pStyle w:val="Heading2"/>
      </w:pPr>
      <w:r>
        <w:t xml:space="preserve">18.1 Ce qu'est le fichier</w:t>
      </w:r>
    </w:p>
    <w:p>
      <w:pPr>
        <w:spacing w:after="160" w:line="300"/>
      </w:pPr>
      <w:r>
        <w:t xml:space="preserve">finlens-plateforme.html est un fichier unique, sans dépendance serveur ni base de données : HTML, CSS et JavaScript dans un seul document, avec les polices chargées depuis Google Fonts. Il peut être déposé tel quel sur Vercel (ou tout hébergeur statique) et fonctionne immédiatement, sans étape de build.</w:t>
      </w:r>
    </w:p>
    <w:p>
      <w:pPr>
        <w:pStyle w:val="Heading2"/>
      </w:pPr>
      <w:r>
        <w:t xml:space="preserve">18.2 Ce qui est simulé</w:t>
      </w:r>
    </w:p>
    <w:p>
      <w:pPr>
        <w:pStyle w:val="ListParagraph"/>
        <w:numPr>
          <w:ilvl w:val="0"/>
          <w:numId w:val="2"/>
        </w:numPr>
        <w:spacing w:after="90" w:line="290"/>
      </w:pPr>
      <w:r>
        <w:t xml:space="preserve">Toutes les données (dossiers, montants, contradictions, signaux, réponses du Copilote) sont fictives et codées en dur dans le fichier — aucune connexion à un moteur d'IA ni à une base documentaire réelle.</w:t>
      </w:r>
    </w:p>
    <w:p>
      <w:pPr>
        <w:pStyle w:val="ListParagraph"/>
        <w:numPr>
          <w:ilvl w:val="0"/>
          <w:numId w:val="2"/>
        </w:numPr>
        <w:spacing w:after="90" w:line="290"/>
      </w:pPr>
      <w:r>
        <w:t xml:space="preserve">L'authentification, le paiement et l'envoi d'e-mails sont des maquettes visuelles ; aucune donnée n'est réellement transmise ou traitée.</w:t>
      </w:r>
    </w:p>
    <w:p>
      <w:pPr>
        <w:pStyle w:val="ListParagraph"/>
        <w:numPr>
          <w:ilvl w:val="0"/>
          <w:numId w:val="2"/>
        </w:numPr>
        <w:spacing w:after="90" w:line="290"/>
      </w:pPr>
      <w:r>
        <w:t xml:space="preserve">Les délais de réponse du Copilote et les statuts d'indexation sont temporisés artificiellement pour représenter un traitement en cours.</w:t>
      </w:r>
    </w:p>
    <w:p>
      <w:pPr>
        <w:pStyle w:val="Heading2"/>
      </w:pPr>
      <w:r>
        <w:t xml:space="preserve">18.3 Ce qui doit être raccordé pour la mise en production</w:t>
      </w:r>
    </w:p>
    <w:p>
      <w:pPr>
        <w:spacing w:after="160" w:line="300"/>
      </w:pPr>
      <w:r>
        <w:t xml:space="preserve">Selon la note d'architecture technique du projet, la mise en production suppose de reconstruire l'interface (déjà spécifiée par ce prototype) sur la stack retenue, en connectant : l'ingestion et l'indexation documentaire réelles, le moteur de génération de réponses sourcées, l'authentification et la facturation, ainsi que le stockage des dossiers et de leur historique. Le prototype sert de référence fonctionnelle et visuelle à cette reconstruction, pas de base de code à faire évoluer telle quelle.</w:t>
      </w:r>
    </w:p>
    <w:p>
      <w:r>
        <w:br w:type="page"/>
      </w:r>
    </w:p>
    <w:p>
      <w:pPr>
        <w:pStyle w:val="Heading1"/>
      </w:pPr>
      <w:r>
        <w:t xml:space="preserve">19. Pistes d'évolution (V2)</w:t>
      </w:r>
    </w:p>
    <w:p>
      <w:pPr>
        <w:pStyle w:val="ListParagraph"/>
        <w:numPr>
          <w:ilvl w:val="0"/>
          <w:numId w:val="2"/>
        </w:numPr>
        <w:spacing w:after="90" w:line="290"/>
      </w:pPr>
      <w:r>
        <w:t xml:space="preserve">Étendre le module « états financiers » à davantage de dossiers de démonstration, et à des documents de nature différente (levée de fonds, LBO complexe).</w:t>
      </w:r>
    </w:p>
    <w:p>
      <w:pPr>
        <w:pStyle w:val="ListParagraph"/>
        <w:numPr>
          <w:ilvl w:val="0"/>
          <w:numId w:val="2"/>
        </w:numPr>
        <w:spacing w:after="90" w:line="290"/>
      </w:pPr>
      <w:r>
        <w:t xml:space="preserve">Ajouter un septième profil dédié aux family offices multi-actifs si le besoin se distingue davantage du profil « Analyste indépendant / Family Office » actuel.</w:t>
      </w:r>
    </w:p>
    <w:p>
      <w:pPr>
        <w:pStyle w:val="ListParagraph"/>
        <w:numPr>
          <w:ilvl w:val="0"/>
          <w:numId w:val="2"/>
        </w:numPr>
        <w:spacing w:after="90" w:line="290"/>
      </w:pPr>
      <w:r>
        <w:t xml:space="preserve">Permettre l'export de la note complète directement au format du modèle choisi (et non plus uniquement en PDF rapide) depuis le lecteur de note.</w:t>
      </w:r>
    </w:p>
    <w:p>
      <w:pPr>
        <w:pStyle w:val="ListParagraph"/>
        <w:numPr>
          <w:ilvl w:val="0"/>
          <w:numId w:val="2"/>
        </w:numPr>
        <w:spacing w:after="90" w:line="290"/>
      </w:pPr>
      <w:r>
        <w:t xml:space="preserve">Historiser les arbitrages de contradictions (« marqué comme arbitré ») plutôt que de les traiter comme une action sans état persistant.</w:t>
      </w:r>
    </w:p>
    <w:p>
      <w:pPr>
        <w:pStyle w:val="ListParagraph"/>
        <w:numPr>
          <w:ilvl w:val="0"/>
          <w:numId w:val="2"/>
        </w:numPr>
        <w:spacing w:after="90" w:line="290"/>
      </w:pPr>
      <w:r>
        <w:t xml:space="preserve">Explorer un mode de comparaison à plus de deux dossiers dans le Comparateur.</w:t>
      </w:r>
    </w:p>
    <w:p>
      <w:pPr>
        <w:pBdr>
          <w:bottom w:val="single" w:color="E3E6E1" w:sz="6" w:space="4"/>
        </w:pBdr>
        <w:spacing w:after="260" w:before="80"/>
      </w:pPr>
    </w:p>
    <w:p>
      <w:pPr>
        <w:spacing w:after="160" w:line="300"/>
      </w:pPr>
      <w:r>
        <w:rPr>
          <w:i/>
          <w:iCs/>
          <w:color w:val="5B635E"/>
        </w:rPr>
        <w:t xml:space="preserve">Document rédigé pour accompagner le prototype finlens-plateforme.html — dernière mise à jour le 26 juillet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3E6E1" w:sz="6" w:space="6"/>
      </w:pBdr>
      <w:spacing w:after="160" w:before="420"/>
    </w:pPr>
    <w:rPr>
      <w:rFonts w:ascii="Calibri" w:cs="Calibri" w:eastAsia="Calibri" w:hAnsi="Calibri"/>
      <w:b/>
      <w:bCs/>
      <w:color w:val="17513B"/>
      <w:sz w:val="30"/>
      <w:szCs w:val="30"/>
    </w:rPr>
  </w:style>
  <w:style w:type="paragraph" w:styleId="Heading2">
    <w:name w:val="Heading 2"/>
    <w:basedOn w:val="Normal"/>
    <w:next w:val="Normal"/>
    <w:qFormat/>
    <w:pPr>
      <w:spacing w:after="110" w:before="260"/>
    </w:pPr>
    <w:rPr>
      <w:rFonts w:ascii="Calibri" w:cs="Calibri" w:eastAsia="Calibri" w:hAnsi="Calibri"/>
      <w:b/>
      <w:bCs/>
      <w:color w:val="1A1F1A"/>
      <w:sz w:val="25"/>
      <w:szCs w:val="25"/>
    </w:rPr>
  </w:style>
  <w:style w:type="paragraph" w:styleId="Heading3">
    <w:name w:val="Heading 3"/>
    <w:basedOn w:val="Normal"/>
    <w:next w:val="Normal"/>
    <w:qFormat/>
    <w:pPr>
      <w:spacing w:after="80" w:before="180"/>
    </w:pPr>
    <w:rPr>
      <w:rFonts w:ascii="Calibri" w:cs="Calibri" w:eastAsia="Calibri" w:hAnsi="Calibri"/>
      <w:b/>
      <w:bCs/>
      <w:color w:val="146B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2026-07-29T14:56:28.084Z</dcterms:created>
  <dcterms:modified xsi:type="dcterms:W3CDTF">2026-07-29T14:56:28.098Z</dcterms:modified>
</cp:coreProperties>
</file>

<file path=docProps/custom.xml><?xml version="1.0" encoding="utf-8"?>
<Properties xmlns="http://schemas.openxmlformats.org/officeDocument/2006/custom-properties" xmlns:vt="http://schemas.openxmlformats.org/officeDocument/2006/docPropsVTypes"/>
</file>