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DGGT 前端技术设计</w:t>
      </w:r>
    </w:p>
    <w:p>
      <w:pPr>
        <w:pStyle w:val="Subtitle"/>
      </w:pPr>
      <w:r>
        <w:t>DriveGaussianWorld 技术文档  版本 0.2.0</w:t>
      </w:r>
    </w:p>
    <w:p>
      <w:r>
        <w:t>本文面向重建与时序建模开发者，说明 DriveGaussianWorld 如何将冻结的 DGGT 预训练网络接入行车世界模型。核心输出是带来源、坐标与时间约束的 Gaussian 观测状态；前端负责历史几何重建，未来状态由独立世界模型递推。</w:t>
      </w:r>
    </w:p>
    <w:p>
      <w:pPr>
        <w:pStyle w:val="Heading1"/>
      </w:pPr>
      <w:r>
        <w:t>1 模块边界与网络结构</w:t>
      </w:r>
    </w:p>
    <w:p>
      <w:r>
        <w:t>实现入口为 drive_gaussian_world/geometry/dggt.py。适配器直接实例化上游 dggt.models.vggt.VGGT，以 strict=True 加载 Waymo 预训练权重并冻结参数。重建结果不经过逐场景优化，也没有在本项目中重新训练 DGGT。固定源码版本为 a3276d2bbe4cbb03bcc117830b1836110a27adeb。</w:t>
      </w:r>
    </w:p>
    <w:p>
      <w:r>
        <w:t>上游 Aggregator 使用 DINO 风格 ViT 图像特征、14 像素 patch 与 1024 维主干特征，交替执行帧内注意力和跨帧全局注意力。帧内层组织单张图像的空间关系，全局层融合已提供帧之间的几何线索；标准配置包含 24 个交替阶段。输入帧顺序影响网络的跨帧表示。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814"/>
        <w:gridCol w:w="3458"/>
        <w:gridCol w:w="4365"/>
      </w:tblGrid>
      <w:tr>
        <w:trPr>
          <w:tblHeader/>
        </w:trPr>
        <w:tc>
          <w:tcPr>
            <w:tcW w:type="dxa" w:w="1814"/>
            <w:shd w:fill="E7EE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预测分支</w:t>
            </w:r>
          </w:p>
        </w:tc>
        <w:tc>
          <w:tcPr>
            <w:tcW w:type="dxa" w:w="3458"/>
            <w:shd w:fill="E7EE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输出内容</w:t>
            </w:r>
          </w:p>
        </w:tc>
        <w:tc>
          <w:tcPr>
            <w:tcW w:type="dxa" w:w="4365"/>
            <w:shd w:fill="E7EE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当前适配器用途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Camera head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9 维平移 四元数 视场编码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恢复 world to camera 与内参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Depth head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深度与 sigmoid 置信度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正式几何反投影路径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Gaussian head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RGB alpha scale quaternion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输出 activated Gaussian 属性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Instance head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动态 logits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sigmoid 后保留动态概率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Point 与 semantic head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点图与语义 logits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保留上游计算 不作当前最终几何</w:t>
            </w:r>
          </w:p>
        </w:tc>
      </w:tr>
    </w:tbl>
    <w:p>
      <w:pPr>
        <w:spacing w:after="20"/>
      </w:pPr>
    </w:p>
    <w:p>
      <w:r>
        <w:t>输入为按时间排序的 RGB 张量，数值范围 0 到 1；缩放宽度默认 518，高度按原图比例舍入为 14 的倍数。网络内部完成其特征标准化。适配器支持降低宽度，但这种设置改变输入分布，不能冒充原生分辨率复现结果。</w:t>
      </w:r>
    </w:p>
    <w:p>
      <w:r>
        <w:t>上游还包含背景 Gaussian 渲染、寿命调制、跟踪与扩散精修路径。当前缓存只消费重建所需预测，不调用扩散精修、轨迹跟踪或 gsplat 光栅化，也未将 gs_conf 的时间寿命参数导出为世界模型状态。</w:t>
      </w:r>
    </w:p>
    <w:p>
      <w:pPr>
        <w:pStyle w:val="Heading1"/>
        <w:pageBreakBefore/>
      </w:pPr>
      <w:r>
        <w:t>2 深度反投影与坐标变换</w:t>
      </w:r>
    </w:p>
    <w:p>
      <w:r>
        <w:t>本适配器遵循上游 inference.py 的 use_depth=True 分支。设深度为 D、预测内参为 K、外参为 [R|t]，外参方向是 camera from world；像素齐次坐标为 u。</w:t>
      </w:r>
    </w:p>
    <w:p>
      <w:pPr>
        <w:spacing w:before="40" w:after="160"/>
      </w:pPr>
      <w:r>
        <w:rPr>
          <w:rFonts w:ascii="DejaVu Sans Mono" w:hAnsi="DejaVu Sans Mono"/>
          <w:sz w:val="18"/>
        </w:rPr>
        <w:t>p_camera = D(u) * inverse(K) * u</w:t>
        <w:br/>
        <w:t>p_world  = transpose(R) * (p_camera - t)</w:t>
      </w:r>
    </w:p>
    <w:p>
      <w:r>
        <w:t>上游 unproject_depth_map_to_point_map 先生成世界坐标点图。为了消除每个历史窗口独立重建 gauge 对时序输入的直接影响，适配器再用末帧预测外参将点图转换到该时刻的局部光学相机系。光学轴为 x 向右、y 向下、z 向前。</w:t>
      </w:r>
    </w:p>
    <w:p>
      <w:pPr>
        <w:spacing w:before="40" w:after="160"/>
      </w:pPr>
      <w:r>
        <w:rPr>
          <w:rFonts w:ascii="DejaVu Sans Mono" w:hAnsi="DejaVu Sans Mono"/>
          <w:sz w:val="18"/>
        </w:rPr>
        <w:t>p_local = R_last * p_world + t_last</w:t>
      </w:r>
    </w:p>
    <w:p>
      <w:r>
        <w:t>Gaussian 颜色与不透明度已经过 sigmoid 激活，尺度由上游 softplus 路径产生，四元数按 wxyz 储存。转换到局部相机系时，Gaussian 旋转左乘预测相机旋转；尺度在下一步随米制比例一起缩放。不能把 opacity 的第 3 通道与 RGB 第 0 通道混淆。</w:t>
      </w:r>
    </w:p>
    <w:p>
      <w:pPr>
        <w:pStyle w:val="Heading1"/>
      </w:pPr>
      <w:r>
        <w:t>3 历史双目尺度锚定</w:t>
      </w:r>
    </w:p>
    <w:p>
      <w:r>
        <w:t>DGGT 的预测 gauge 并不自动具有可信米制尺度。当前适配器使用同一已观测时刻的标定双目图像产生参考深度：SGBM 视差、反向视差一致性与局部中位数构成深度参考；KITTI 的焦距与双目基线由 P_rect_02 和 P_rect_03 计算。</w:t>
      </w:r>
    </w:p>
    <w:p>
      <w:pPr>
        <w:spacing w:before="40" w:after="160"/>
      </w:pPr>
      <w:r>
        <w:rPr>
          <w:rFonts w:ascii="DejaVu Sans Mono" w:hAnsi="DejaVu Sans Mono"/>
          <w:sz w:val="18"/>
        </w:rPr>
        <w:t>D_stereo = focal_length * baseline / disparity</w:t>
        <w:br/>
        <w:t>s = median(D_stereo(i) / z_DGGT(i))</w:t>
      </w:r>
    </w:p>
    <w:p>
      <w:r>
        <w:t>比例估计仅使用参考 mask 有效、预测深度为正且有限的采样点，至少要求 6 个锚点。位置和三轴尺度乘以 s；颜色、alpha 和动态概率不随尺度变化。逐帧记录比例、锚点数与中位数锚定残差。锚点不足会报错，不会默认为 1 米或生成虚假的米制证据。</w:t>
      </w:r>
    </w:p>
    <w:p>
      <w:r>
        <w:t>这是深度比例锚定，不是完整 Sim3 优化、相机内参纠正或相机到车体的标定。独立窗口仍保留预测朝向、内参和深度误差。LiDAR 不参与此比例拟合，仅用于后续稀疏 patch 深度诊断。</w:t>
      </w:r>
    </w:p>
    <w:p>
      <w:pPr>
        <w:pStyle w:val="Heading1"/>
        <w:pageBreakBefore/>
      </w:pPr>
      <w:r>
        <w:t>4 因果缓存与时间边界</w:t>
      </w:r>
    </w:p>
    <w:p>
      <w:r>
        <w:t>对采样时刻 t，最多输入 C 个历史图像，范围为 [max(0,t-C+1),t]，默认 C=4。只保存末帧对应的局部状态。每个时刻重新运行重建，不能先对整个日志进行全局注意力重建再切训练窗口，否则未来图像将隐式进入历史观测。</w:t>
      </w:r>
    </w:p>
    <w:p>
      <w:r>
        <w:t>世界模型历史长度为 H 时，最早一个 Gaussian 状态可能再依赖 C-1 个更早采样帧，因此总历史感受野最多为 H+C-1 个采样时刻；所有来源仍不晚于预测 anchor。缓存逐帧记录 source_frame_ids 与 target_frame_id，验证器检查 source 不超过 target。</w:t>
      </w:r>
    </w:p>
    <w:p>
      <w:pPr>
        <w:pStyle w:val="Heading1"/>
      </w:pPr>
      <w:r>
        <w:t>5 Gaussian 状态契约</w:t>
      </w:r>
    </w:p>
    <w:p>
      <w:r>
        <w:t>每帧按图像中的 4×16 固定网格提取 64 个槽位，保存 float32 的 [64,16] tokens 与 boolean 的 [64] mask。槽位表示图像采样位置，不代表持久 actor ID。只把有限、正深度、有效四元数的候选标为有效。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531"/>
        <w:gridCol w:w="4082"/>
        <w:gridCol w:w="4025"/>
      </w:tblGrid>
      <w:tr>
        <w:trPr>
          <w:tblHeader/>
        </w:trPr>
        <w:tc>
          <w:tcPr>
            <w:tcW w:type="dxa" w:w="1531"/>
            <w:shd w:fill="E7EE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通道</w:t>
            </w:r>
          </w:p>
        </w:tc>
        <w:tc>
          <w:tcPr>
            <w:tcW w:type="dxa" w:w="4082"/>
            <w:shd w:fill="E7EE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4025"/>
            <w:shd w:fill="E7EEF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网络内单位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0 到 2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局部 xyz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位置除以 40 m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3 到 5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RGB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0 到 1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Opacity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0 到 1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7 到 9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三轴 scale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尺度除以 5 m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10 到 13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Quaternion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单位 wxyz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Dynamic probability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动态 logits 的 sigmoid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Depth confidence</w:t>
            </w:r>
          </w:p>
        </w:tc>
        <w:tc>
          <w:tcPr>
            <w:tcW w:type="dxa" w:w="402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0 到 1</w:t>
            </w:r>
          </w:p>
        </w:tc>
      </w:tr>
    </w:tbl>
    <w:p>
      <w:pPr>
        <w:spacing w:after="20"/>
      </w:pPr>
    </w:p>
    <w:p>
      <w:r>
        <w:t>无效槽位用 mask 屏蔽，不将零填充视为真实几何。该 mask 表达采样有效性，并不是语义占据、可通行区或独立遮挡真值。即使所有槽位有效，也不能据此声称场景重建完整。</w:t>
      </w:r>
    </w:p>
    <w:p>
      <w:r>
        <w:t>输入图像、OXTS 和右相机时间戳在纳秒整数域减去 epoch 后转换为秒，准备阶段检查传感器对齐与完整采样集合。抽帧间隔改变会影响 DGGT 的动态预测分布，应与缓存宽度和历史长度一起固定在实验元数据中。</w:t>
      </w:r>
    </w:p>
    <w:p>
      <w:pPr>
        <w:pStyle w:val="Heading1"/>
        <w:pageBreakBefore/>
      </w:pPr>
      <w:r>
        <w:t>6 GPU 执行与资源管理</w:t>
      </w:r>
    </w:p>
    <w:p>
      <w:r>
        <w:t>NativeDGGT 默认选择 cuda，也支持 cuda:N、auto 和显式 cpu。CUDA 不可用时，默认请求直接失败，不静默降级；不会修改调用者的 CUDA_VISIBLE_DEVICES。模型通过 empty weight 初始化、CPU mmap checkpoint 加载与 assign=True 绑定权重，再统一迁移到目标设备。</w:t>
      </w:r>
    </w:p>
    <w:p>
      <w:r>
        <w:t>输入张量与模型在同一设备执行。fp32 为默认精度，fp16 与 bf16 使用 CUDA autocast；BF16 需要硬件支持。相机解码完成后，输出显式转为 float32 CPU 数组，再进行 NumPy 反投影、尺度锚定与 NPZ 写入，避免对 CUDA Tensor 直接调用 numpy。</w:t>
      </w:r>
    </w:p>
    <w:p>
      <w:r>
        <w:t>缓存阶段冻结参数并使用 inference_mode，不构建训练计算图。显存主要受图像 patch 数、输入帧数和全局注意力规模影响；降低历史长度或分辨率会改变实验设置，必须记录，不能只报告吞吐而隐藏输入差异。</w:t>
      </w:r>
    </w:p>
    <w:p>
      <w:pPr>
        <w:pStyle w:val="Heading1"/>
      </w:pPr>
      <w:r>
        <w:t>7 来源审计与验证接口</w:t>
      </w:r>
    </w:p>
    <w:p>
      <w:r>
        <w:t>每个 episode 的 metadata 包含上游 commit、checkpoint SHA256、输入数据集 SHA256、设备、精度、宽度、历史长度、每帧来源索引、耗时、有效槽位数量及尺度误差。数据集索引同时保存 NPZ 的 SHA256，读取使用 allow_pickle=False。</w:t>
      </w:r>
    </w:p>
    <w:p>
      <w:r>
        <w:t>验证分三层：原始成员 CRC32 与 SHA256、序列契约与时间因果检查、独立 LiDAR 稀疏 patch 深度诊断。前两者证明文件和接口一致性，不能证明模型重建精度；第三层也只是有限覆盖的诊断，需同时报告匹配数量与支持范围。</w:t>
      </w:r>
    </w:p>
    <w:p>
      <w:r>
        <w:t>当前单元测试覆盖历史帧边界、尺度恢复、wxyz 旋转、文件完整性与设备路由。GPU 配置恢复并不等同于完成大规模 GPU benchmark；已有历史结果、分辨率和设备应按真实实验日志引用。</w:t>
      </w:r>
    </w:p>
    <w:p>
      <w:pPr>
        <w:pStyle w:val="Heading1"/>
      </w:pPr>
      <w:r>
        <w:t>8 代码定位与参考</w:t>
      </w:r>
    </w:p>
    <w:p>
      <w:r>
        <w:t>主适配器：geometry/dggt.py；尺度参考：geometry/stereo.py；契约检查：data/schema.py；独立审计：data/audit.py。文件路径均相对于 drive_gaussian_world。安装、运行和权重准备命令统一维护在 README。</w:t>
      </w:r>
    </w:p>
    <w:p>
      <w:r>
        <w:t>DGGT 原生实现与 NOTICE：https://github.com/xiaomi-research/dggt 。建议对照 models/vggt.py、models/aggregator.py、utils/pose_enc.py、utils/geometry.py 与 inference.py 阅读。KITTI 数据与标定来源：https://www.cvlibs.net/datasets/kitti/ 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DGGT 前端技术设计</dc:title>
  <dc:subject>Technical design</dc:subject>
  <dc:creator>DriveGaussianWorld Contributors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