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Gaussian 世界模型技术设计</w:t>
      </w:r>
    </w:p>
    <w:p>
      <w:pPr>
        <w:pStyle w:val="Subtitle"/>
      </w:pPr>
      <w:r>
        <w:t>DriveGaussianWorld 技术文档  版本 0.2.0</w:t>
      </w:r>
    </w:p>
    <w:p>
      <w:r>
        <w:t>本文面向时序建模与自动驾驶研发，说明 DriveGaussianWorld 的动作条件世界模型如何融合历史图像与 Gaussian 观测，递归预测未来场景和自车运动。当前实现是确定性潜状态模型，技术描述与 models/world.py 的实际结构对应。</w:t>
      </w:r>
    </w:p>
    <w:p>
      <w:pPr>
        <w:pStyle w:val="Heading1"/>
      </w:pPr>
      <w:r>
        <w:t>1 输入输出与因果协议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572"/>
        <w:gridCol w:w="4252"/>
      </w:tblGrid>
      <w:tr>
        <w:trPr>
          <w:tblHeader/>
        </w:trPr>
        <w:tc>
          <w:tcPr>
            <w:tcW w:type="dxa" w:w="1814"/>
            <w:shd w:fill="E7EEF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接口</w:t>
            </w:r>
          </w:p>
        </w:tc>
        <w:tc>
          <w:tcPr>
            <w:tcW w:type="dxa" w:w="3572"/>
            <w:shd w:fill="E7EEF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张量形状</w:t>
            </w:r>
          </w:p>
        </w:tc>
        <w:tc>
          <w:tcPr>
            <w:tcW w:type="dxa" w:w="4252"/>
            <w:shd w:fill="E7EEF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语义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历史 RGB</w:t>
            </w:r>
          </w:p>
        </w:tc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 × H × 3 × 32 × 96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仅包含 anchor 之前及当前观测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历史 Gaussian</w:t>
            </w:r>
          </w:p>
        </w:tc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 × H × 64 × 16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前端观测与有效采样 mask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历史 speed</w:t>
            </w:r>
          </w:p>
        </w:tc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 × H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米每秒 前向速度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未来条件</w:t>
            </w:r>
          </w:p>
        </w:tc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 × F × 2 与 B × F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加速度 yaw rate 与 dt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预测结果</w:t>
            </w:r>
          </w:p>
        </w:tc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F 个 RGB Gaussian mask ego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开环递推 不读未来观测</w:t>
            </w:r>
          </w:p>
        </w:tc>
      </w:tr>
    </w:tbl>
    <w:p>
      <w:pPr>
        <w:spacing w:after="20"/>
      </w:pPr>
    </w:p>
    <w:p>
      <w:r>
        <w:t>默认 H=3、F=4、hidden=96，图像解码尺寸与 Gaussian 槽位数固定。数据窗口明确拆为 observation、condition、target：observe 只接受 rgb、tokens、mask、speed 四类字段；未来 RGB 和几何仅供损失与评估使用。</w:t>
      </w:r>
    </w:p>
    <w:p>
      <w:r>
        <w:t>当前运动条件由相邻 OXTS 的速度和航向变化生成 [a,yaw_rate]。这是运动代理，不是 issued throttle、brake 或 steering。给定未来日志条件的任务是条件预测；不提供未来运动标签时，评估采用当前速度下的直行条件，二者必须分开报告。</w:t>
      </w:r>
    </w:p>
    <w:p>
      <w:pPr>
        <w:pStyle w:val="Heading1"/>
      </w:pPr>
      <w:r>
        <w:t>2 多模态历史编码</w:t>
      </w:r>
    </w:p>
    <w:p>
      <w:r>
        <w:t>图像编码器使用三层带步长的卷积，通道为 3→16→32→32，随后自适应池化到 2×6 并线性映射为 64 维。Gaussian 编码器对各槽位共享 16→48→48 的 MLP，再按有效 mask 求均值；空集合分母下限为 1。</w:t>
      </w:r>
    </w:p>
    <w:p>
      <w:pPr>
        <w:spacing w:before="40" w:after="160"/>
      </w:pPr>
      <w:r>
        <w:rPr>
          <w:rFonts w:ascii="DejaVu Sans Mono" w:hAnsi="DejaVu Sans Mono"/>
          <w:sz w:val="18"/>
        </w:rPr>
        <w:t>g_t = sum_i(mask_i * MLP(token_i)) / max(sum_i mask_i, 1)</w:t>
        <w:br/>
        <w:t>h_t = GRU_observe([CNN(image_t), g_t, speed_t/20], h_prev)</w:t>
      </w:r>
    </w:p>
    <w:p>
      <w:r>
        <w:t>观测 GRU 输入共 113 维，输出 hidden 维历史潜状态。Gaussian 集合编码是置换不变聚合，但后续解码槽位仍绑定固定采样网格。RGB-only 消融同时移除几何编码和初始 Gaussian skip，防止几何输入从另一条路径流入预测。</w:t>
      </w:r>
    </w:p>
    <w:p>
      <w:pPr>
        <w:pStyle w:val="Heading1"/>
        <w:pageBreakBefore/>
      </w:pPr>
      <w:r>
        <w:t>3 动作条件递归动力学</w:t>
      </w:r>
    </w:p>
    <w:p>
      <w:r>
        <w:t>rollout 先读取 observe 的末状态，此后每一步仅依赖上一步潜状态、预测状态和调用方给定的动作条件。动力学 GRU 的输入为 4 维向量 [a/5,yaw_rate,dt,speed/20]；没有未来观测 posterior，也没有 teacher forcing、KL 项或扩散过程。</w:t>
      </w:r>
    </w:p>
    <w:p>
      <w:pPr>
        <w:spacing w:before="40" w:after="160"/>
      </w:pPr>
      <w:r>
        <w:rPr>
          <w:rFonts w:ascii="DejaVu Sans Mono" w:hAnsi="DejaVu Sans Mono"/>
          <w:sz w:val="18"/>
        </w:rPr>
        <w:t>h_next = GRU_dynamics([a/5, yaw_rate, dt, speed/20], h)</w:t>
      </w:r>
    </w:p>
    <w:p>
      <w:r>
        <w:t>解析先验将动作转换为速度与平面位移。实现将 a 限制到 ±8 m/s²、yaw rate 限制到 ±1 rad/s、dt 限制到 0.001 到 2 秒，并将前向速度限制到 0 到 45 m/s。这些是当前简化动力学的数值边界，不是车辆执行器模型。</w:t>
      </w:r>
    </w:p>
    <w:p>
      <w:pPr>
        <w:spacing w:before="40" w:after="160"/>
      </w:pPr>
      <w:r>
        <w:rPr>
          <w:rFonts w:ascii="DejaVu Sans Mono" w:hAnsi="DejaVu Sans Mono"/>
          <w:sz w:val="18"/>
        </w:rPr>
        <w:t>v_next = clamp(v + a*dt, 0, 45)</w:t>
        <w:br/>
        <w:t>d = 0.5 * (v + v_next) * dt</w:t>
        <w:br/>
        <w:t>angle = yaw_rate * dt</w:t>
        <w:br/>
        <w:t>forward = d*cos(angle/2)</w:t>
        <w:br/>
        <w:t>left = d*sin(angle/2)</w:t>
      </w:r>
    </w:p>
    <w:p>
      <w:r>
        <w:t>Gaussian 坐标以光学系存储，左向自车位移对应负的光学 x 平移。先将点相对自车位移平移，再施加与偏航一致的相机局部旋转，得到下一时刻几何先验。此处将 OXTS 参考点运动近似施加到相机，尚未补偿杆臂、滚转和俯仰。</w:t>
      </w:r>
    </w:p>
    <w:p>
      <w:pPr>
        <w:pStyle w:val="Heading1"/>
      </w:pPr>
      <w:r>
        <w:t>4 三路输出解码</w:t>
      </w:r>
    </w:p>
    <w:p>
      <w:r>
        <w:t>RGB 解码器将潜状态映射到 32×4×12 的特征图，再通过三层反卷积恢复 3×32×96，预测受 tanh 约束的残差；每步增量为 0.15 倍残差，结果裁剪到 0 到 1。下一步图像以该预测为基底，不重新读取真实未来帧。</w:t>
      </w:r>
    </w:p>
    <w:p>
      <w:r>
        <w:t>Gaussian 解码器对 64 个槽位拼接潜状态、16 维槽位 embedding 与 16 维先验属性，经 MLP 产生 17 维结果。其中 16 维更新位置和属性，额外一维为有效采样 mask 的 logit。位置残差在归一化空间由 0.1×tanh 限幅，z 下限为 0.025，即 1 米；尺度保持正值，四元数重新归一化。</w:t>
      </w:r>
    </w:p>
    <w:p>
      <w:r>
        <w:t>自车解码器预测解析 [forward,left,delta_yaw] 的残差，幅度系数为 [1 m,1 m,0.1 rad]。动态概率与 confidence 作为状态输入和递归属性保留，当前没有独立 actor identity、动态轨迹或干预动作监督。</w:t>
      </w:r>
    </w:p>
    <w:p>
      <w:pPr>
        <w:pStyle w:val="Heading1"/>
        <w:pageBreakBefore/>
      </w:pPr>
      <w:r>
        <w:t>5 联合训练目标</w:t>
      </w:r>
    </w:p>
    <w:p>
      <w:pPr>
        <w:spacing w:before="40" w:after="160"/>
      </w:pPr>
      <w:r>
        <w:rPr>
          <w:rFonts w:ascii="DejaVu Sans Mono" w:hAnsi="DejaVu Sans Mono"/>
          <w:sz w:val="18"/>
        </w:rPr>
        <w:t>L = L_rgb + 2*L_geometry + 0.2*L_attributes</w:t>
        <w:br/>
        <w:t xml:space="preserve">    + 0.05*L_mask + 0.1*L_ego</w:t>
      </w:r>
    </w:p>
    <w:p>
      <w:r>
        <w:t>RGB 项为预测与目标图像的 L1。几何项在位置除以 40 m 后的坐标上计算双向最近邻距离：预测到真值方向由预测 mask 概率加权，真值到预测方向由目标有效 mask 加权。距离通过 float32 cdist 计算，避免混合精度下的距离算子数值或类型问题。</w:t>
      </w:r>
    </w:p>
    <w:p>
      <w:pPr>
        <w:spacing w:before="40" w:after="160"/>
      </w:pPr>
      <w:r>
        <w:rPr>
          <w:rFonts w:ascii="DejaVu Sans Mono" w:hAnsi="DejaVu Sans Mono"/>
          <w:sz w:val="18"/>
        </w:rPr>
        <w:t>L_geometry = 0.5 * (weighted_mean_p min_g ||p-g||</w:t>
        <w:br/>
        <w:t xml:space="preserve">                            + masked_mean_g min_p ||p-g||)</w:t>
      </w:r>
    </w:p>
    <w:p>
      <w:r>
        <w:t>采样槽不代表持续物体身份，因此几何采用集合匹配。属性项仍在固定图像采样槽上监督 RGB、opacity 与三轴 scale，并额外加入 0.1×四元数符号不变误差：1-abs(dot(q_pred,q_target))。动态概率与 confidence 不在当前直接属性损失的通道集合内。</w:t>
      </w:r>
    </w:p>
    <w:p>
      <w:r>
        <w:t>有效采样项为 BCEWithLogits，目标是前端的有效采样支持；不是语义占据标签。自车项对逐步 [forward,left,delta_yaw] 使用 Smooth L1。没有有效几何的批次由分母下限保护；前端和数据契约仍应优先过滤没有有效证据的 episode。</w:t>
      </w:r>
    </w:p>
    <w:p>
      <w:pPr>
        <w:pStyle w:val="Heading1"/>
      </w:pPr>
      <w:r>
        <w:t>6 优化与检查点选择</w:t>
      </w:r>
    </w:p>
    <w:p>
      <w:r>
        <w:t>训练使用 AdamW、梯度范数裁剪 1.0 和固定 seed；优化步数、批大小、学习率、历史长度、预测长度与 hidden 可配置。训练入口将整个嵌套批次迁移到所选设备，验证使用同一设备且关闭梯度。数据按日志划分，检查点只在验证损失下降时保存。</w:t>
      </w:r>
    </w:p>
    <w:p>
      <w:r>
        <w:t>FP16 模式在 autocast 下前向，使用 GradScaler 反传，先 unscale 再裁剪梯度；BF16 使用 autocast 并检查硬件能力，不启用 FP16 梯度缩放。默认 fp32。保存的 model state 可由 map_location=cpu 安全读取，再迁移到指定设备。</w:t>
      </w:r>
    </w:p>
    <w:p>
      <w:r>
        <w:t>配置、逐步训练和验证损失、梯度范数、数据集 SHA256、选择 split、优化步数与 checkpoint SHA256 一起保留。旧检查点没有 precision 或 worker 字段时仍可加载；运行设备由当前命令显式选择，不强制继承保存机器上的 GPU 编号。</w:t>
      </w:r>
    </w:p>
    <w:p>
      <w:pPr>
        <w:pStyle w:val="Heading1"/>
        <w:pageBreakBefore/>
      </w:pPr>
      <w:r>
        <w:t>7 评估与消融协议</w:t>
      </w:r>
    </w:p>
    <w:p>
      <w:r>
        <w:t>learned_logged_motion 提供未来日志运动条件；learned_current_motion 使用匀速直行条件，不读取未来运动标签。基线包含末帧保持、给定日志运动的 Gaussian 刚体变换和不提供未来运动的匀速解析模型。比较必须保持条件信息一致。</w:t>
      </w:r>
    </w:p>
    <w:p>
      <w:r>
        <w:t>图像报告 L1 与 PSNR；逐步自车位移在累计航向下积分为平面轨迹，再计算 ADE 和 FDE。Gaussian 指标用有效采样集合的双向最近邻距离，单位为米。有效采样 mask IoU 仅衡量前端采样支持，当 mask 退化为全真时没有额外感知解释。</w:t>
      </w:r>
    </w:p>
    <w:p>
      <w:r>
        <w:t>消融包括移除 Gaussian 输入、移除动作条件和更换为 stereo 表征。RGB-only 去除几何先验后几何误差的变化，不能全部归因于 latent 网络的几何推理能力；不同前端的目标伪标签与支持不同，集合距离不能直接作跨前端真值精度排名。</w:t>
      </w:r>
    </w:p>
    <w:p>
      <w:r>
        <w:t>Gaussian 训练目标主要来自前端伪几何，不等于真实 4D 标注；独立 LiDAR 深度诊断单独报告。现有数据示例仅有少量同日道路日志，窗口相互重叠，不能推导跨城市泛化、统计显著性或闭环安全性。</w:t>
      </w:r>
    </w:p>
    <w:p>
      <w:pPr>
        <w:pStyle w:val="Heading1"/>
      </w:pPr>
      <w:r>
        <w:t>8 推理服务与候选动作</w:t>
      </w:r>
    </w:p>
    <w:p>
      <w:r>
        <w:t>evaluate、demo、serve 与 experiments 共享设备选择逻辑，模型、历史输入、动作和 dt 保持设备一致。图像导出、NumPy 转换与 JSON 序列化前显式转回 CPU。服务默认绑定 loopback，限制请求体、动作范围、窗口索引和 horizon，并用锁串行执行模型推理。</w:t>
      </w:r>
    </w:p>
    <w:p>
      <w:r>
        <w:t>候选动作比较对同一个历史潜状态提出 cruise、slow down、left arc、right arc 场景条件，按进度、动作代价和稀疏表面近邻代理排序。没有真实车道、独立碰撞几何或成对干预数据，因此不输出可部署控制，也不能把模型对动作的数值响应当作已验证因果可控性。</w:t>
      </w:r>
    </w:p>
    <w:p>
      <w:pPr>
        <w:pStyle w:val="Heading1"/>
      </w:pPr>
      <w:r>
        <w:t>9 代码定位与复现入口</w:t>
      </w:r>
    </w:p>
    <w:p>
      <w:r>
        <w:t>网络与损失：models/world.py；训练：train.py；窗口隔离：data/windows.py；指标与基线：evaluate.py；设备与精度：common.py；服务：serve.py。默认配置为 configs/default.json，安装与运行命令统一维护在 README。</w:t>
      </w:r>
    </w:p>
    <w:p>
      <w:r>
        <w:t>对应数据来源为 KITTI raw，前端来源为 xiaomi-research/dggt。模型架构、超参数与实验能力以代码和实际元数据为准；恢复 GPU 执行路径不代表已执行新的 GPU 训练或取得新的性能结果。</w:t>
      </w:r>
    </w:p>
    <w:sectPr w:rsidR="00FC693F" w:rsidRPr="0006063C" w:rsidSect="00034616">
      <w:footerReference w:type="default" r:id="rId9"/>
      <w:pgSz w:w="11906" w:h="16838"/>
      <w:pgMar w:top="107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 w:eastAsia="Noto Sans CJK SC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Gaussian 世界模型技术设计</dc:title>
  <dc:subject>Technical design</dc:subject>
  <dc:creator>DriveGaussianWorld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