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286"/>
        <w:gridCol w:w="7286"/>
      </w:tblGrid>
      <w:tr>
        <w:tc>
          <w:tcPr>
            <w:tcW w:type="dxa" w:w="6480"/>
            <w:tcBorders>
              <w:top w:val="none"/>
              <w:left w:val="none"/>
              <w:bottom w:val="none"/>
              <w:right w:val="none"/>
            </w:tcBorders>
            <w:tcMar>
              <w:top w:w="0" w:type="dxa"/>
              <w:bottom w:w="30" w:type="dxa"/>
              <w:left w:w="0" w:type="dxa"/>
              <w:right w:w="20" w:type="dxa"/>
            </w:tcMar>
          </w:tcPr>
          <w:p>
            <w:pPr>
              <w:spacing w:line="240" w:lineRule="auto" w:after="40"/>
              <w:jc w:val="center"/>
            </w:pPr>
            <w:r>
              <w:rPr>
                <w:rFonts w:ascii="Times New Roman" w:hAnsi="Times New Roman"/>
                <w:sz w:val="24"/>
              </w:rPr>
              <w:t>VĂN PHÒNG ĐĂNG KÝ ĐẤT ĐAI TỈNH BÌNH DƯƠNG</w:t>
            </w:r>
          </w:p>
          <w:p>
            <w:pPr>
              <w:spacing w:line="240" w:lineRule="auto" w:after="40"/>
              <w:jc w:val="center"/>
            </w:pPr>
            <w:r>
              <w:rPr>
                <w:rFonts w:ascii="Times New Roman" w:hAnsi="Times New Roman"/>
                <w:b/>
                <w:sz w:val="26"/>
              </w:rPr>
              <w:t>BỘ PHẬN TIẾP CÔNG DÂN</w:t>
            </w:r>
          </w:p>
          <w:p>
            <w:pPr>
              <w:jc w:val="center"/>
              <w:spacing w:before="0" w:after="80" w:line="120" w:lineRule="exact"/>
            </w:pPr>
            <w:r>
              <w:rPr>
                <w:rFonts w:ascii="Times New Roman" w:hAnsi="Times New Roman"/>
                <w:b/>
                <w:sz w:val="17"/>
              </w:rPr>
              <w:t>————————</w:t>
            </w:r>
          </w:p>
          <w:p>
            <w:pPr>
              <w:spacing w:line="240" w:lineRule="auto" w:before="80" w:after="0"/>
              <w:jc w:val="center"/>
            </w:pPr>
            <w:r>
              <w:rPr>
                <w:rFonts w:ascii="Times New Roman" w:hAnsi="Times New Roman"/>
                <w:b/>
                <w:i/>
                <w:sz w:val="22"/>
              </w:rPr>
              <w:t>Mẫu số: 03/TCD</w:t>
            </w:r>
          </w:p>
        </w:tc>
        <w:tc>
          <w:tcPr>
            <w:tcW w:type="dxa" w:w="8064"/>
            <w:tcBorders>
              <w:top w:val="none"/>
              <w:left w:val="none"/>
              <w:bottom w:val="none"/>
              <w:right w:val="none"/>
            </w:tcBorders>
            <w:tcMar>
              <w:top w:w="0" w:type="dxa"/>
              <w:bottom w:w="30" w:type="dxa"/>
              <w:left w:w="20" w:type="dxa"/>
              <w:right w:w="0" w:type="dxa"/>
            </w:tcMar>
          </w:tcPr>
          <w:p>
            <w:pPr>
              <w:spacing w:line="240" w:lineRule="auto" w:after="40"/>
              <w:jc w:val="center"/>
            </w:pPr>
            <w:r>
              <w:rPr>
                <w:rFonts w:ascii="Times New Roman" w:hAnsi="Times New Roman"/>
                <w:b/>
                <w:sz w:val="26"/>
              </w:rPr>
              <w:t>CỘNG HÒA XÃ HỘI CHỦ NGHĨA VIỆT NAM</w:t>
            </w:r>
          </w:p>
          <w:p>
            <w:pPr>
              <w:spacing w:line="240" w:lineRule="auto" w:after="40"/>
              <w:jc w:val="center"/>
            </w:pPr>
            <w:r>
              <w:rPr>
                <w:rFonts w:ascii="Times New Roman" w:hAnsi="Times New Roman"/>
                <w:b/>
                <w:sz w:val="26"/>
              </w:rPr>
              <w:t>Độc lập - Tự do - Hạnh phúc</w:t>
            </w:r>
          </w:p>
          <w:p>
            <w:pPr>
              <w:jc w:val="center"/>
              <w:spacing w:before="0" w:after="80" w:line="120" w:lineRule="exact"/>
            </w:pPr>
            <w:r>
              <w:rPr>
                <w:rFonts w:ascii="Times New Roman" w:hAnsi="Times New Roman"/>
                <w:b/>
                <w:sz w:val="17"/>
              </w:rPr>
              <w:t>——————————————————</w:t>
            </w:r>
          </w:p>
          <w:p>
            <w:pPr>
              <w:spacing w:line="240" w:lineRule="auto" w:before="80" w:after="0"/>
              <w:jc w:val="center"/>
            </w:pPr>
            <w:r>
              <w:rPr>
                <w:rFonts w:ascii="Times New Roman" w:hAnsi="Times New Roman"/>
                <w:i/>
                <w:sz w:val="24"/>
              </w:rPr>
              <w:t>Bình Dương, ngày      tháng      năm 2026</w:t>
            </w:r>
          </w:p>
        </w:tc>
      </w:tr>
    </w:tbl>
    <w:p>
      <w:pPr>
        <w:spacing w:before="240" w:after="40" w:line="276" w:lineRule="auto"/>
        <w:jc w:val="center"/>
      </w:pPr>
      <w:r>
        <w:rPr>
          <w:rFonts w:ascii="Times New Roman" w:hAnsi="Times New Roman"/>
          <w:b/>
          <w:sz w:val="32"/>
        </w:rPr>
        <w:t>SỔ THEO DÕI TIẾP CÔNG DÂN</w:t>
      </w:r>
    </w:p>
    <w:p>
      <w:pPr>
        <w:spacing w:before="40" w:after="80"/>
        <w:jc w:val="center"/>
      </w:pPr>
      <w:r>
        <w:rPr>
          <w:rFonts w:ascii="Times New Roman" w:hAnsi="Times New Roman"/>
          <w:i/>
          <w:sz w:val="23"/>
        </w:rPr>
        <w:t>(Theo dõi ngày công dân đến, Lãnh đạo chủ trì tiếp, Nội dung trao đổi, Quá trình xử lý và Kết quả giải quyết)</w:t>
      </w:r>
    </w:p>
    <w:p>
      <w:pPr>
        <w:spacing w:before="0" w:after="160"/>
        <w:jc w:val="center"/>
      </w:pPr>
      <w:r>
        <w:rPr>
          <w:rFonts w:ascii="Times New Roman" w:hAnsi="Times New Roman"/>
          <w:i/>
          <w:sz w:val="21"/>
        </w:rPr>
        <w:t>Căn cứ Nghị định số 154/2026/NĐ-CP của Chính phủ &amp; Thể thức văn bản Nghị định số 30/2020/NĐ-CP</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9"/>
        <w:gridCol w:w="1619"/>
        <w:gridCol w:w="1619"/>
        <w:gridCol w:w="1619"/>
        <w:gridCol w:w="1619"/>
        <w:gridCol w:w="1619"/>
        <w:gridCol w:w="1619"/>
        <w:gridCol w:w="1619"/>
        <w:gridCol w:w="1619"/>
      </w:tblGrid>
      <w:tr>
        <w:trPr>
          <w:tblHeader/>
          <w:cantSplit/>
        </w:trPr>
        <w:tc>
          <w:tcPr>
            <w:tcW w:type="dxa" w:w="547"/>
            <w:tcMar>
              <w:top w:w="70" w:type="dxa"/>
              <w:bottom w:w="70" w:type="dxa"/>
              <w:left w:w="50" w:type="dxa"/>
              <w:right w:w="50" w:type="dxa"/>
            </w:tcMar>
            <w:vAlign w:val="center"/>
            <w:vMerge w:val="restart"/>
            <w:shd w:fill="F2F4F7"/>
          </w:tcPr>
          <w:p>
            <w:pPr>
              <w:spacing w:line="252" w:lineRule="auto" w:before="40" w:after="40"/>
              <w:jc w:val="center"/>
            </w:pPr>
            <w:r/>
            <w:r>
              <w:rPr>
                <w:rFonts w:ascii="Times New Roman" w:hAnsi="Times New Roman"/>
                <w:b/>
                <w:sz w:val="21"/>
              </w:rPr>
              <w:t>STT</w:t>
            </w:r>
          </w:p>
          <w:p>
            <w:pPr>
              <w:spacing w:line="252" w:lineRule="auto" w:before="40" w:after="40"/>
              <w:jc w:val="center"/>
            </w:pPr>
            <w:r/>
            <w:r>
              <w:rPr>
                <w:rFonts w:ascii="Times New Roman" w:hAnsi="Times New Roman"/>
                <w:b/>
                <w:sz w:val="20"/>
              </w:rPr>
            </w:r>
          </w:p>
        </w:tc>
        <w:tc>
          <w:tcPr>
            <w:tcW w:type="dxa" w:w="1656"/>
            <w:tcMar>
              <w:top w:w="70" w:type="dxa"/>
              <w:bottom w:w="70" w:type="dxa"/>
              <w:left w:w="50" w:type="dxa"/>
              <w:right w:w="50" w:type="dxa"/>
            </w:tcMar>
            <w:vAlign w:val="center"/>
            <w:gridSpan w:val="2"/>
            <w:shd w:fill="F2F4F7"/>
          </w:tcPr>
          <w:p>
            <w:pPr>
              <w:spacing w:line="252" w:lineRule="auto" w:before="40" w:after="40"/>
              <w:jc w:val="center"/>
            </w:pPr>
            <w:r/>
            <w:r>
              <w:rPr>
                <w:rFonts w:ascii="Times New Roman" w:hAnsi="Times New Roman"/>
                <w:b/>
                <w:sz w:val="21"/>
              </w:rPr>
              <w:t>THÔNG TIN BUỔI TIẾP</w:t>
            </w:r>
          </w:p>
          <w:p>
            <w:pPr>
              <w:spacing w:line="252" w:lineRule="auto" w:before="40" w:after="40"/>
              <w:jc w:val="center"/>
            </w:pPr>
            <w:r/>
            <w:r>
              <w:rPr>
                <w:rFonts w:ascii="Times New Roman" w:hAnsi="Times New Roman"/>
                <w:b/>
                <w:sz w:val="21"/>
              </w:rPr>
            </w:r>
          </w:p>
        </w:tc>
        <w:tc>
          <w:tcPr>
            <w:tcW w:type="dxa" w:w="1944"/>
            <w:tcMar>
              <w:top w:w="70" w:type="dxa"/>
              <w:bottom w:w="70" w:type="dxa"/>
              <w:left w:w="50" w:type="dxa"/>
              <w:right w:w="50" w:type="dxa"/>
            </w:tcMar>
            <w:vAlign w:val="center"/>
            <w:vMerge w:val="restart"/>
            <w:shd w:fill="F2F4F7"/>
          </w:tcPr>
          <w:p>
            <w:pPr>
              <w:spacing w:line="252" w:lineRule="auto" w:before="40" w:after="40"/>
              <w:jc w:val="center"/>
            </w:pPr>
            <w:r/>
            <w:r>
              <w:rPr>
                <w:rFonts w:ascii="Times New Roman" w:hAnsi="Times New Roman"/>
                <w:b/>
                <w:sz w:val="20"/>
              </w:rPr>
              <w:t>THÔNG TIN CÔNG DÂN</w:t>
              <w:br/>
              <w:t>(Họ tên, CCCD/SĐT, Địa chỉ)</w:t>
            </w:r>
          </w:p>
          <w:p>
            <w:pPr>
              <w:spacing w:line="252" w:lineRule="auto" w:before="40" w:after="40"/>
              <w:jc w:val="center"/>
            </w:pPr>
            <w:r/>
            <w:r>
              <w:rPr>
                <w:rFonts w:ascii="Times New Roman" w:hAnsi="Times New Roman"/>
                <w:b/>
                <w:sz w:val="20"/>
              </w:rPr>
            </w:r>
          </w:p>
        </w:tc>
        <w:tc>
          <w:tcPr>
            <w:tcW w:type="dxa" w:w="2808"/>
            <w:tcMar>
              <w:top w:w="70" w:type="dxa"/>
              <w:bottom w:w="70" w:type="dxa"/>
              <w:left w:w="50" w:type="dxa"/>
              <w:right w:w="50" w:type="dxa"/>
            </w:tcMar>
            <w:vAlign w:val="center"/>
            <w:vMerge w:val="restart"/>
            <w:shd w:fill="F2F4F7"/>
          </w:tcPr>
          <w:p>
            <w:pPr>
              <w:spacing w:line="252" w:lineRule="auto" w:before="40" w:after="40"/>
              <w:jc w:val="center"/>
            </w:pPr>
            <w:r/>
            <w:r>
              <w:rPr>
                <w:rFonts w:ascii="Times New Roman" w:hAnsi="Times New Roman"/>
                <w:b/>
                <w:sz w:val="20"/>
              </w:rPr>
              <w:t>NỘI DUNG VỤ VIỆC &amp; TRAO ĐỔI</w:t>
              <w:br/>
              <w:t>(Tóm tắt nội dung đối thoại, loại đơn)</w:t>
            </w:r>
          </w:p>
          <w:p>
            <w:pPr>
              <w:spacing w:line="252" w:lineRule="auto" w:before="40" w:after="40"/>
              <w:jc w:val="center"/>
            </w:pPr>
            <w:r/>
            <w:r>
              <w:rPr>
                <w:rFonts w:ascii="Times New Roman" w:hAnsi="Times New Roman"/>
                <w:b/>
                <w:sz w:val="20"/>
              </w:rPr>
            </w:r>
          </w:p>
        </w:tc>
        <w:tc>
          <w:tcPr>
            <w:tcW w:type="dxa" w:w="1800"/>
            <w:tcMar>
              <w:top w:w="70" w:type="dxa"/>
              <w:bottom w:w="70" w:type="dxa"/>
              <w:left w:w="50" w:type="dxa"/>
              <w:right w:w="50" w:type="dxa"/>
            </w:tcMar>
            <w:vAlign w:val="center"/>
            <w:gridSpan w:val="3"/>
            <w:shd w:fill="F2F4F7"/>
          </w:tcPr>
          <w:p>
            <w:pPr>
              <w:spacing w:line="252" w:lineRule="auto" w:before="40" w:after="40"/>
              <w:jc w:val="center"/>
            </w:pPr>
            <w:r/>
            <w:r>
              <w:rPr>
                <w:rFonts w:ascii="Times New Roman" w:hAnsi="Times New Roman"/>
                <w:b/>
                <w:sz w:val="21"/>
              </w:rPr>
              <w:t>CHỈ ĐẠO, QUÁ TRÌNH XỬ LÝ &amp; KẾT QUẢ GIẢI QUYẾT</w:t>
            </w:r>
          </w:p>
          <w:p>
            <w:pPr>
              <w:spacing w:line="252" w:lineRule="auto" w:before="40" w:after="40"/>
              <w:jc w:val="center"/>
            </w:pPr>
            <w:r/>
            <w:r>
              <w:rPr>
                <w:rFonts w:ascii="Times New Roman" w:hAnsi="Times New Roman"/>
                <w:b/>
                <w:sz w:val="21"/>
              </w:rPr>
            </w:r>
          </w:p>
          <w:p>
            <w:pPr>
              <w:spacing w:line="252" w:lineRule="auto" w:before="40" w:after="40"/>
              <w:jc w:val="center"/>
            </w:pPr>
            <w:r/>
            <w:r>
              <w:rPr>
                <w:rFonts w:ascii="Times New Roman" w:hAnsi="Times New Roman"/>
                <w:b/>
                <w:sz w:val="21"/>
              </w:rPr>
            </w:r>
          </w:p>
        </w:tc>
        <w:tc>
          <w:tcPr>
            <w:tcW w:type="dxa" w:w="648"/>
            <w:tcMar>
              <w:top w:w="70" w:type="dxa"/>
              <w:bottom w:w="70" w:type="dxa"/>
              <w:left w:w="50" w:type="dxa"/>
              <w:right w:w="50" w:type="dxa"/>
            </w:tcMar>
            <w:vAlign w:val="center"/>
            <w:vMerge w:val="restart"/>
            <w:shd w:fill="F2F4F7"/>
          </w:tcPr>
          <w:p>
            <w:pPr>
              <w:spacing w:line="252" w:lineRule="auto" w:before="40" w:after="40"/>
              <w:jc w:val="center"/>
            </w:pPr>
            <w:r/>
            <w:r>
              <w:rPr>
                <w:rFonts w:ascii="Times New Roman" w:hAnsi="Times New Roman"/>
                <w:b/>
                <w:sz w:val="20"/>
              </w:rPr>
              <w:t>GHI CHÚ</w:t>
              <w:br/>
              <w:t>(Hồ sơ lưu)</w:t>
            </w:r>
          </w:p>
          <w:p>
            <w:pPr>
              <w:spacing w:line="252" w:lineRule="auto" w:before="40" w:after="40"/>
              <w:jc w:val="center"/>
            </w:pPr>
            <w:r/>
            <w:r>
              <w:rPr>
                <w:rFonts w:ascii="Times New Roman" w:hAnsi="Times New Roman"/>
                <w:b/>
                <w:sz w:val="20"/>
              </w:rPr>
            </w:r>
          </w:p>
        </w:tc>
      </w:tr>
      <w:tr>
        <w:trPr>
          <w:tblHeader/>
          <w:cantSplit/>
        </w:trPr>
        <w:tc>
          <w:tcPr>
            <w:tcW w:type="dxa" w:w="1619"/>
            <w:tcMar>
              <w:top w:w="70" w:type="dxa"/>
              <w:bottom w:w="70" w:type="dxa"/>
              <w:left w:w="50" w:type="dxa"/>
              <w:right w:w="50" w:type="dxa"/>
            </w:tcMar>
            <w:vAlign w:val="center"/>
            <w:vMerge/>
            <w:shd w:fill="F2F4F7"/>
          </w:tcPr>
          <w:p/>
        </w:tc>
        <w:tc>
          <w:tcPr>
            <w:tcW w:type="dxa" w:w="1080"/>
            <w:tcMar>
              <w:top w:w="70" w:type="dxa"/>
              <w:bottom w:w="70" w:type="dxa"/>
              <w:left w:w="50" w:type="dxa"/>
              <w:right w:w="50" w:type="dxa"/>
            </w:tcMar>
            <w:vAlign w:val="center"/>
            <w:shd w:fill="F2F4F7"/>
          </w:tcPr>
          <w:p>
            <w:pPr>
              <w:spacing w:line="252" w:lineRule="auto" w:before="40" w:after="40"/>
              <w:jc w:val="center"/>
            </w:pPr>
            <w:r/>
            <w:r>
              <w:rPr>
                <w:rFonts w:ascii="Times New Roman" w:hAnsi="Times New Roman"/>
                <w:b/>
                <w:sz w:val="19"/>
              </w:rPr>
              <w:t>Thời gian tiếp</w:t>
              <w:br/>
              <w:t>(Ngày, giờ)</w:t>
            </w:r>
          </w:p>
        </w:tc>
        <w:tc>
          <w:tcPr>
            <w:tcW w:type="dxa" w:w="1656"/>
            <w:tcMar>
              <w:top w:w="70" w:type="dxa"/>
              <w:bottom w:w="70" w:type="dxa"/>
              <w:left w:w="50" w:type="dxa"/>
              <w:right w:w="50" w:type="dxa"/>
            </w:tcMar>
            <w:vAlign w:val="center"/>
            <w:shd w:fill="F2F4F7"/>
          </w:tcPr>
          <w:p>
            <w:pPr>
              <w:spacing w:line="252" w:lineRule="auto" w:before="40" w:after="40"/>
              <w:jc w:val="center"/>
            </w:pPr>
            <w:r/>
            <w:r>
              <w:rPr>
                <w:rFonts w:ascii="Times New Roman" w:hAnsi="Times New Roman"/>
                <w:b/>
                <w:sz w:val="19"/>
              </w:rPr>
              <w:t>Lãnh đạo chủ trì &amp;</w:t>
              <w:br/>
              <w:t>Cán bộ phối hợp tiếp</w:t>
            </w:r>
          </w:p>
        </w:tc>
        <w:tc>
          <w:tcPr>
            <w:tcW w:type="dxa" w:w="1619"/>
            <w:tcMar>
              <w:top w:w="70" w:type="dxa"/>
              <w:bottom w:w="70" w:type="dxa"/>
              <w:left w:w="50" w:type="dxa"/>
              <w:right w:w="50" w:type="dxa"/>
            </w:tcMar>
            <w:vAlign w:val="center"/>
            <w:vMerge/>
            <w:shd w:fill="F2F4F7"/>
          </w:tcPr>
          <w:p/>
        </w:tc>
        <w:tc>
          <w:tcPr>
            <w:tcW w:type="dxa" w:w="1619"/>
            <w:tcMar>
              <w:top w:w="70" w:type="dxa"/>
              <w:bottom w:w="70" w:type="dxa"/>
              <w:left w:w="50" w:type="dxa"/>
              <w:right w:w="50" w:type="dxa"/>
            </w:tcMar>
            <w:vAlign w:val="center"/>
            <w:vMerge/>
            <w:shd w:fill="F2F4F7"/>
          </w:tcPr>
          <w:p/>
        </w:tc>
        <w:tc>
          <w:tcPr>
            <w:tcW w:type="dxa" w:w="2160"/>
            <w:tcMar>
              <w:top w:w="70" w:type="dxa"/>
              <w:bottom w:w="70" w:type="dxa"/>
              <w:left w:w="50" w:type="dxa"/>
              <w:right w:w="50" w:type="dxa"/>
            </w:tcMar>
            <w:vAlign w:val="center"/>
            <w:shd w:fill="F2F4F7"/>
          </w:tcPr>
          <w:p>
            <w:pPr>
              <w:spacing w:line="252" w:lineRule="auto" w:before="40" w:after="40"/>
              <w:jc w:val="center"/>
            </w:pPr>
            <w:r/>
            <w:r>
              <w:rPr>
                <w:rFonts w:ascii="Times New Roman" w:hAnsi="Times New Roman"/>
                <w:b/>
                <w:sz w:val="19"/>
              </w:rPr>
              <w:t>Chỉ đạo của Lãnh đạo &amp;</w:t>
              <w:br/>
              <w:t>Hướng xử lý (Mẫu 03/TCD)</w:t>
            </w:r>
          </w:p>
        </w:tc>
        <w:tc>
          <w:tcPr>
            <w:tcW w:type="dxa" w:w="2016"/>
            <w:tcMar>
              <w:top w:w="70" w:type="dxa"/>
              <w:bottom w:w="70" w:type="dxa"/>
              <w:left w:w="50" w:type="dxa"/>
              <w:right w:w="50" w:type="dxa"/>
            </w:tcMar>
            <w:vAlign w:val="center"/>
            <w:shd w:fill="F2F4F7"/>
          </w:tcPr>
          <w:p>
            <w:pPr>
              <w:spacing w:line="252" w:lineRule="auto" w:before="40" w:after="40"/>
              <w:jc w:val="center"/>
            </w:pPr>
            <w:r/>
            <w:r>
              <w:rPr>
                <w:rFonts w:ascii="Times New Roman" w:hAnsi="Times New Roman"/>
                <w:b/>
                <w:sz w:val="19"/>
              </w:rPr>
              <w:t>Quá trình theo dõi, thụ lý</w:t>
              <w:br/>
              <w:t>&amp; Đơn vị giải quyết</w:t>
            </w:r>
          </w:p>
        </w:tc>
        <w:tc>
          <w:tcPr>
            <w:tcW w:type="dxa" w:w="1800"/>
            <w:tcMar>
              <w:top w:w="70" w:type="dxa"/>
              <w:bottom w:w="70" w:type="dxa"/>
              <w:left w:w="50" w:type="dxa"/>
              <w:right w:w="50" w:type="dxa"/>
            </w:tcMar>
            <w:vAlign w:val="center"/>
            <w:shd w:fill="F2F4F7"/>
          </w:tcPr>
          <w:p>
            <w:pPr>
              <w:spacing w:line="252" w:lineRule="auto" w:before="40" w:after="40"/>
              <w:jc w:val="center"/>
            </w:pPr>
            <w:r/>
            <w:r>
              <w:rPr>
                <w:rFonts w:ascii="Times New Roman" w:hAnsi="Times New Roman"/>
                <w:b/>
                <w:sz w:val="19"/>
              </w:rPr>
              <w:t>Kết quả giải quyết</w:t>
              <w:br/>
              <w:t>(Văn bản &amp; Ngày trả lời)</w:t>
            </w:r>
          </w:p>
        </w:tc>
        <w:tc>
          <w:tcPr>
            <w:tcW w:type="dxa" w:w="1619"/>
            <w:tcMar>
              <w:top w:w="70" w:type="dxa"/>
              <w:bottom w:w="70" w:type="dxa"/>
              <w:left w:w="50" w:type="dxa"/>
              <w:right w:w="50" w:type="dxa"/>
            </w:tcMar>
            <w:vAlign w:val="center"/>
            <w:vMerge/>
            <w:shd w:fill="F2F4F7"/>
          </w:tcPr>
          <w:p/>
        </w:tc>
      </w:tr>
      <w:tr>
        <w:trPr>
          <w:tblHeader/>
          <w:cantSplit/>
        </w:trPr>
        <w:tc>
          <w:tcPr>
            <w:tcW w:type="dxa" w:w="547"/>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(1)</w:t>
            </w:r>
          </w:p>
        </w:tc>
        <w:tc>
          <w:tcPr>
            <w:tcW w:type="dxa" w:w="1080"/>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(2)</w:t>
            </w:r>
          </w:p>
        </w:tc>
        <w:tc>
          <w:tcPr>
            <w:tcW w:type="dxa" w:w="1656"/>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(3)</w:t>
            </w:r>
          </w:p>
        </w:tc>
        <w:tc>
          <w:tcPr>
            <w:tcW w:type="dxa" w:w="1944"/>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(4)</w:t>
            </w:r>
          </w:p>
        </w:tc>
        <w:tc>
          <w:tcPr>
            <w:tcW w:type="dxa" w:w="2808"/>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(5)</w:t>
            </w:r>
          </w:p>
        </w:tc>
        <w:tc>
          <w:tcPr>
            <w:tcW w:type="dxa" w:w="2160"/>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(6)</w:t>
            </w:r>
          </w:p>
        </w:tc>
        <w:tc>
          <w:tcPr>
            <w:tcW w:type="dxa" w:w="2016"/>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(7)</w:t>
            </w:r>
          </w:p>
        </w:tc>
        <w:tc>
          <w:tcPr>
            <w:tcW w:type="dxa" w:w="1800"/>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(8)</w:t>
            </w:r>
          </w:p>
        </w:tc>
        <w:tc>
          <w:tcPr>
            <w:tcW w:type="dxa" w:w="648"/>
            <w:tcMar>
              <w:top w:w="70" w:type="dxa"/>
              <w:bottom w:w="70" w:type="dxa"/>
              <w:left w:w="50" w:type="dxa"/>
              <w:right w:w="50" w:type="dxa"/>
            </w:tcMar>
            <w:vAlign w:val="center"/>
            <w:shd w:fill="EAECEF"/>
          </w:tcPr>
          <w:p>
            <w:pPr>
              <w:spacing w:line="252" w:lineRule="auto" w:before="40" w:after="40"/>
              <w:jc w:val="center"/>
            </w:pPr>
            <w:r/>
            <w:r>
              <w:rPr>
                <w:rFonts w:ascii="Times New Roman" w:hAnsi="Times New Roman"/>
                <w:b w:val="0"/>
                <w:sz w:val="18"/>
              </w:rPr>
              <w:t>(9)</w:t>
            </w:r>
          </w:p>
        </w:tc>
      </w:tr>
      <w:tr>
        <w:trPr>
          <w:cantSplit/>
        </w:trPr>
        <w:tc>
          <w:tcPr>
            <w:tcW w:type="dxa" w:w="547"/>
            <w:tcMar>
              <w:top w:w="60" w:type="dxa"/>
              <w:bottom w:w="60" w:type="dxa"/>
              <w:left w:w="50" w:type="dxa"/>
              <w:right w:w="50" w:type="dxa"/>
            </w:tcMar>
            <w:vAlign w:val="top"/>
          </w:tcPr>
          <w:p>
            <w:pPr>
              <w:spacing w:line="276" w:lineRule="auto" w:before="20" w:after="40"/>
              <w:jc w:val="center"/>
            </w:pPr>
            <w:r/>
            <w:r>
              <w:rPr>
                <w:rFonts w:ascii="Times New Roman" w:hAnsi="Times New Roman"/>
                <w:b/>
                <w:sz w:val="19"/>
              </w:rPr>
              <w:t>1</w:t>
            </w:r>
          </w:p>
        </w:tc>
        <w:tc>
          <w:tcPr>
            <w:tcW w:type="dxa" w:w="1080"/>
            <w:tcMar>
              <w:top w:w="60" w:type="dxa"/>
              <w:bottom w:w="60" w:type="dxa"/>
              <w:left w:w="50" w:type="dxa"/>
              <w:right w:w="50" w:type="dxa"/>
            </w:tcMar>
            <w:vAlign w:val="top"/>
          </w:tcPr>
          <w:p>
            <w:pPr>
              <w:spacing w:line="276" w:lineRule="auto" w:before="20" w:after="40"/>
              <w:jc w:val="center"/>
            </w:pPr>
            <w:r/>
            <w:r>
              <w:rPr>
                <w:rFonts w:ascii="Times New Roman" w:hAnsi="Times New Roman"/>
                <w:sz w:val="19"/>
              </w:rPr>
              <w:t>08:30</w:t>
            </w:r>
          </w:p>
          <w:p>
            <w:pPr>
              <w:spacing w:line="276" w:lineRule="auto" w:before="0" w:after="40"/>
              <w:jc w:val="center"/>
            </w:pPr>
            <w:r>
              <w:rPr>
                <w:rFonts w:ascii="Times New Roman" w:hAnsi="Times New Roman"/>
                <w:sz w:val="19"/>
              </w:rPr>
              <w:t>05/10/2026</w:t>
            </w:r>
          </w:p>
        </w:tc>
        <w:tc>
          <w:tcPr>
            <w:tcW w:type="dxa" w:w="1656"/>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Đ/c Trần Văn Minh</w:t>
            </w:r>
          </w:p>
          <w:p>
            <w:pPr>
              <w:spacing w:line="276" w:lineRule="auto" w:before="0" w:after="40"/>
              <w:jc w:val="left"/>
            </w:pPr>
            <w:r>
              <w:rPr>
                <w:rFonts w:ascii="Times New Roman" w:hAnsi="Times New Roman"/>
                <w:sz w:val="19"/>
              </w:rPr>
              <w:t>- Giám đốc Chi nhánh</w:t>
            </w:r>
          </w:p>
          <w:p>
            <w:pPr>
              <w:spacing w:line="276" w:lineRule="auto" w:before="0" w:after="40"/>
              <w:jc w:val="left"/>
            </w:pPr>
            <w:r>
              <w:rPr>
                <w:rFonts w:ascii="Times New Roman" w:hAnsi="Times New Roman"/>
                <w:sz w:val="19"/>
              </w:rPr>
              <w:t>(Cán bộ phối hợp: Lê Thị Mai - Tổ HCTH)</w:t>
            </w:r>
          </w:p>
        </w:tc>
        <w:tc>
          <w:tcPr>
            <w:tcW w:type="dxa" w:w="1944"/>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Ông Nguyễn Văn Thành</w:t>
            </w:r>
          </w:p>
          <w:p>
            <w:pPr>
              <w:spacing w:line="276" w:lineRule="auto" w:before="0" w:after="40"/>
              <w:jc w:val="left"/>
            </w:pPr>
            <w:r>
              <w:rPr>
                <w:rFonts w:ascii="Times New Roman" w:hAnsi="Times New Roman"/>
                <w:sz w:val="19"/>
              </w:rPr>
              <w:t>CCCD: 074082001234</w:t>
            </w:r>
          </w:p>
          <w:p>
            <w:pPr>
              <w:spacing w:line="276" w:lineRule="auto" w:before="0" w:after="40"/>
              <w:jc w:val="left"/>
            </w:pPr>
            <w:r>
              <w:rPr>
                <w:rFonts w:ascii="Times New Roman" w:hAnsi="Times New Roman"/>
                <w:sz w:val="19"/>
              </w:rPr>
              <w:t>Địa chỉ: P. Phú Hòa, TP. Thủ Dầu Một</w:t>
            </w:r>
          </w:p>
          <w:p>
            <w:pPr>
              <w:spacing w:line="276" w:lineRule="auto" w:before="0" w:after="40"/>
              <w:jc w:val="left"/>
            </w:pPr>
            <w:r>
              <w:rPr>
                <w:rFonts w:ascii="Times New Roman" w:hAnsi="Times New Roman"/>
                <w:sz w:val="19"/>
              </w:rPr>
              <w:t>SĐT: 0913.456.789</w:t>
            </w:r>
          </w:p>
          <w:p>
            <w:pPr>
              <w:spacing w:line="276" w:lineRule="auto" w:before="0" w:after="40"/>
              <w:jc w:val="left"/>
            </w:pPr>
            <w:r>
              <w:rPr>
                <w:rFonts w:ascii="Times New Roman" w:hAnsi="Times New Roman"/>
                <w:sz w:val="19"/>
              </w:rPr>
              <w:t>(01 người)</w:t>
            </w:r>
          </w:p>
        </w:tc>
        <w:tc>
          <w:tcPr>
            <w:tcW w:type="dxa" w:w="2808"/>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Nội dung trao đổi: Khiếu nại hồ sơ xin chuyển mục đích sử dụng 150m² đất nông nghiệp sang đất ở và cấp đổi GCN bị trễ hạn 15 ngày so với phiếu hẹn. Công dân cần GCN để vay vốn ngân hàng.</w:t>
            </w:r>
          </w:p>
          <w:p>
            <w:pPr>
              <w:spacing w:line="276" w:lineRule="auto" w:before="0" w:after="40"/>
              <w:jc w:val="left"/>
            </w:pPr>
            <w:r>
              <w:rPr>
                <w:rFonts w:ascii="Times New Roman" w:hAnsi="Times New Roman"/>
                <w:b/>
                <w:sz w:val="19"/>
              </w:rPr>
              <w:t>- Loại đơn: Khiếu nại.</w:t>
            </w:r>
          </w:p>
        </w:tc>
        <w:tc>
          <w:tcPr>
            <w:tcW w:type="dxa" w:w="2160"/>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Lãnh đạo kết luận: Thuộc thẩm quyền giải quyết (Mẫu 03/TCD: đánh dấu x).</w:t>
            </w:r>
          </w:p>
          <w:p>
            <w:pPr>
              <w:spacing w:line="276" w:lineRule="auto" w:before="0" w:after="40"/>
              <w:jc w:val="left"/>
            </w:pPr>
            <w:r>
              <w:rPr>
                <w:rFonts w:ascii="Times New Roman" w:hAnsi="Times New Roman"/>
                <w:sz w:val="19"/>
              </w:rPr>
              <w:t>- Chỉ đạo: Nhận trách nhiệm về việc trễ hẹn; giao Tổ Đăng ký kiểm tra ngay quy hoạch phân khu 1/2000 và hoàn tất hồ sơ trình ký trong 03 ngày làm việc.</w:t>
            </w:r>
          </w:p>
        </w:tc>
        <w:tc>
          <w:tcPr>
            <w:tcW w:type="dxa" w:w="2016"/>
            <w:tcMar>
              <w:top w:w="60" w:type="dxa"/>
              <w:bottom w:w="60" w:type="dxa"/>
              <w:left w:w="50" w:type="dxa"/>
              <w:right w:w="50" w:type="dxa"/>
            </w:tcMar>
            <w:vAlign w:val="top"/>
          </w:tcPr>
          <w:p>
            <w:pPr>
              <w:spacing w:line="276" w:lineRule="auto" w:before="20" w:after="40"/>
              <w:jc w:val="left"/>
            </w:pPr>
            <w:r/>
            <w:r>
              <w:rPr>
                <w:rFonts w:ascii="Times New Roman" w:hAnsi="Times New Roman"/>
                <w:sz w:val="19"/>
              </w:rPr>
              <w:t>- Ngày 06/10: Tổ Kỹ thuật kiểm tra thực địa và hồ sơ địa chính.</w:t>
            </w:r>
          </w:p>
          <w:p>
            <w:pPr>
              <w:spacing w:line="276" w:lineRule="auto" w:before="0" w:after="40"/>
              <w:jc w:val="left"/>
            </w:pPr>
            <w:r>
              <w:rPr>
                <w:rFonts w:ascii="Times New Roman" w:hAnsi="Times New Roman"/>
                <w:sz w:val="19"/>
              </w:rPr>
              <w:t>- Ngày 07/10: Lập phiếu chuyển thông tin nghĩa vụ tài chính sang Chi cục Thuế.</w:t>
            </w:r>
          </w:p>
          <w:p>
            <w:pPr>
              <w:spacing w:line="276" w:lineRule="auto" w:before="0" w:after="40"/>
              <w:jc w:val="left"/>
            </w:pPr>
            <w:r>
              <w:rPr>
                <w:rFonts w:ascii="Times New Roman" w:hAnsi="Times New Roman"/>
                <w:sz w:val="19"/>
              </w:rPr>
              <w:t>- Ngày 08/10: Chi cục Thuế ra thông báo nộp thuế.</w:t>
            </w:r>
          </w:p>
        </w:tc>
        <w:tc>
          <w:tcPr>
            <w:tcW w:type="dxa" w:w="1800"/>
            <w:tcMar>
              <w:top w:w="60" w:type="dxa"/>
              <w:bottom w:w="60" w:type="dxa"/>
              <w:left w:w="50" w:type="dxa"/>
              <w:right w:w="50" w:type="dxa"/>
            </w:tcMar>
            <w:vAlign w:val="top"/>
          </w:tcPr>
          <w:p>
            <w:pPr>
              <w:spacing w:line="276" w:lineRule="auto" w:before="20" w:after="40"/>
              <w:jc w:val="left"/>
            </w:pPr>
            <w:r/>
            <w:r>
              <w:rPr>
                <w:rFonts w:ascii="Times New Roman" w:hAnsi="Times New Roman"/>
                <w:b/>
                <w:color w:val="006400"/>
                <w:sz w:val="19"/>
              </w:rPr>
              <w:t>- Đã giải quyết xong.</w:t>
            </w:r>
          </w:p>
          <w:p>
            <w:pPr>
              <w:spacing w:line="276" w:lineRule="auto" w:before="0" w:after="40"/>
              <w:jc w:val="left"/>
            </w:pPr>
            <w:r>
              <w:rPr>
                <w:rFonts w:ascii="Times New Roman" w:hAnsi="Times New Roman"/>
                <w:sz w:val="19"/>
              </w:rPr>
              <w:t>- Ban hành TB số 142/TB-VPĐK ngày 09/10/2026.</w:t>
            </w:r>
          </w:p>
          <w:p>
            <w:pPr>
              <w:spacing w:line="276" w:lineRule="auto" w:before="0" w:after="40"/>
              <w:jc w:val="left"/>
            </w:pPr>
            <w:r>
              <w:rPr>
                <w:rFonts w:ascii="Times New Roman" w:hAnsi="Times New Roman"/>
                <w:sz w:val="19"/>
              </w:rPr>
              <w:t>- Đã trao GCN mới cho công dân vào ngày 12/10/2026.</w:t>
            </w:r>
          </w:p>
          <w:p>
            <w:pPr>
              <w:spacing w:line="276" w:lineRule="auto" w:before="0" w:after="40"/>
              <w:jc w:val="left"/>
            </w:pPr>
            <w:r>
              <w:rPr>
                <w:rFonts w:ascii="Times New Roman" w:hAnsi="Times New Roman"/>
                <w:sz w:val="19"/>
              </w:rPr>
              <w:t>- Công dân đồng thuận, hài lòng.</w:t>
            </w:r>
          </w:p>
        </w:tc>
        <w:tc>
          <w:tcPr>
            <w:tcW w:type="dxa" w:w="648"/>
            <w:tcMar>
              <w:top w:w="60" w:type="dxa"/>
              <w:bottom w:w="60" w:type="dxa"/>
              <w:left w:w="50" w:type="dxa"/>
              <w:right w:w="50" w:type="dxa"/>
            </w:tcMar>
            <w:vAlign w:val="top"/>
          </w:tcPr>
          <w:p>
            <w:pPr>
              <w:spacing w:line="276" w:lineRule="auto" w:before="20" w:after="40"/>
              <w:jc w:val="center"/>
            </w:pPr>
            <w:r/>
            <w:r>
              <w:rPr>
                <w:rFonts w:ascii="Times New Roman" w:hAnsi="Times New Roman"/>
                <w:sz w:val="19"/>
              </w:rPr>
              <w:t>Lưu hồ sơ: 142/KN</w:t>
            </w:r>
          </w:p>
        </w:tc>
      </w:tr>
      <w:tr>
        <w:trPr>
          <w:cantSplit/>
        </w:trPr>
        <w:tc>
          <w:tcPr>
            <w:tcW w:type="dxa" w:w="547"/>
            <w:tcMar>
              <w:top w:w="60" w:type="dxa"/>
              <w:bottom w:w="60" w:type="dxa"/>
              <w:left w:w="50" w:type="dxa"/>
              <w:right w:w="50" w:type="dxa"/>
            </w:tcMar>
            <w:vAlign w:val="top"/>
            <w:shd w:fill="FAFAFB"/>
          </w:tcPr>
          <w:p>
            <w:pPr>
              <w:spacing w:line="276" w:lineRule="auto" w:before="20" w:after="40"/>
              <w:jc w:val="center"/>
            </w:pPr>
            <w:r/>
            <w:r>
              <w:rPr>
                <w:rFonts w:ascii="Times New Roman" w:hAnsi="Times New Roman"/>
                <w:b/>
                <w:sz w:val="19"/>
              </w:rPr>
              <w:t>2</w:t>
            </w:r>
          </w:p>
        </w:tc>
        <w:tc>
          <w:tcPr>
            <w:tcW w:type="dxa" w:w="1080"/>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09:45</w:t>
            </w:r>
          </w:p>
          <w:p>
            <w:pPr>
              <w:spacing w:line="276" w:lineRule="auto" w:before="0" w:after="40"/>
              <w:jc w:val="center"/>
            </w:pPr>
            <w:r>
              <w:rPr>
                <w:rFonts w:ascii="Times New Roman" w:hAnsi="Times New Roman"/>
                <w:sz w:val="19"/>
              </w:rPr>
              <w:t>08/10/2026</w:t>
            </w:r>
          </w:p>
        </w:tc>
        <w:tc>
          <w:tcPr>
            <w:tcW w:type="dxa" w:w="1656"/>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Đ/c Nguyễn Thị Lan</w:t>
            </w:r>
          </w:p>
          <w:p>
            <w:pPr>
              <w:spacing w:line="276" w:lineRule="auto" w:before="0" w:after="40"/>
              <w:jc w:val="left"/>
            </w:pPr>
            <w:r>
              <w:rPr>
                <w:rFonts w:ascii="Times New Roman" w:hAnsi="Times New Roman"/>
                <w:sz w:val="19"/>
              </w:rPr>
              <w:t>- Phó Giám đốc Chi nhánh</w:t>
            </w:r>
          </w:p>
          <w:p>
            <w:pPr>
              <w:spacing w:line="276" w:lineRule="auto" w:before="0" w:after="40"/>
              <w:jc w:val="left"/>
            </w:pPr>
            <w:r>
              <w:rPr>
                <w:rFonts w:ascii="Times New Roman" w:hAnsi="Times New Roman"/>
                <w:sz w:val="19"/>
              </w:rPr>
              <w:t>(Cán bộ phối hợp: Phạm Văn Tuấn - Tổ KTĐC)</w:t>
            </w:r>
          </w:p>
        </w:tc>
        <w:tc>
          <w:tcPr>
            <w:tcW w:type="dxa" w:w="1944"/>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Bà Lê Thị Bích</w:t>
            </w:r>
          </w:p>
          <w:p>
            <w:pPr>
              <w:spacing w:line="276" w:lineRule="auto" w:before="0" w:after="40"/>
              <w:jc w:val="left"/>
            </w:pPr>
            <w:r>
              <w:rPr>
                <w:rFonts w:ascii="Times New Roman" w:hAnsi="Times New Roman"/>
                <w:sz w:val="19"/>
              </w:rPr>
              <w:t>CCCD: 074185002345</w:t>
            </w:r>
          </w:p>
          <w:p>
            <w:pPr>
              <w:spacing w:line="276" w:lineRule="auto" w:before="0" w:after="40"/>
              <w:jc w:val="left"/>
            </w:pPr>
            <w:r>
              <w:rPr>
                <w:rFonts w:ascii="Times New Roman" w:hAnsi="Times New Roman"/>
                <w:sz w:val="19"/>
              </w:rPr>
              <w:t>Địa chỉ: P. Tân An, TP. Thủ Dầu Một</w:t>
            </w:r>
          </w:p>
          <w:p>
            <w:pPr>
              <w:spacing w:line="276" w:lineRule="auto" w:before="0" w:after="40"/>
              <w:jc w:val="left"/>
            </w:pPr>
            <w:r>
              <w:rPr>
                <w:rFonts w:ascii="Times New Roman" w:hAnsi="Times New Roman"/>
                <w:sz w:val="19"/>
              </w:rPr>
              <w:t>SĐT: 0988.123.456</w:t>
            </w:r>
          </w:p>
          <w:p>
            <w:pPr>
              <w:spacing w:line="276" w:lineRule="auto" w:before="0" w:after="40"/>
              <w:jc w:val="left"/>
            </w:pPr>
            <w:r>
              <w:rPr>
                <w:rFonts w:ascii="Times New Roman" w:hAnsi="Times New Roman"/>
                <w:sz w:val="19"/>
              </w:rPr>
              <w:t>(01 người)</w:t>
            </w:r>
          </w:p>
        </w:tc>
        <w:tc>
          <w:tcPr>
            <w:tcW w:type="dxa" w:w="2808"/>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Nội dung trao đổi: Phản ánh hộ liền kề (ông Đỗ Văn H) tự ý xây hàng rào bê tông lấn chiếm 0.8m vào lối đi chung đã có trên bản đồ địa chính từ năm 2010. Đề nghị chi nhánh đo đạc hiện trạng và trích lục hồ sơ.</w:t>
            </w:r>
          </w:p>
          <w:p>
            <w:pPr>
              <w:spacing w:line="276" w:lineRule="auto" w:before="0" w:after="40"/>
              <w:jc w:val="left"/>
            </w:pPr>
            <w:r>
              <w:rPr>
                <w:rFonts w:ascii="Times New Roman" w:hAnsi="Times New Roman"/>
                <w:b/>
                <w:sz w:val="19"/>
              </w:rPr>
              <w:t>- Loại đơn: Kiến nghị, phản ánh.</w:t>
            </w:r>
          </w:p>
        </w:tc>
        <w:tc>
          <w:tcPr>
            <w:tcW w:type="dxa" w:w="2160"/>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Lãnh đạo kết luận: Chấp thuận đo đạc trích lục bản đồ phục vụ giải quyết lối đi chung.</w:t>
            </w:r>
          </w:p>
          <w:p>
            <w:pPr>
              <w:spacing w:line="276" w:lineRule="auto" w:before="0" w:after="40"/>
              <w:jc w:val="left"/>
            </w:pPr>
            <w:r>
              <w:rPr>
                <w:rFonts w:ascii="Times New Roman" w:hAnsi="Times New Roman"/>
                <w:sz w:val="19"/>
              </w:rPr>
              <w:t>- Hướng xử lý: Hướng dẫn thẩm quyền hòa giải tranh chấp đất đai thuộc UBND phường Tân An (Điều 235 Luật Đất đai).</w:t>
            </w:r>
          </w:p>
        </w:tc>
        <w:tc>
          <w:tcPr>
            <w:tcW w:type="dxa" w:w="201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t>- Ngày 12/10: Cán bộ địa chính phối hợp UBND phường Tân An đo đạc hiện trạng ranh giới thực địa có 2 hộ chứng kiến.</w:t>
            </w:r>
          </w:p>
          <w:p>
            <w:pPr>
              <w:spacing w:line="276" w:lineRule="auto" w:before="0" w:after="40"/>
              <w:jc w:val="left"/>
            </w:pPr>
            <w:r>
              <w:rPr>
                <w:rFonts w:ascii="Times New Roman" w:hAnsi="Times New Roman"/>
                <w:sz w:val="19"/>
              </w:rPr>
              <w:t>- Ngày 16/10: Lập biên bản đo đạc xác định phần chồng lấn 0.82m vào lối đi chung.</w:t>
            </w:r>
          </w:p>
        </w:tc>
        <w:tc>
          <w:tcPr>
            <w:tcW w:type="dxa" w:w="1800"/>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color w:val="006400"/>
                <w:sz w:val="19"/>
              </w:rPr>
              <w:t>- Đã giải quyết xong.</w:t>
            </w:r>
          </w:p>
          <w:p>
            <w:pPr>
              <w:spacing w:line="276" w:lineRule="auto" w:before="0" w:after="40"/>
              <w:jc w:val="left"/>
            </w:pPr>
            <w:r>
              <w:rPr>
                <w:rFonts w:ascii="Times New Roman" w:hAnsi="Times New Roman"/>
                <w:sz w:val="19"/>
              </w:rPr>
              <w:t>- Ban hành Văn bản trích sao số 856/VPĐK-KT ngày 18/10/2026 chuyển UBND P. Tân An.</w:t>
            </w:r>
          </w:p>
          <w:p>
            <w:pPr>
              <w:spacing w:line="276" w:lineRule="auto" w:before="0" w:after="40"/>
              <w:jc w:val="left"/>
            </w:pPr>
            <w:r>
              <w:rPr>
                <w:rFonts w:ascii="Times New Roman" w:hAnsi="Times New Roman"/>
                <w:sz w:val="19"/>
              </w:rPr>
              <w:t>- UBND phường đã hòa giải thành công, hộ ông H tự tháo dỡ phần vi phạm.</w:t>
            </w:r>
          </w:p>
        </w:tc>
        <w:tc>
          <w:tcPr>
            <w:tcW w:type="dxa" w:w="648"/>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Lưu hồ sơ: 856/PA</w:t>
            </w:r>
          </w:p>
        </w:tc>
      </w:tr>
      <w:tr>
        <w:trPr>
          <w:cantSplit/>
        </w:trPr>
        <w:tc>
          <w:tcPr>
            <w:tcW w:type="dxa" w:w="547"/>
            <w:tcMar>
              <w:top w:w="60" w:type="dxa"/>
              <w:bottom w:w="60" w:type="dxa"/>
              <w:left w:w="50" w:type="dxa"/>
              <w:right w:w="50" w:type="dxa"/>
            </w:tcMar>
            <w:vAlign w:val="top"/>
          </w:tcPr>
          <w:p>
            <w:pPr>
              <w:spacing w:line="276" w:lineRule="auto" w:before="20" w:after="40"/>
              <w:jc w:val="center"/>
            </w:pPr>
            <w:r/>
            <w:r>
              <w:rPr>
                <w:rFonts w:ascii="Times New Roman" w:hAnsi="Times New Roman"/>
                <w:b/>
                <w:sz w:val="19"/>
              </w:rPr>
              <w:t>3</w:t>
            </w:r>
          </w:p>
        </w:tc>
        <w:tc>
          <w:tcPr>
            <w:tcW w:type="dxa" w:w="1080"/>
            <w:tcMar>
              <w:top w:w="60" w:type="dxa"/>
              <w:bottom w:w="60" w:type="dxa"/>
              <w:left w:w="50" w:type="dxa"/>
              <w:right w:w="50" w:type="dxa"/>
            </w:tcMar>
            <w:vAlign w:val="top"/>
          </w:tcPr>
          <w:p>
            <w:pPr>
              <w:spacing w:line="276" w:lineRule="auto" w:before="20" w:after="40"/>
              <w:jc w:val="center"/>
            </w:pPr>
            <w:r/>
            <w:r>
              <w:rPr>
                <w:rFonts w:ascii="Times New Roman" w:hAnsi="Times New Roman"/>
                <w:sz w:val="19"/>
              </w:rPr>
              <w:t>14:00</w:t>
            </w:r>
          </w:p>
          <w:p>
            <w:pPr>
              <w:spacing w:line="276" w:lineRule="auto" w:before="0" w:after="40"/>
              <w:jc w:val="center"/>
            </w:pPr>
            <w:r>
              <w:rPr>
                <w:rFonts w:ascii="Times New Roman" w:hAnsi="Times New Roman"/>
                <w:sz w:val="19"/>
              </w:rPr>
              <w:t>12/10/2026</w:t>
            </w:r>
          </w:p>
        </w:tc>
        <w:tc>
          <w:tcPr>
            <w:tcW w:type="dxa" w:w="1656"/>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Đ/c Trần Văn Minh</w:t>
            </w:r>
          </w:p>
          <w:p>
            <w:pPr>
              <w:spacing w:line="276" w:lineRule="auto" w:before="0" w:after="40"/>
              <w:jc w:val="left"/>
            </w:pPr>
            <w:r>
              <w:rPr>
                <w:rFonts w:ascii="Times New Roman" w:hAnsi="Times New Roman"/>
                <w:sz w:val="19"/>
              </w:rPr>
              <w:t>- Giám đốc Chi nhánh</w:t>
            </w:r>
          </w:p>
          <w:p>
            <w:pPr>
              <w:spacing w:line="276" w:lineRule="auto" w:before="0" w:after="40"/>
              <w:jc w:val="left"/>
            </w:pPr>
            <w:r>
              <w:rPr>
                <w:rFonts w:ascii="Times New Roman" w:hAnsi="Times New Roman"/>
                <w:sz w:val="19"/>
              </w:rPr>
              <w:t>(Cán bộ phối hợp: Hoàng Văn Nam - Đại diện HĐBT)</w:t>
            </w:r>
          </w:p>
        </w:tc>
        <w:tc>
          <w:tcPr>
            <w:tcW w:type="dxa" w:w="1944"/>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Đoàn 04 hộ dân</w:t>
            </w:r>
          </w:p>
          <w:p>
            <w:pPr>
              <w:spacing w:line="276" w:lineRule="auto" w:before="0" w:after="40"/>
              <w:jc w:val="left"/>
            </w:pPr>
            <w:r>
              <w:rPr>
                <w:rFonts w:ascii="Times New Roman" w:hAnsi="Times New Roman"/>
                <w:b/>
                <w:sz w:val="19"/>
              </w:rPr>
              <w:t>(Đại diện: Ông Phan Đình Trọng)</w:t>
            </w:r>
          </w:p>
          <w:p>
            <w:pPr>
              <w:spacing w:line="276" w:lineRule="auto" w:before="0" w:after="40"/>
              <w:jc w:val="left"/>
            </w:pPr>
            <w:r>
              <w:rPr>
                <w:rFonts w:ascii="Times New Roman" w:hAnsi="Times New Roman"/>
                <w:sz w:val="19"/>
              </w:rPr>
              <w:t>CCCD: 074075003456</w:t>
            </w:r>
          </w:p>
          <w:p>
            <w:pPr>
              <w:spacing w:line="276" w:lineRule="auto" w:before="0" w:after="40"/>
              <w:jc w:val="left"/>
            </w:pPr>
            <w:r>
              <w:rPr>
                <w:rFonts w:ascii="Times New Roman" w:hAnsi="Times New Roman"/>
                <w:sz w:val="19"/>
              </w:rPr>
              <w:t>Địa chỉ: P. Hiệp Thành, TP. TDM</w:t>
            </w:r>
          </w:p>
          <w:p>
            <w:pPr>
              <w:spacing w:line="276" w:lineRule="auto" w:before="0" w:after="40"/>
              <w:jc w:val="left"/>
            </w:pPr>
            <w:r>
              <w:rPr>
                <w:rFonts w:ascii="Times New Roman" w:hAnsi="Times New Roman"/>
                <w:sz w:val="19"/>
              </w:rPr>
              <w:t>SĐT: 0903.789.012</w:t>
            </w:r>
          </w:p>
          <w:p>
            <w:pPr>
              <w:spacing w:line="276" w:lineRule="auto" w:before="0" w:after="40"/>
              <w:jc w:val="left"/>
            </w:pPr>
            <w:r>
              <w:rPr>
                <w:rFonts w:ascii="Times New Roman" w:hAnsi="Times New Roman"/>
                <w:sz w:val="19"/>
              </w:rPr>
              <w:t>(Số lượng: 04 người)</w:t>
            </w:r>
          </w:p>
        </w:tc>
        <w:tc>
          <w:tcPr>
            <w:tcW w:type="dxa" w:w="2808"/>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Nội dung trao đổi: Khiếu nại phương án bồi thường, hỗ trợ Dự án Nâng cấp Quốc lộ 13; kiến nghị đơn giá đền bù đất thổ cư thấp hơn thực tế và đề nghị bố trí thêm 01 suất tái định cư cho hộ phụ.</w:t>
            </w:r>
          </w:p>
          <w:p>
            <w:pPr>
              <w:spacing w:line="276" w:lineRule="auto" w:before="0" w:after="40"/>
              <w:jc w:val="left"/>
            </w:pPr>
            <w:r>
              <w:rPr>
                <w:rFonts w:ascii="Times New Roman" w:hAnsi="Times New Roman"/>
                <w:b/>
                <w:sz w:val="19"/>
              </w:rPr>
              <w:t>- Loại đơn: Khiếu nại đông người.</w:t>
            </w:r>
          </w:p>
        </w:tc>
        <w:tc>
          <w:tcPr>
            <w:tcW w:type="dxa" w:w="2160"/>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Lãnh đạo kết luận: Đối thoại, lắng nghe từng hộ; giải thích rõ khung chính sách bồi thường theo bảng giá đất tỉnh.</w:t>
            </w:r>
          </w:p>
          <w:p>
            <w:pPr>
              <w:spacing w:line="276" w:lineRule="auto" w:before="0" w:after="40"/>
              <w:jc w:val="left"/>
            </w:pPr>
            <w:r>
              <w:rPr>
                <w:rFonts w:ascii="Times New Roman" w:hAnsi="Times New Roman"/>
                <w:sz w:val="19"/>
              </w:rPr>
              <w:t>- Hướng xử lý: Chuyển văn bản kiến nghị đến Hội đồng BTGPMB TP. Thủ Dầu Một rà soát lại hiện trạng tài sản trên đất.</w:t>
            </w:r>
          </w:p>
        </w:tc>
        <w:tc>
          <w:tcPr>
            <w:tcW w:type="dxa" w:w="2016"/>
            <w:tcMar>
              <w:top w:w="60" w:type="dxa"/>
              <w:bottom w:w="60" w:type="dxa"/>
              <w:left w:w="50" w:type="dxa"/>
              <w:right w:w="50" w:type="dxa"/>
            </w:tcMar>
            <w:vAlign w:val="top"/>
          </w:tcPr>
          <w:p>
            <w:pPr>
              <w:spacing w:line="276" w:lineRule="auto" w:before="20" w:after="40"/>
              <w:jc w:val="left"/>
            </w:pPr>
            <w:r/>
            <w:r>
              <w:rPr>
                <w:rFonts w:ascii="Times New Roman" w:hAnsi="Times New Roman"/>
                <w:sz w:val="19"/>
              </w:rPr>
              <w:t>- Ngày 14/10: Phát hành VB số 1024/VPĐK chuyển đơn đến Hội đồng Bồi thường TP. Thủ Dầu Một.</w:t>
            </w:r>
          </w:p>
          <w:p>
            <w:pPr>
              <w:spacing w:line="276" w:lineRule="auto" w:before="0" w:after="40"/>
              <w:jc w:val="left"/>
            </w:pPr>
            <w:r>
              <w:rPr>
                <w:rFonts w:ascii="Times New Roman" w:hAnsi="Times New Roman"/>
                <w:sz w:val="19"/>
              </w:rPr>
              <w:t>- Ngày 19/10: Hội đồng bồi thường tổ chức kiểm đếm bổ sung tài sản cây trồng và công trình phụ.</w:t>
            </w:r>
          </w:p>
        </w:tc>
        <w:tc>
          <w:tcPr>
            <w:tcW w:type="dxa" w:w="1800"/>
            <w:tcMar>
              <w:top w:w="60" w:type="dxa"/>
              <w:bottom w:w="60" w:type="dxa"/>
              <w:left w:w="50" w:type="dxa"/>
              <w:right w:w="50" w:type="dxa"/>
            </w:tcMar>
            <w:vAlign w:val="top"/>
          </w:tcPr>
          <w:p>
            <w:pPr>
              <w:spacing w:line="276" w:lineRule="auto" w:before="20" w:after="40"/>
              <w:jc w:val="left"/>
            </w:pPr>
            <w:r/>
            <w:r>
              <w:rPr>
                <w:rFonts w:ascii="Times New Roman" w:hAnsi="Times New Roman"/>
                <w:b/>
                <w:color w:val="006400"/>
                <w:sz w:val="19"/>
              </w:rPr>
              <w:t>- Đã giải quyết xong.</w:t>
            </w:r>
          </w:p>
          <w:p>
            <w:pPr>
              <w:spacing w:line="276" w:lineRule="auto" w:before="0" w:after="40"/>
              <w:jc w:val="left"/>
            </w:pPr>
            <w:r>
              <w:rPr>
                <w:rFonts w:ascii="Times New Roman" w:hAnsi="Times New Roman"/>
                <w:sz w:val="19"/>
              </w:rPr>
              <w:t>- UBND TP ban hành TB số 389/TB-UBND ngày 23/10/2026 phê duyệt bổ sung kinh phí bồi thường tài sản; giải thích rõ tiêu chí xét cấp suất tái định cư phụ.</w:t>
            </w:r>
          </w:p>
          <w:p>
            <w:pPr>
              <w:spacing w:line="276" w:lineRule="auto" w:before="0" w:after="40"/>
              <w:jc w:val="left"/>
            </w:pPr>
            <w:r>
              <w:rPr>
                <w:rFonts w:ascii="Times New Roman" w:hAnsi="Times New Roman"/>
                <w:sz w:val="19"/>
              </w:rPr>
              <w:t>- Các hộ đồng thuận nhận tiền đợt 2.</w:t>
            </w:r>
          </w:p>
        </w:tc>
        <w:tc>
          <w:tcPr>
            <w:tcW w:type="dxa" w:w="648"/>
            <w:tcMar>
              <w:top w:w="60" w:type="dxa"/>
              <w:bottom w:w="60" w:type="dxa"/>
              <w:left w:w="50" w:type="dxa"/>
              <w:right w:w="50" w:type="dxa"/>
            </w:tcMar>
            <w:vAlign w:val="top"/>
          </w:tcPr>
          <w:p>
            <w:pPr>
              <w:spacing w:line="276" w:lineRule="auto" w:before="20" w:after="40"/>
              <w:jc w:val="center"/>
            </w:pPr>
            <w:r/>
            <w:r>
              <w:rPr>
                <w:rFonts w:ascii="Times New Roman" w:hAnsi="Times New Roman"/>
                <w:sz w:val="19"/>
              </w:rPr>
              <w:t>Vụ việc đông người phức tạp</w:t>
            </w:r>
          </w:p>
        </w:tc>
      </w:tr>
      <w:tr>
        <w:trPr>
          <w:cantSplit/>
        </w:trPr>
        <w:tc>
          <w:tcPr>
            <w:tcW w:type="dxa" w:w="547"/>
            <w:tcMar>
              <w:top w:w="60" w:type="dxa"/>
              <w:bottom w:w="60" w:type="dxa"/>
              <w:left w:w="50" w:type="dxa"/>
              <w:right w:w="50" w:type="dxa"/>
            </w:tcMar>
            <w:vAlign w:val="top"/>
            <w:shd w:fill="FAFAFB"/>
          </w:tcPr>
          <w:p>
            <w:pPr>
              <w:spacing w:line="276" w:lineRule="auto" w:before="20" w:after="40"/>
              <w:jc w:val="center"/>
            </w:pPr>
            <w:r/>
            <w:r>
              <w:rPr>
                <w:rFonts w:ascii="Times New Roman" w:hAnsi="Times New Roman"/>
                <w:b/>
                <w:sz w:val="19"/>
              </w:rPr>
              <w:t>4</w:t>
            </w:r>
          </w:p>
        </w:tc>
        <w:tc>
          <w:tcPr>
            <w:tcW w:type="dxa" w:w="1080"/>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08:30</w:t>
            </w:r>
          </w:p>
          <w:p>
            <w:pPr>
              <w:spacing w:line="276" w:lineRule="auto" w:before="0" w:after="40"/>
              <w:jc w:val="center"/>
            </w:pPr>
            <w:r>
              <w:rPr>
                <w:rFonts w:ascii="Times New Roman" w:hAnsi="Times New Roman"/>
                <w:sz w:val="19"/>
              </w:rPr>
              <w:t>15/10/2026</w:t>
            </w:r>
          </w:p>
        </w:tc>
        <w:tc>
          <w:tcPr>
            <w:tcW w:type="dxa" w:w="1656"/>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Đ/c Võ Thành Nam</w:t>
            </w:r>
          </w:p>
          <w:p>
            <w:pPr>
              <w:spacing w:line="276" w:lineRule="auto" w:before="0" w:after="40"/>
              <w:jc w:val="left"/>
            </w:pPr>
            <w:r>
              <w:rPr>
                <w:rFonts w:ascii="Times New Roman" w:hAnsi="Times New Roman"/>
                <w:sz w:val="19"/>
              </w:rPr>
              <w:t>- Phó Chủ tịch UBND tỉnh</w:t>
            </w:r>
          </w:p>
          <w:p>
            <w:pPr>
              <w:spacing w:line="276" w:lineRule="auto" w:before="0" w:after="40"/>
              <w:jc w:val="left"/>
            </w:pPr>
            <w:r>
              <w:rPr>
                <w:rFonts w:ascii="Times New Roman" w:hAnsi="Times New Roman"/>
                <w:sz w:val="19"/>
              </w:rPr>
              <w:t>(Tiếp trực tuyến: Ban TCD tỉnh, Sở TN&amp;MT, Chi nhánh)</w:t>
            </w:r>
          </w:p>
        </w:tc>
        <w:tc>
          <w:tcPr>
            <w:tcW w:type="dxa" w:w="1944"/>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Bà Vũ Thị Hoài</w:t>
            </w:r>
          </w:p>
          <w:p>
            <w:pPr>
              <w:spacing w:line="276" w:lineRule="auto" w:before="0" w:after="40"/>
              <w:jc w:val="left"/>
            </w:pPr>
            <w:r>
              <w:rPr>
                <w:rFonts w:ascii="Times New Roman" w:hAnsi="Times New Roman"/>
                <w:sz w:val="19"/>
              </w:rPr>
              <w:t>CCCD: 074180004567</w:t>
            </w:r>
          </w:p>
          <w:p>
            <w:pPr>
              <w:spacing w:line="276" w:lineRule="auto" w:before="0" w:after="40"/>
              <w:jc w:val="left"/>
            </w:pPr>
            <w:r>
              <w:rPr>
                <w:rFonts w:ascii="Times New Roman" w:hAnsi="Times New Roman"/>
                <w:sz w:val="19"/>
              </w:rPr>
              <w:t>Địa chỉ: Xã An Tây, TX. Bến Cát</w:t>
            </w:r>
          </w:p>
          <w:p>
            <w:pPr>
              <w:spacing w:line="276" w:lineRule="auto" w:before="0" w:after="40"/>
              <w:jc w:val="left"/>
            </w:pPr>
            <w:r>
              <w:rPr>
                <w:rFonts w:ascii="Times New Roman" w:hAnsi="Times New Roman"/>
                <w:sz w:val="19"/>
              </w:rPr>
              <w:t>SĐT: 0979.234.567</w:t>
            </w:r>
          </w:p>
          <w:p>
            <w:pPr>
              <w:spacing w:line="276" w:lineRule="auto" w:before="0" w:after="40"/>
              <w:jc w:val="left"/>
            </w:pPr>
            <w:r>
              <w:rPr>
                <w:rFonts w:ascii="Times New Roman" w:hAnsi="Times New Roman"/>
                <w:sz w:val="19"/>
              </w:rPr>
              <w:t>(Tiếp trực tuyến - 02 người)</w:t>
            </w:r>
          </w:p>
        </w:tc>
        <w:tc>
          <w:tcPr>
            <w:tcW w:type="dxa" w:w="2808"/>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Nội dung trao đổi: Phiên tiếp dân trực tuyến theo Chương V Nghị định 154/2026/NĐ-CP. Công dân phản ánh việc cấp GCN đất khai hoang trước 1993 bị ách tắc do hồ sơ địa chính qua các thời kỳ có sự sai lệch thông tin tờ thửa.</w:t>
            </w:r>
          </w:p>
          <w:p>
            <w:pPr>
              <w:spacing w:line="276" w:lineRule="auto" w:before="0" w:after="40"/>
              <w:jc w:val="left"/>
            </w:pPr>
            <w:r>
              <w:rPr>
                <w:rFonts w:ascii="Times New Roman" w:hAnsi="Times New Roman"/>
                <w:b/>
                <w:sz w:val="19"/>
              </w:rPr>
              <w:t>- Loại đơn: Kiến nghị, phản ánh.</w:t>
            </w:r>
          </w:p>
        </w:tc>
        <w:tc>
          <w:tcPr>
            <w:tcW w:type="dxa" w:w="2160"/>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Lãnh đạo kết luận: Ghi âm, ghi hình trực tuyến lưu trữ bảo mật (Điều 24 NĐ 154). Giao Thanh tra tỉnh phối hợp Chi nhánh VPĐKĐĐ Bến Cát rà soát đối chiếu hồ sơ địa chính gốc năm 1993, báo cáo trước 10/11/2026.</w:t>
            </w:r>
          </w:p>
        </w:tc>
        <w:tc>
          <w:tcPr>
            <w:tcW w:type="dxa" w:w="201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t>- Ngày 16/10: Ban TCD tỉnh phát hành TB kết luận số 215/TB-UBND.</w:t>
            </w:r>
          </w:p>
          <w:p>
            <w:pPr>
              <w:spacing w:line="276" w:lineRule="auto" w:before="0" w:after="40"/>
              <w:jc w:val="left"/>
            </w:pPr>
            <w:r>
              <w:rPr>
                <w:rFonts w:ascii="Times New Roman" w:hAnsi="Times New Roman"/>
                <w:sz w:val="19"/>
              </w:rPr>
              <w:t>- Ngày 20/10: Đoàn liên ngành kiểm tra thực địa, lấy ý kiến nhân chứng khu dân cư xác nhận sử dụng đất ổn định, không tranh chấp.</w:t>
            </w:r>
          </w:p>
        </w:tc>
        <w:tc>
          <w:tcPr>
            <w:tcW w:type="dxa" w:w="1800"/>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t>- Đang giải quyết theo lộ trình.</w:t>
            </w:r>
          </w:p>
          <w:p>
            <w:pPr>
              <w:spacing w:line="276" w:lineRule="auto" w:before="0" w:after="40"/>
              <w:jc w:val="left"/>
            </w:pPr>
            <w:r>
              <w:rPr>
                <w:rFonts w:ascii="Times New Roman" w:hAnsi="Times New Roman"/>
                <w:sz w:val="19"/>
              </w:rPr>
              <w:t>- Thanh tra tỉnh đã có Báo cáo số 88/BC-TTr khẳng định đủ điều kiện công nhận QSDĐ.</w:t>
            </w:r>
          </w:p>
          <w:p>
            <w:pPr>
              <w:spacing w:line="276" w:lineRule="auto" w:before="0" w:after="40"/>
              <w:jc w:val="left"/>
            </w:pPr>
            <w:r>
              <w:rPr>
                <w:rFonts w:ascii="Times New Roman" w:hAnsi="Times New Roman"/>
                <w:sz w:val="19"/>
              </w:rPr>
              <w:t>- Chi nhánh Bến Cát đang hoàn tất thủ tục cấp GCN, dự kiến trao vào ngày 10/11/2026.</w:t>
            </w:r>
          </w:p>
        </w:tc>
        <w:tc>
          <w:tcPr>
            <w:tcW w:type="dxa" w:w="648"/>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Tiếp trực tuyến kết nối điểm cầu</w:t>
            </w:r>
          </w:p>
        </w:tc>
      </w:tr>
      <w:tr>
        <w:trPr>
          <w:cantSplit/>
        </w:trPr>
        <w:tc>
          <w:tcPr>
            <w:tcW w:type="dxa" w:w="547"/>
            <w:tcMar>
              <w:top w:w="60" w:type="dxa"/>
              <w:bottom w:w="60" w:type="dxa"/>
              <w:left w:w="50" w:type="dxa"/>
              <w:right w:w="50" w:type="dxa"/>
            </w:tcMar>
            <w:vAlign w:val="top"/>
          </w:tcPr>
          <w:p>
            <w:pPr>
              <w:spacing w:line="276" w:lineRule="auto" w:before="20" w:after="40"/>
              <w:jc w:val="center"/>
            </w:pPr>
            <w:r/>
            <w:r>
              <w:rPr>
                <w:rFonts w:ascii="Times New Roman" w:hAnsi="Times New Roman"/>
                <w:b/>
                <w:sz w:val="19"/>
              </w:rPr>
              <w:t>5</w:t>
            </w:r>
          </w:p>
        </w:tc>
        <w:tc>
          <w:tcPr>
            <w:tcW w:type="dxa" w:w="1080"/>
            <w:tcMar>
              <w:top w:w="60" w:type="dxa"/>
              <w:bottom w:w="60" w:type="dxa"/>
              <w:left w:w="50" w:type="dxa"/>
              <w:right w:w="50" w:type="dxa"/>
            </w:tcMar>
            <w:vAlign w:val="top"/>
          </w:tcPr>
          <w:p>
            <w:pPr>
              <w:spacing w:line="276" w:lineRule="auto" w:before="20" w:after="40"/>
              <w:jc w:val="center"/>
            </w:pPr>
            <w:r/>
            <w:r>
              <w:rPr>
                <w:rFonts w:ascii="Times New Roman" w:hAnsi="Times New Roman"/>
                <w:sz w:val="19"/>
              </w:rPr>
              <w:t>15:30</w:t>
            </w:r>
          </w:p>
          <w:p>
            <w:pPr>
              <w:spacing w:line="276" w:lineRule="auto" w:before="0" w:after="40"/>
              <w:jc w:val="center"/>
            </w:pPr>
            <w:r>
              <w:rPr>
                <w:rFonts w:ascii="Times New Roman" w:hAnsi="Times New Roman"/>
                <w:sz w:val="19"/>
              </w:rPr>
              <w:t>18/10/2026</w:t>
            </w:r>
          </w:p>
        </w:tc>
        <w:tc>
          <w:tcPr>
            <w:tcW w:type="dxa" w:w="1656"/>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Đ/c Trần Văn Minh</w:t>
            </w:r>
          </w:p>
          <w:p>
            <w:pPr>
              <w:spacing w:line="276" w:lineRule="auto" w:before="0" w:after="40"/>
              <w:jc w:val="left"/>
            </w:pPr>
            <w:r>
              <w:rPr>
                <w:rFonts w:ascii="Times New Roman" w:hAnsi="Times New Roman"/>
                <w:sz w:val="19"/>
              </w:rPr>
              <w:t>- Giám đốc Chi nhánh</w:t>
            </w:r>
          </w:p>
          <w:p>
            <w:pPr>
              <w:spacing w:line="276" w:lineRule="auto" w:before="0" w:after="40"/>
              <w:jc w:val="left"/>
            </w:pPr>
            <w:r>
              <w:rPr>
                <w:rFonts w:ascii="Times New Roman" w:hAnsi="Times New Roman"/>
                <w:sz w:val="19"/>
              </w:rPr>
              <w:t>(Cán bộ phối hợp: Nguyễn Văn Bình - TT Nhân dân)</w:t>
            </w:r>
          </w:p>
        </w:tc>
        <w:tc>
          <w:tcPr>
            <w:tcW w:type="dxa" w:w="1944"/>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Ông Đặng Quốc Huy</w:t>
            </w:r>
          </w:p>
          <w:p>
            <w:pPr>
              <w:spacing w:line="276" w:lineRule="auto" w:before="0" w:after="40"/>
              <w:jc w:val="left"/>
            </w:pPr>
            <w:r>
              <w:rPr>
                <w:rFonts w:ascii="Times New Roman" w:hAnsi="Times New Roman"/>
                <w:sz w:val="19"/>
              </w:rPr>
              <w:t>CCCD: 074090005678</w:t>
            </w:r>
          </w:p>
          <w:p>
            <w:pPr>
              <w:spacing w:line="276" w:lineRule="auto" w:before="0" w:after="40"/>
              <w:jc w:val="left"/>
            </w:pPr>
            <w:r>
              <w:rPr>
                <w:rFonts w:ascii="Times New Roman" w:hAnsi="Times New Roman"/>
                <w:sz w:val="19"/>
              </w:rPr>
              <w:t>Địa chỉ: P. Phú Lợi, TP. Thủ Dầu Một</w:t>
            </w:r>
          </w:p>
          <w:p>
            <w:pPr>
              <w:spacing w:line="276" w:lineRule="auto" w:before="0" w:after="40"/>
              <w:jc w:val="left"/>
            </w:pPr>
            <w:r>
              <w:rPr>
                <w:rFonts w:ascii="Times New Roman" w:hAnsi="Times New Roman"/>
                <w:sz w:val="19"/>
              </w:rPr>
              <w:t>(Đơn tố cáo - Giữ bí mật nhân thân theo Điều 4 NĐ 154)</w:t>
            </w:r>
          </w:p>
        </w:tc>
        <w:tc>
          <w:tcPr>
            <w:tcW w:type="dxa" w:w="2808"/>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Nội dung trao đổi: Tố cáo viên chức đo đạc chi nhánh có hành vi gợi ý vòi vĩnh chi phí bồi dưỡng khi đo đạc tách thửa đất số 45, tờ bản đồ 12. Công dân cung cấp tin nhắn và chứng từ ghi âm đối chất.</w:t>
            </w:r>
          </w:p>
          <w:p>
            <w:pPr>
              <w:spacing w:line="276" w:lineRule="auto" w:before="0" w:after="40"/>
              <w:jc w:val="left"/>
            </w:pPr>
            <w:r>
              <w:rPr>
                <w:rFonts w:ascii="Times New Roman" w:hAnsi="Times New Roman"/>
                <w:b/>
                <w:sz w:val="19"/>
              </w:rPr>
              <w:t>- Loại đơn: Tố cáo cán bộ.</w:t>
            </w:r>
          </w:p>
        </w:tc>
        <w:tc>
          <w:tcPr>
            <w:tcW w:type="dxa" w:w="2160"/>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Lãnh đạo kết luận: Bảo mật thông tin người tố cáo. Lập Giấy biên nhận tài liệu theo Mẫu số 02/TCD ban hành kèm NĐ 154.</w:t>
            </w:r>
          </w:p>
          <w:p>
            <w:pPr>
              <w:spacing w:line="276" w:lineRule="auto" w:before="0" w:after="40"/>
              <w:jc w:val="left"/>
            </w:pPr>
            <w:r>
              <w:rPr>
                <w:rFonts w:ascii="Times New Roman" w:hAnsi="Times New Roman"/>
                <w:sz w:val="19"/>
              </w:rPr>
              <w:t>- Chỉ đạo: Giao Tổ Giám sát nội bộ thụ lý kiểm tra kỷ luật nghiêm trong 07 ngày, không bao che.</w:t>
            </w:r>
          </w:p>
        </w:tc>
        <w:tc>
          <w:tcPr>
            <w:tcW w:type="dxa" w:w="2016"/>
            <w:tcMar>
              <w:top w:w="60" w:type="dxa"/>
              <w:bottom w:w="60" w:type="dxa"/>
              <w:left w:w="50" w:type="dxa"/>
              <w:right w:w="50" w:type="dxa"/>
            </w:tcMar>
            <w:vAlign w:val="top"/>
          </w:tcPr>
          <w:p>
            <w:pPr>
              <w:spacing w:line="276" w:lineRule="auto" w:before="20" w:after="40"/>
              <w:jc w:val="left"/>
            </w:pPr>
            <w:r/>
            <w:r>
              <w:rPr>
                <w:rFonts w:ascii="Times New Roman" w:hAnsi="Times New Roman"/>
                <w:sz w:val="19"/>
              </w:rPr>
              <w:t>- Ngày 20/10: Ban hành Quyết định xác minh số 88/QĐ-CN23.</w:t>
            </w:r>
          </w:p>
          <w:p>
            <w:pPr>
              <w:spacing w:line="276" w:lineRule="auto" w:before="0" w:after="40"/>
              <w:jc w:val="left"/>
            </w:pPr>
            <w:r>
              <w:rPr>
                <w:rFonts w:ascii="Times New Roman" w:hAnsi="Times New Roman"/>
                <w:sz w:val="19"/>
              </w:rPr>
              <w:t>- Ngày 22/10: Làm việc trực tiếp với viên chức bị tố cáo, viên chức đã tường trình thừa nhận vi phạm quy chế.</w:t>
            </w:r>
          </w:p>
        </w:tc>
        <w:tc>
          <w:tcPr>
            <w:tcW w:type="dxa" w:w="1800"/>
            <w:tcMar>
              <w:top w:w="60" w:type="dxa"/>
              <w:bottom w:w="60" w:type="dxa"/>
              <w:left w:w="50" w:type="dxa"/>
              <w:right w:w="50" w:type="dxa"/>
            </w:tcMar>
            <w:vAlign w:val="top"/>
          </w:tcPr>
          <w:p>
            <w:pPr>
              <w:spacing w:line="276" w:lineRule="auto" w:before="20" w:after="40"/>
              <w:jc w:val="left"/>
            </w:pPr>
            <w:r/>
            <w:r>
              <w:rPr>
                <w:rFonts w:ascii="Times New Roman" w:hAnsi="Times New Roman"/>
                <w:b/>
                <w:color w:val="006400"/>
                <w:sz w:val="19"/>
              </w:rPr>
              <w:t>- Đã giải quyết xong.</w:t>
            </w:r>
          </w:p>
          <w:p>
            <w:pPr>
              <w:spacing w:line="276" w:lineRule="auto" w:before="0" w:after="40"/>
              <w:jc w:val="left"/>
            </w:pPr>
            <w:r>
              <w:rPr>
                <w:rFonts w:ascii="Times New Roman" w:hAnsi="Times New Roman"/>
                <w:sz w:val="19"/>
              </w:rPr>
              <w:t>- Ban hành QĐ kỷ luật Cảnh cáo đối với viên chức, điều chuyển công tác khác.</w:t>
            </w:r>
          </w:p>
          <w:p>
            <w:pPr>
              <w:spacing w:line="276" w:lineRule="auto" w:before="0" w:after="40"/>
              <w:jc w:val="left"/>
            </w:pPr>
            <w:r>
              <w:rPr>
                <w:rFonts w:ascii="Times New Roman" w:hAnsi="Times New Roman"/>
                <w:sz w:val="19"/>
              </w:rPr>
              <w:t>- Ngày 25/10: Giám đốc ký Kết luận tố cáo số 12/KL-CN23 thông báo kết quả cho công dân.</w:t>
            </w:r>
          </w:p>
        </w:tc>
        <w:tc>
          <w:tcPr>
            <w:tcW w:type="dxa" w:w="648"/>
            <w:tcMar>
              <w:top w:w="60" w:type="dxa"/>
              <w:bottom w:w="60" w:type="dxa"/>
              <w:left w:w="50" w:type="dxa"/>
              <w:right w:w="50" w:type="dxa"/>
            </w:tcMar>
            <w:vAlign w:val="top"/>
          </w:tcPr>
          <w:p>
            <w:pPr>
              <w:spacing w:line="276" w:lineRule="auto" w:before="20" w:after="40"/>
              <w:jc w:val="center"/>
            </w:pPr>
            <w:r/>
            <w:r>
              <w:rPr>
                <w:rFonts w:ascii="Times New Roman" w:hAnsi="Times New Roman"/>
                <w:sz w:val="19"/>
              </w:rPr>
              <w:t>Bảo mật tài liệu theo Mẫu 02/TCD</w:t>
            </w:r>
          </w:p>
        </w:tc>
      </w:tr>
      <w:tr>
        <w:trPr>
          <w:cantSplit/>
        </w:trPr>
        <w:tc>
          <w:tcPr>
            <w:tcW w:type="dxa" w:w="547"/>
            <w:tcMar>
              <w:top w:w="60" w:type="dxa"/>
              <w:bottom w:w="60" w:type="dxa"/>
              <w:left w:w="50" w:type="dxa"/>
              <w:right w:w="50" w:type="dxa"/>
            </w:tcMar>
            <w:vAlign w:val="top"/>
            <w:shd w:fill="FAFAFB"/>
          </w:tcPr>
          <w:p>
            <w:pPr>
              <w:spacing w:line="276" w:lineRule="auto" w:before="20" w:after="40"/>
              <w:jc w:val="center"/>
            </w:pPr>
            <w:r/>
            <w:r>
              <w:rPr>
                <w:rFonts w:ascii="Times New Roman" w:hAnsi="Times New Roman"/>
                <w:b/>
                <w:sz w:val="19"/>
              </w:rPr>
              <w:t>6</w:t>
            </w:r>
          </w:p>
        </w:tc>
        <w:tc>
          <w:tcPr>
            <w:tcW w:type="dxa" w:w="1080"/>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10:15</w:t>
            </w:r>
          </w:p>
          <w:p>
            <w:pPr>
              <w:spacing w:line="276" w:lineRule="auto" w:before="0" w:after="40"/>
              <w:jc w:val="center"/>
            </w:pPr>
            <w:r>
              <w:rPr>
                <w:rFonts w:ascii="Times New Roman" w:hAnsi="Times New Roman"/>
                <w:sz w:val="19"/>
              </w:rPr>
              <w:t>21/10/2026</w:t>
            </w:r>
          </w:p>
        </w:tc>
        <w:tc>
          <w:tcPr>
            <w:tcW w:type="dxa" w:w="1656"/>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Đ/c Nguyễn Thị Lan</w:t>
            </w:r>
          </w:p>
          <w:p>
            <w:pPr>
              <w:spacing w:line="276" w:lineRule="auto" w:before="0" w:after="40"/>
              <w:jc w:val="left"/>
            </w:pPr>
            <w:r>
              <w:rPr>
                <w:rFonts w:ascii="Times New Roman" w:hAnsi="Times New Roman"/>
                <w:sz w:val="19"/>
              </w:rPr>
              <w:t>- Phó Giám đốc Chi nhánh</w:t>
            </w:r>
          </w:p>
          <w:p>
            <w:pPr>
              <w:spacing w:line="276" w:lineRule="auto" w:before="0" w:after="40"/>
              <w:jc w:val="left"/>
            </w:pPr>
            <w:r>
              <w:rPr>
                <w:rFonts w:ascii="Times New Roman" w:hAnsi="Times New Roman"/>
                <w:sz w:val="19"/>
              </w:rPr>
              <w:t>(Cán bộ phối hợp: Cán bộ tiếp dân thường trực)</w:t>
            </w:r>
          </w:p>
        </w:tc>
        <w:tc>
          <w:tcPr>
            <w:tcW w:type="dxa" w:w="1944"/>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Ông Lý Văn Đạt</w:t>
            </w:r>
          </w:p>
          <w:p>
            <w:pPr>
              <w:spacing w:line="276" w:lineRule="auto" w:before="0" w:after="40"/>
              <w:jc w:val="left"/>
            </w:pPr>
            <w:r>
              <w:rPr>
                <w:rFonts w:ascii="Times New Roman" w:hAnsi="Times New Roman"/>
                <w:sz w:val="19"/>
              </w:rPr>
              <w:t>CCCD: 074068006789</w:t>
            </w:r>
          </w:p>
          <w:p>
            <w:pPr>
              <w:spacing w:line="276" w:lineRule="auto" w:before="0" w:after="40"/>
              <w:jc w:val="left"/>
            </w:pPr>
            <w:r>
              <w:rPr>
                <w:rFonts w:ascii="Times New Roman" w:hAnsi="Times New Roman"/>
                <w:sz w:val="19"/>
              </w:rPr>
              <w:t>Địa chỉ: P. Chánh Nghĩa, TP. TDM</w:t>
            </w:r>
          </w:p>
          <w:p>
            <w:pPr>
              <w:spacing w:line="276" w:lineRule="auto" w:before="0" w:after="40"/>
              <w:jc w:val="left"/>
            </w:pPr>
            <w:r>
              <w:rPr>
                <w:rFonts w:ascii="Times New Roman" w:hAnsi="Times New Roman"/>
                <w:sz w:val="19"/>
              </w:rPr>
              <w:t>SĐT: 0918.999.888</w:t>
            </w:r>
          </w:p>
          <w:p>
            <w:pPr>
              <w:spacing w:line="276" w:lineRule="auto" w:before="0" w:after="40"/>
              <w:jc w:val="left"/>
            </w:pPr>
            <w:r>
              <w:rPr>
                <w:rFonts w:ascii="Times New Roman" w:hAnsi="Times New Roman"/>
                <w:sz w:val="19"/>
              </w:rPr>
              <w:t>(01 người)</w:t>
            </w:r>
          </w:p>
        </w:tc>
        <w:tc>
          <w:tcPr>
            <w:tcW w:type="dxa" w:w="2808"/>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Nội dung trao đổi: Yêu cầu đòi lại 500m² đất nông nghiệp do ông bà để lại từ trước năm 1975. Vụ việc này đã được UBND TP và UBND tỉnh giải quyết khiếu nại lần 1, lần 2 đúng pháp luật; công dân không có tình tiết mới.</w:t>
            </w:r>
          </w:p>
          <w:p>
            <w:pPr>
              <w:spacing w:line="276" w:lineRule="auto" w:before="0" w:after="40"/>
              <w:jc w:val="left"/>
            </w:pPr>
            <w:r>
              <w:rPr>
                <w:rFonts w:ascii="Times New Roman" w:hAnsi="Times New Roman"/>
                <w:b/>
                <w:sz w:val="19"/>
              </w:rPr>
              <w:t>- Loại đơn: Khiếu nại đã hết thẩm quyền.</w:t>
            </w:r>
          </w:p>
        </w:tc>
        <w:tc>
          <w:tcPr>
            <w:tcW w:type="dxa" w:w="2160"/>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Lãnh đạo kết luận: Áp dụng Điểm h Khoản 1 Điều 4 Nghị định 154/2026/NĐ-CP: Từ chối tiếp công dân do vụ việc đã được cơ quan thẩm quyền giải quyết đúng chính sách pháp luật và không có chứng cứ mới.</w:t>
            </w:r>
          </w:p>
          <w:p>
            <w:pPr>
              <w:spacing w:line="276" w:lineRule="auto" w:before="0" w:after="40"/>
              <w:jc w:val="left"/>
            </w:pPr>
            <w:r>
              <w:rPr>
                <w:rFonts w:ascii="Times New Roman" w:hAnsi="Times New Roman"/>
                <w:sz w:val="19"/>
              </w:rPr>
              <w:t>- Chỉ đạo: Ban hành Thông báo từ chối tiếp công dân.</w:t>
            </w:r>
          </w:p>
        </w:tc>
        <w:tc>
          <w:tcPr>
            <w:tcW w:type="dxa" w:w="201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t>- Cán bộ tiếp dân giải thích trực tiếp căn cứ pháp luật cho công dân tại bàn tiếp dân.</w:t>
            </w:r>
          </w:p>
          <w:p>
            <w:pPr>
              <w:spacing w:line="276" w:lineRule="auto" w:before="0" w:after="40"/>
              <w:jc w:val="left"/>
            </w:pPr>
            <w:r>
              <w:rPr>
                <w:rFonts w:ascii="Times New Roman" w:hAnsi="Times New Roman"/>
                <w:sz w:val="19"/>
              </w:rPr>
              <w:t>- Lập hồ sơ trình ban hành Thông báo theo Mẫu số 01/TCD ban hành kèm NĐ 154 trong thời hạn 03 ngày làm việc.</w:t>
            </w:r>
          </w:p>
        </w:tc>
        <w:tc>
          <w:tcPr>
            <w:tcW w:type="dxa" w:w="1800"/>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t>- Đã xử lý xong.</w:t>
            </w:r>
          </w:p>
          <w:p>
            <w:pPr>
              <w:spacing w:line="276" w:lineRule="auto" w:before="0" w:after="40"/>
              <w:jc w:val="left"/>
            </w:pPr>
            <w:r>
              <w:rPr>
                <w:rFonts w:ascii="Times New Roman" w:hAnsi="Times New Roman"/>
                <w:sz w:val="19"/>
              </w:rPr>
              <w:t>- Ngày 23/10/2026: Ban hành Thông báo từ chối tiếp công dân số 68/TB-CN23 (theo Mẫu 01/TCD) giao cho công dân và gửi báo cáo Ban Tiếp công dân cấp trên.</w:t>
            </w:r>
          </w:p>
        </w:tc>
        <w:tc>
          <w:tcPr>
            <w:tcW w:type="dxa" w:w="648"/>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Ban hành Mẫu 01/TCD NĐ 154</w:t>
            </w:r>
          </w:p>
        </w:tc>
      </w:tr>
      <w:tr>
        <w:trPr>
          <w:cantSplit/>
        </w:trPr>
        <w:tc>
          <w:tcPr>
            <w:tcW w:type="dxa" w:w="547"/>
            <w:tcMar>
              <w:top w:w="60" w:type="dxa"/>
              <w:bottom w:w="60" w:type="dxa"/>
              <w:left w:w="50" w:type="dxa"/>
              <w:right w:w="50" w:type="dxa"/>
            </w:tcMar>
            <w:vAlign w:val="top"/>
          </w:tcPr>
          <w:p>
            <w:pPr>
              <w:spacing w:line="276" w:lineRule="auto" w:before="20" w:after="40"/>
              <w:jc w:val="center"/>
            </w:pPr>
            <w:r/>
            <w:r>
              <w:rPr>
                <w:rFonts w:ascii="Times New Roman" w:hAnsi="Times New Roman"/>
                <w:b/>
                <w:sz w:val="19"/>
              </w:rPr>
              <w:t>7</w:t>
            </w:r>
          </w:p>
        </w:tc>
        <w:tc>
          <w:tcPr>
            <w:tcW w:type="dxa" w:w="1080"/>
            <w:tcMar>
              <w:top w:w="60" w:type="dxa"/>
              <w:bottom w:w="60" w:type="dxa"/>
              <w:left w:w="50" w:type="dxa"/>
              <w:right w:w="50" w:type="dxa"/>
            </w:tcMar>
            <w:vAlign w:val="top"/>
          </w:tcPr>
          <w:p>
            <w:pPr>
              <w:spacing w:line="276" w:lineRule="auto" w:before="20" w:after="40"/>
              <w:jc w:val="center"/>
            </w:pPr>
            <w:r/>
            <w:r>
              <w:rPr>
                <w:rFonts w:ascii="Times New Roman" w:hAnsi="Times New Roman"/>
                <w:sz w:val="19"/>
              </w:rPr>
              <w:t>09:00</w:t>
            </w:r>
          </w:p>
          <w:p>
            <w:pPr>
              <w:spacing w:line="276" w:lineRule="auto" w:before="0" w:after="40"/>
              <w:jc w:val="center"/>
            </w:pPr>
            <w:r>
              <w:rPr>
                <w:rFonts w:ascii="Times New Roman" w:hAnsi="Times New Roman"/>
                <w:sz w:val="19"/>
              </w:rPr>
              <w:t>23/10/2026</w:t>
            </w:r>
          </w:p>
        </w:tc>
        <w:tc>
          <w:tcPr>
            <w:tcW w:type="dxa" w:w="1656"/>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Đ/c Trần Văn Minh</w:t>
            </w:r>
          </w:p>
          <w:p>
            <w:pPr>
              <w:spacing w:line="276" w:lineRule="auto" w:before="0" w:after="40"/>
              <w:jc w:val="left"/>
            </w:pPr>
            <w:r>
              <w:rPr>
                <w:rFonts w:ascii="Times New Roman" w:hAnsi="Times New Roman"/>
                <w:sz w:val="19"/>
              </w:rPr>
              <w:t>- Giám đốc Chi nhánh</w:t>
            </w:r>
          </w:p>
          <w:p>
            <w:pPr>
              <w:spacing w:line="276" w:lineRule="auto" w:before="0" w:after="40"/>
              <w:jc w:val="left"/>
            </w:pPr>
            <w:r>
              <w:rPr>
                <w:rFonts w:ascii="Times New Roman" w:hAnsi="Times New Roman"/>
                <w:sz w:val="19"/>
              </w:rPr>
              <w:t>(Cán bộ phối hợp: Đỗ Thị Cúc - Tổ Hành chính)</w:t>
            </w:r>
          </w:p>
        </w:tc>
        <w:tc>
          <w:tcPr>
            <w:tcW w:type="dxa" w:w="1944"/>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Bà Mai Thị Hồng Loan</w:t>
            </w:r>
          </w:p>
          <w:p>
            <w:pPr>
              <w:spacing w:line="276" w:lineRule="auto" w:before="0" w:after="40"/>
              <w:jc w:val="left"/>
            </w:pPr>
            <w:r>
              <w:rPr>
                <w:rFonts w:ascii="Times New Roman" w:hAnsi="Times New Roman"/>
                <w:sz w:val="19"/>
              </w:rPr>
              <w:t>CCCD: 074192007890</w:t>
            </w:r>
          </w:p>
          <w:p>
            <w:pPr>
              <w:spacing w:line="276" w:lineRule="auto" w:before="0" w:after="40"/>
              <w:jc w:val="left"/>
            </w:pPr>
            <w:r>
              <w:rPr>
                <w:rFonts w:ascii="Times New Roman" w:hAnsi="Times New Roman"/>
                <w:sz w:val="19"/>
              </w:rPr>
              <w:t>Địa chỉ: P. Phú Lợi, TP. Thủ Dầu Một</w:t>
            </w:r>
          </w:p>
          <w:p>
            <w:pPr>
              <w:spacing w:line="276" w:lineRule="auto" w:before="0" w:after="40"/>
              <w:jc w:val="left"/>
            </w:pPr>
            <w:r>
              <w:rPr>
                <w:rFonts w:ascii="Times New Roman" w:hAnsi="Times New Roman"/>
                <w:sz w:val="19"/>
              </w:rPr>
              <w:t>SĐT: 0933.222.111</w:t>
            </w:r>
          </w:p>
          <w:p>
            <w:pPr>
              <w:spacing w:line="276" w:lineRule="auto" w:before="0" w:after="40"/>
              <w:jc w:val="left"/>
            </w:pPr>
            <w:r>
              <w:rPr>
                <w:rFonts w:ascii="Times New Roman" w:hAnsi="Times New Roman"/>
                <w:sz w:val="19"/>
              </w:rPr>
              <w:t>(01 người)</w:t>
            </w:r>
          </w:p>
        </w:tc>
        <w:tc>
          <w:tcPr>
            <w:tcW w:type="dxa" w:w="2808"/>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Nội dung trao đổi: Đề nghị đính chính thông tin số căn cước công dân và cập nhật diện tích tăng thêm do đo đạc lại trên GCN quyền sở hữu nhà ở và đất ở số BD 123456.</w:t>
            </w:r>
          </w:p>
          <w:p>
            <w:pPr>
              <w:spacing w:line="276" w:lineRule="auto" w:before="0" w:after="40"/>
              <w:jc w:val="left"/>
            </w:pPr>
            <w:r>
              <w:rPr>
                <w:rFonts w:ascii="Times New Roman" w:hAnsi="Times New Roman"/>
                <w:b/>
                <w:sz w:val="19"/>
              </w:rPr>
              <w:t>- Loại đơn: Kiến nghị giải quyết TTHC.</w:t>
            </w:r>
          </w:p>
        </w:tc>
        <w:tc>
          <w:tcPr>
            <w:tcW w:type="dxa" w:w="2160"/>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Lãnh đạo kết luận: Hồ sơ rõ ràng, thuộc thẩm quyền giải quyết ngay (Khoản 3 Điều 25 NĐ 154).</w:t>
            </w:r>
          </w:p>
          <w:p>
            <w:pPr>
              <w:spacing w:line="276" w:lineRule="auto" w:before="0" w:after="40"/>
              <w:jc w:val="left"/>
            </w:pPr>
            <w:r>
              <w:rPr>
                <w:rFonts w:ascii="Times New Roman" w:hAnsi="Times New Roman"/>
                <w:sz w:val="19"/>
              </w:rPr>
              <w:t>- Chỉ đạo: Tiếp nhận hồ sơ trực tiếp, hẹn thời gian trả kết quả sau 03 ngày làm việc (không yêu cầu nộp thêm giấy tờ thừa).</w:t>
            </w:r>
          </w:p>
        </w:tc>
        <w:tc>
          <w:tcPr>
            <w:tcW w:type="dxa" w:w="2016"/>
            <w:tcMar>
              <w:top w:w="60" w:type="dxa"/>
              <w:bottom w:w="60" w:type="dxa"/>
              <w:left w:w="50" w:type="dxa"/>
              <w:right w:w="50" w:type="dxa"/>
            </w:tcMar>
            <w:vAlign w:val="top"/>
          </w:tcPr>
          <w:p>
            <w:pPr>
              <w:spacing w:line="276" w:lineRule="auto" w:before="20" w:after="40"/>
              <w:jc w:val="left"/>
            </w:pPr>
            <w:r/>
            <w:r>
              <w:rPr>
                <w:rFonts w:ascii="Times New Roman" w:hAnsi="Times New Roman"/>
                <w:sz w:val="19"/>
              </w:rPr>
              <w:t>- Ngày 23/10: Cán bộ tiếp nhận vào sổ và chuyển ngay cho Tổ Đăng ký biến động.</w:t>
            </w:r>
          </w:p>
          <w:p>
            <w:pPr>
              <w:spacing w:line="276" w:lineRule="auto" w:before="0" w:after="40"/>
              <w:jc w:val="left"/>
            </w:pPr>
            <w:r>
              <w:rPr>
                <w:rFonts w:ascii="Times New Roman" w:hAnsi="Times New Roman"/>
                <w:sz w:val="19"/>
              </w:rPr>
              <w:t>- Ngày 24/10: Tổ Đăng ký in trang bổ sung đính chính thông tin CCCD và diện tích.</w:t>
            </w:r>
          </w:p>
        </w:tc>
        <w:tc>
          <w:tcPr>
            <w:tcW w:type="dxa" w:w="1800"/>
            <w:tcMar>
              <w:top w:w="60" w:type="dxa"/>
              <w:bottom w:w="60" w:type="dxa"/>
              <w:left w:w="50" w:type="dxa"/>
              <w:right w:w="50" w:type="dxa"/>
            </w:tcMar>
            <w:vAlign w:val="top"/>
          </w:tcPr>
          <w:p>
            <w:pPr>
              <w:spacing w:line="276" w:lineRule="auto" w:before="20" w:after="40"/>
              <w:jc w:val="left"/>
            </w:pPr>
            <w:r/>
            <w:r>
              <w:rPr>
                <w:rFonts w:ascii="Times New Roman" w:hAnsi="Times New Roman"/>
                <w:b/>
                <w:color w:val="006400"/>
                <w:sz w:val="19"/>
              </w:rPr>
              <w:t>- Đã giải quyết xong.</w:t>
            </w:r>
          </w:p>
          <w:p>
            <w:pPr>
              <w:spacing w:line="276" w:lineRule="auto" w:before="0" w:after="40"/>
              <w:jc w:val="left"/>
            </w:pPr>
            <w:r>
              <w:rPr>
                <w:rFonts w:ascii="Times New Roman" w:hAnsi="Times New Roman"/>
                <w:sz w:val="19"/>
              </w:rPr>
              <w:t>- Trao GCN đã đính chính cho bà Loan vào ngày 26/10/2026.</w:t>
            </w:r>
          </w:p>
          <w:p>
            <w:pPr>
              <w:spacing w:line="276" w:lineRule="auto" w:before="0" w:after="40"/>
              <w:jc w:val="left"/>
            </w:pPr>
            <w:r>
              <w:rPr>
                <w:rFonts w:ascii="Times New Roman" w:hAnsi="Times New Roman"/>
                <w:sz w:val="19"/>
              </w:rPr>
              <w:t>- Bà Loan ký nhận và đánh giá rất hài lòng trên Cổng Dịch vụ công.</w:t>
            </w:r>
          </w:p>
        </w:tc>
        <w:tc>
          <w:tcPr>
            <w:tcW w:type="dxa" w:w="648"/>
            <w:tcMar>
              <w:top w:w="60" w:type="dxa"/>
              <w:bottom w:w="60" w:type="dxa"/>
              <w:left w:w="50" w:type="dxa"/>
              <w:right w:w="50" w:type="dxa"/>
            </w:tcMar>
            <w:vAlign w:val="top"/>
          </w:tcPr>
          <w:p>
            <w:pPr>
              <w:spacing w:line="276" w:lineRule="auto" w:before="20" w:after="40"/>
              <w:jc w:val="center"/>
            </w:pPr>
            <w:r/>
            <w:r>
              <w:rPr>
                <w:rFonts w:ascii="Times New Roman" w:hAnsi="Times New Roman"/>
                <w:sz w:val="19"/>
              </w:rPr>
              <w:t>Giải quyết nhanh trong 3 ngày</w:t>
            </w:r>
          </w:p>
        </w:tc>
      </w:tr>
      <w:tr>
        <w:trPr>
          <w:cantSplit/>
        </w:trPr>
        <w:tc>
          <w:tcPr>
            <w:tcW w:type="dxa" w:w="547"/>
            <w:tcMar>
              <w:top w:w="60" w:type="dxa"/>
              <w:bottom w:w="60" w:type="dxa"/>
              <w:left w:w="50" w:type="dxa"/>
              <w:right w:w="50" w:type="dxa"/>
            </w:tcMar>
            <w:vAlign w:val="top"/>
            <w:shd w:fill="FAFAFB"/>
          </w:tcPr>
          <w:p>
            <w:pPr>
              <w:spacing w:line="276" w:lineRule="auto" w:before="20" w:after="40"/>
              <w:jc w:val="center"/>
            </w:pPr>
            <w:r/>
            <w:r>
              <w:rPr>
                <w:rFonts w:ascii="Times New Roman" w:hAnsi="Times New Roman"/>
                <w:b/>
                <w:sz w:val="19"/>
              </w:rPr>
              <w:t>8</w:t>
            </w:r>
          </w:p>
        </w:tc>
        <w:tc>
          <w:tcPr>
            <w:tcW w:type="dxa" w:w="1080"/>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14:30</w:t>
            </w:r>
          </w:p>
          <w:p>
            <w:pPr>
              <w:spacing w:line="276" w:lineRule="auto" w:before="0" w:after="40"/>
              <w:jc w:val="center"/>
            </w:pPr>
            <w:r>
              <w:rPr>
                <w:rFonts w:ascii="Times New Roman" w:hAnsi="Times New Roman"/>
                <w:sz w:val="19"/>
              </w:rPr>
              <w:t>24/10/2026</w:t>
            </w:r>
          </w:p>
        </w:tc>
        <w:tc>
          <w:tcPr>
            <w:tcW w:type="dxa" w:w="1656"/>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Đ/c Nguyễn Thị Lan</w:t>
            </w:r>
          </w:p>
          <w:p>
            <w:pPr>
              <w:spacing w:line="276" w:lineRule="auto" w:before="0" w:after="40"/>
              <w:jc w:val="left"/>
            </w:pPr>
            <w:r>
              <w:rPr>
                <w:rFonts w:ascii="Times New Roman" w:hAnsi="Times New Roman"/>
                <w:sz w:val="19"/>
              </w:rPr>
              <w:t>- Phó Giám đốc Chi nhánh</w:t>
            </w:r>
          </w:p>
          <w:p>
            <w:pPr>
              <w:spacing w:line="276" w:lineRule="auto" w:before="0" w:after="40"/>
              <w:jc w:val="left"/>
            </w:pPr>
            <w:r>
              <w:rPr>
                <w:rFonts w:ascii="Times New Roman" w:hAnsi="Times New Roman"/>
                <w:sz w:val="19"/>
              </w:rPr>
              <w:t>(Cán bộ phối hợp: Tổ Kỹ thuật địa chính)</w:t>
            </w:r>
          </w:p>
        </w:tc>
        <w:tc>
          <w:tcPr>
            <w:tcW w:type="dxa" w:w="1944"/>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Ông Huỳnh Tấn Phát</w:t>
            </w:r>
          </w:p>
          <w:p>
            <w:pPr>
              <w:spacing w:line="276" w:lineRule="auto" w:before="0" w:after="40"/>
              <w:jc w:val="left"/>
            </w:pPr>
            <w:r>
              <w:rPr>
                <w:rFonts w:ascii="Times New Roman" w:hAnsi="Times New Roman"/>
                <w:sz w:val="19"/>
              </w:rPr>
              <w:t>CCCD: 074085008901</w:t>
            </w:r>
          </w:p>
          <w:p>
            <w:pPr>
              <w:spacing w:line="276" w:lineRule="auto" w:before="0" w:after="40"/>
              <w:jc w:val="left"/>
            </w:pPr>
            <w:r>
              <w:rPr>
                <w:rFonts w:ascii="Times New Roman" w:hAnsi="Times New Roman"/>
                <w:sz w:val="19"/>
              </w:rPr>
              <w:t>Địa chỉ: P. Định Hòa, TP. Thủ Dầu Một</w:t>
            </w:r>
          </w:p>
          <w:p>
            <w:pPr>
              <w:spacing w:line="276" w:lineRule="auto" w:before="0" w:after="40"/>
              <w:jc w:val="left"/>
            </w:pPr>
            <w:r>
              <w:rPr>
                <w:rFonts w:ascii="Times New Roman" w:hAnsi="Times New Roman"/>
                <w:sz w:val="19"/>
              </w:rPr>
              <w:t>SĐT: 0908.333.444</w:t>
            </w:r>
          </w:p>
          <w:p>
            <w:pPr>
              <w:spacing w:line="276" w:lineRule="auto" w:before="0" w:after="40"/>
              <w:jc w:val="left"/>
            </w:pPr>
            <w:r>
              <w:rPr>
                <w:rFonts w:ascii="Times New Roman" w:hAnsi="Times New Roman"/>
                <w:sz w:val="19"/>
              </w:rPr>
              <w:t>(01 người)</w:t>
            </w:r>
          </w:p>
        </w:tc>
        <w:tc>
          <w:tcPr>
            <w:tcW w:type="dxa" w:w="2808"/>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Nội dung trao đổi: Phản ánh việc cán bộ tiếp nhận tại Bộ phận Một cửa yêu cầu cung cấp trích lục khai sinh của cha mẹ khi làm thủ tục thừa kế nhà đất là gây khó khăn, không đúng danh mục TTHC công bố.</w:t>
            </w:r>
          </w:p>
          <w:p>
            <w:pPr>
              <w:spacing w:line="276" w:lineRule="auto" w:before="0" w:after="40"/>
              <w:jc w:val="left"/>
            </w:pPr>
            <w:r>
              <w:rPr>
                <w:rFonts w:ascii="Times New Roman" w:hAnsi="Times New Roman"/>
                <w:b/>
                <w:sz w:val="19"/>
              </w:rPr>
              <w:t>- Loại đơn: Phản ánh thủ tục hành chính.</w:t>
            </w:r>
          </w:p>
        </w:tc>
        <w:tc>
          <w:tcPr>
            <w:tcW w:type="dxa" w:w="2160"/>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Lãnh đạo kết luận: Tiếp thu phản ánh; đối chiếu quy định tại Nghị định hướng dẫn Luật Đất đai mới, việc liên thông dữ liệu dân cư VNeID đã thay thế giấy tờ hộ tịch giấy tờ cũ.</w:t>
            </w:r>
          </w:p>
          <w:p>
            <w:pPr>
              <w:spacing w:line="276" w:lineRule="auto" w:before="0" w:after="40"/>
              <w:jc w:val="left"/>
            </w:pPr>
            <w:r>
              <w:rPr>
                <w:rFonts w:ascii="Times New Roman" w:hAnsi="Times New Roman"/>
                <w:sz w:val="19"/>
              </w:rPr>
              <w:t>- Chỉ đạo: Chấn chỉnh ngay bộ phận tiếp nhận.</w:t>
            </w:r>
          </w:p>
        </w:tc>
        <w:tc>
          <w:tcPr>
            <w:tcW w:type="dxa" w:w="201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t>- Phó Giám đốc trực tiếp hướng dẫn cán bộ Một cửa tra cứu CSDL Quốc gia về dân cư để hoàn thiện hồ sơ nhận thừa kế cho ông Phát.</w:t>
            </w:r>
          </w:p>
          <w:p>
            <w:pPr>
              <w:spacing w:line="276" w:lineRule="auto" w:before="0" w:after="40"/>
              <w:jc w:val="left"/>
            </w:pPr>
            <w:r>
              <w:rPr>
                <w:rFonts w:ascii="Times New Roman" w:hAnsi="Times New Roman"/>
                <w:sz w:val="19"/>
              </w:rPr>
              <w:t>- Tiếp nhận ngay hồ sơ thừa kế trong buổi chiều 24/10.</w:t>
            </w:r>
          </w:p>
        </w:tc>
        <w:tc>
          <w:tcPr>
            <w:tcW w:type="dxa" w:w="1800"/>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color w:val="006400"/>
                <w:sz w:val="19"/>
              </w:rPr>
              <w:t>- Đã giải quyết xong.</w:t>
            </w:r>
          </w:p>
          <w:p>
            <w:pPr>
              <w:spacing w:line="276" w:lineRule="auto" w:before="0" w:after="40"/>
              <w:jc w:val="left"/>
            </w:pPr>
            <w:r>
              <w:rPr>
                <w:rFonts w:ascii="Times New Roman" w:hAnsi="Times New Roman"/>
                <w:sz w:val="19"/>
              </w:rPr>
              <w:t>- Hồ sơ đã được chuyển thụ lý theo đúng quy trình hẹn trả ngày 03/11/2026.</w:t>
            </w:r>
          </w:p>
          <w:p>
            <w:pPr>
              <w:spacing w:line="276" w:lineRule="auto" w:before="0" w:after="40"/>
              <w:jc w:val="left"/>
            </w:pPr>
            <w:r>
              <w:rPr>
                <w:rFonts w:ascii="Times New Roman" w:hAnsi="Times New Roman"/>
                <w:sz w:val="19"/>
              </w:rPr>
              <w:t>- Công dân cảm ơn sự chỉ đạo sâu sát kịp thời của Lãnh đạo.</w:t>
            </w:r>
          </w:p>
        </w:tc>
        <w:tc>
          <w:tcPr>
            <w:tcW w:type="dxa" w:w="648"/>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Cải cách TTHC &amp; Đề án 06</w:t>
            </w:r>
          </w:p>
        </w:tc>
      </w:tr>
      <w:tr>
        <w:trPr>
          <w:cantSplit/>
        </w:trPr>
        <w:tc>
          <w:tcPr>
            <w:tcW w:type="dxa" w:w="547"/>
            <w:tcMar>
              <w:top w:w="60" w:type="dxa"/>
              <w:bottom w:w="60" w:type="dxa"/>
              <w:left w:w="50" w:type="dxa"/>
              <w:right w:w="50" w:type="dxa"/>
            </w:tcMar>
            <w:vAlign w:val="top"/>
          </w:tcPr>
          <w:p>
            <w:pPr>
              <w:spacing w:line="276" w:lineRule="auto" w:before="20" w:after="40"/>
              <w:jc w:val="center"/>
            </w:pPr>
            <w:r/>
            <w:r>
              <w:rPr>
                <w:rFonts w:ascii="Times New Roman" w:hAnsi="Times New Roman"/>
                <w:b/>
                <w:sz w:val="19"/>
              </w:rPr>
              <w:t>9</w:t>
            </w:r>
          </w:p>
        </w:tc>
        <w:tc>
          <w:tcPr>
            <w:tcW w:type="dxa" w:w="1080"/>
            <w:tcMar>
              <w:top w:w="60" w:type="dxa"/>
              <w:bottom w:w="60" w:type="dxa"/>
              <w:left w:w="50" w:type="dxa"/>
              <w:right w:w="50" w:type="dxa"/>
            </w:tcMar>
            <w:vAlign w:val="top"/>
          </w:tcPr>
          <w:p>
            <w:pPr>
              <w:spacing w:line="276" w:lineRule="auto" w:before="20" w:after="40"/>
              <w:jc w:val="center"/>
            </w:pPr>
            <w:r/>
            <w:r>
              <w:rPr>
                <w:rFonts w:ascii="Times New Roman" w:hAnsi="Times New Roman"/>
                <w:sz w:val="19"/>
              </w:rPr>
              <w:t>08:45</w:t>
            </w:r>
          </w:p>
          <w:p>
            <w:pPr>
              <w:spacing w:line="276" w:lineRule="auto" w:before="0" w:after="40"/>
              <w:jc w:val="center"/>
            </w:pPr>
            <w:r>
              <w:rPr>
                <w:rFonts w:ascii="Times New Roman" w:hAnsi="Times New Roman"/>
                <w:sz w:val="19"/>
              </w:rPr>
              <w:t>25/10/2026</w:t>
            </w:r>
          </w:p>
        </w:tc>
        <w:tc>
          <w:tcPr>
            <w:tcW w:type="dxa" w:w="1656"/>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Đ/c Trần Văn Minh</w:t>
            </w:r>
          </w:p>
          <w:p>
            <w:pPr>
              <w:spacing w:line="276" w:lineRule="auto" w:before="0" w:after="40"/>
              <w:jc w:val="left"/>
            </w:pPr>
            <w:r>
              <w:rPr>
                <w:rFonts w:ascii="Times New Roman" w:hAnsi="Times New Roman"/>
                <w:sz w:val="19"/>
              </w:rPr>
              <w:t>- Giám đốc Chi nhánh</w:t>
            </w:r>
          </w:p>
          <w:p>
            <w:pPr>
              <w:spacing w:line="276" w:lineRule="auto" w:before="0" w:after="40"/>
              <w:jc w:val="left"/>
            </w:pPr>
            <w:r>
              <w:rPr>
                <w:rFonts w:ascii="Times New Roman" w:hAnsi="Times New Roman"/>
                <w:sz w:val="19"/>
              </w:rPr>
              <w:t>(Cán bộ phối hợp: Trưởng phòng Tài chính)</w:t>
            </w:r>
          </w:p>
        </w:tc>
        <w:tc>
          <w:tcPr>
            <w:tcW w:type="dxa" w:w="1944"/>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Ông Lương Gia Bảo</w:t>
            </w:r>
          </w:p>
          <w:p>
            <w:pPr>
              <w:spacing w:line="276" w:lineRule="auto" w:before="0" w:after="40"/>
              <w:jc w:val="left"/>
            </w:pPr>
            <w:r>
              <w:rPr>
                <w:rFonts w:ascii="Times New Roman" w:hAnsi="Times New Roman"/>
                <w:sz w:val="19"/>
              </w:rPr>
              <w:t>CCCD: 074078009012</w:t>
            </w:r>
          </w:p>
          <w:p>
            <w:pPr>
              <w:spacing w:line="276" w:lineRule="auto" w:before="0" w:after="40"/>
              <w:jc w:val="left"/>
            </w:pPr>
            <w:r>
              <w:rPr>
                <w:rFonts w:ascii="Times New Roman" w:hAnsi="Times New Roman"/>
                <w:sz w:val="19"/>
              </w:rPr>
              <w:t>Địa chỉ: P. Hòa Phú, TP. Thủ Dầu Một</w:t>
            </w:r>
          </w:p>
          <w:p>
            <w:pPr>
              <w:spacing w:line="276" w:lineRule="auto" w:before="0" w:after="40"/>
              <w:jc w:val="left"/>
            </w:pPr>
            <w:r>
              <w:rPr>
                <w:rFonts w:ascii="Times New Roman" w:hAnsi="Times New Roman"/>
                <w:sz w:val="19"/>
              </w:rPr>
              <w:t>SĐT: 0945.666.777</w:t>
            </w:r>
          </w:p>
          <w:p>
            <w:pPr>
              <w:spacing w:line="276" w:lineRule="auto" w:before="0" w:after="40"/>
              <w:jc w:val="left"/>
            </w:pPr>
            <w:r>
              <w:rPr>
                <w:rFonts w:ascii="Times New Roman" w:hAnsi="Times New Roman"/>
                <w:sz w:val="19"/>
              </w:rPr>
              <w:t>(01 người)</w:t>
            </w:r>
          </w:p>
        </w:tc>
        <w:tc>
          <w:tcPr>
            <w:tcW w:type="dxa" w:w="2808"/>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Nội dung trao đổi: Kiến nghị xem xét lại cách tính tiền sử dụng đất khi chuyển mục đích 80m² đất vườn sang đất ở tại vị trí đường số 7, cho rằng áp dụng sai hệ số điều chỉnh vị trí hẻm.</w:t>
            </w:r>
          </w:p>
          <w:p>
            <w:pPr>
              <w:spacing w:line="276" w:lineRule="auto" w:before="0" w:after="40"/>
              <w:jc w:val="left"/>
            </w:pPr>
            <w:r>
              <w:rPr>
                <w:rFonts w:ascii="Times New Roman" w:hAnsi="Times New Roman"/>
                <w:b/>
                <w:sz w:val="19"/>
              </w:rPr>
              <w:t>- Loại đơn: Kiến nghị nghĩa vụ tài chính.</w:t>
            </w:r>
          </w:p>
        </w:tc>
        <w:tc>
          <w:tcPr>
            <w:tcW w:type="dxa" w:w="2160"/>
            <w:tcMar>
              <w:top w:w="60" w:type="dxa"/>
              <w:bottom w:w="60" w:type="dxa"/>
              <w:left w:w="50" w:type="dxa"/>
              <w:right w:w="50" w:type="dxa"/>
            </w:tcMar>
            <w:vAlign w:val="top"/>
          </w:tcPr>
          <w:p>
            <w:pPr>
              <w:spacing w:line="276" w:lineRule="auto" w:before="20" w:after="40"/>
              <w:jc w:val="left"/>
            </w:pPr>
            <w:r/>
            <w:r>
              <w:rPr>
                <w:rFonts w:ascii="Times New Roman" w:hAnsi="Times New Roman"/>
                <w:b/>
                <w:sz w:val="19"/>
              </w:rPr>
              <w:t>- Lãnh đạo kết luận: Tiếp nhận đơn kiến nghị; giải thích thẩm quyền quyết định hệ số giá đất và thông báo thuế thuộc Chi cục Thuế khu vực.</w:t>
            </w:r>
          </w:p>
          <w:p>
            <w:pPr>
              <w:spacing w:line="276" w:lineRule="auto" w:before="0" w:after="40"/>
              <w:jc w:val="left"/>
            </w:pPr>
            <w:r>
              <w:rPr>
                <w:rFonts w:ascii="Times New Roman" w:hAnsi="Times New Roman"/>
                <w:sz w:val="19"/>
              </w:rPr>
              <w:t>- Hướng xử lý: Có phiếu rà soát vị trí đất gửi Chi cục Thuế để phối hợp kiểm tra.</w:t>
            </w:r>
          </w:p>
        </w:tc>
        <w:tc>
          <w:tcPr>
            <w:tcW w:type="dxa" w:w="2016"/>
            <w:tcMar>
              <w:top w:w="60" w:type="dxa"/>
              <w:bottom w:w="60" w:type="dxa"/>
              <w:left w:w="50" w:type="dxa"/>
              <w:right w:w="50" w:type="dxa"/>
            </w:tcMar>
            <w:vAlign w:val="top"/>
          </w:tcPr>
          <w:p>
            <w:pPr>
              <w:spacing w:line="276" w:lineRule="auto" w:before="20" w:after="40"/>
              <w:jc w:val="left"/>
            </w:pPr>
            <w:r/>
            <w:r>
              <w:rPr>
                <w:rFonts w:ascii="Times New Roman" w:hAnsi="Times New Roman"/>
                <w:sz w:val="19"/>
              </w:rPr>
              <w:t>- Ngày 25/10: Phát hành Phiếu phối hợp thông tin số 312/PPH-VPĐK gửi Chi cục Thuế rà soát lại thông tin vị trí tuyến đường và độ rộng lộ giới.</w:t>
            </w:r>
          </w:p>
          <w:p>
            <w:pPr>
              <w:spacing w:line="276" w:lineRule="auto" w:before="0" w:after="40"/>
              <w:jc w:val="left"/>
            </w:pPr>
            <w:r>
              <w:rPr>
                <w:rFonts w:ascii="Times New Roman" w:hAnsi="Times New Roman"/>
                <w:sz w:val="19"/>
              </w:rPr>
              <w:t>- Chi cục Thuế đối chiếu lại Quyết định bảng giá đất.</w:t>
            </w:r>
          </w:p>
        </w:tc>
        <w:tc>
          <w:tcPr>
            <w:tcW w:type="dxa" w:w="1800"/>
            <w:tcMar>
              <w:top w:w="60" w:type="dxa"/>
              <w:bottom w:w="60" w:type="dxa"/>
              <w:left w:w="50" w:type="dxa"/>
              <w:right w:w="50" w:type="dxa"/>
            </w:tcMar>
            <w:vAlign w:val="top"/>
          </w:tcPr>
          <w:p>
            <w:pPr>
              <w:spacing w:line="276" w:lineRule="auto" w:before="20" w:after="40"/>
              <w:jc w:val="left"/>
            </w:pPr>
            <w:r/>
            <w:r>
              <w:rPr>
                <w:rFonts w:ascii="Times New Roman" w:hAnsi="Times New Roman"/>
                <w:sz w:val="19"/>
              </w:rPr>
              <w:t>- Đang giải quyết.</w:t>
            </w:r>
          </w:p>
          <w:p>
            <w:pPr>
              <w:spacing w:line="276" w:lineRule="auto" w:before="0" w:after="40"/>
              <w:jc w:val="left"/>
            </w:pPr>
            <w:r>
              <w:rPr>
                <w:rFonts w:ascii="Times New Roman" w:hAnsi="Times New Roman"/>
                <w:sz w:val="19"/>
              </w:rPr>
              <w:t>- Chi cục Thuế đang tính lại nghĩa vụ tài chính theo vị trí hẻm cấp 2, dự kiến ban hành thông báo thuế điều chỉnh giảm vào ngày 28/10/2026.</w:t>
            </w:r>
          </w:p>
        </w:tc>
        <w:tc>
          <w:tcPr>
            <w:tcW w:type="dxa" w:w="648"/>
            <w:tcMar>
              <w:top w:w="60" w:type="dxa"/>
              <w:bottom w:w="60" w:type="dxa"/>
              <w:left w:w="50" w:type="dxa"/>
              <w:right w:w="50" w:type="dxa"/>
            </w:tcMar>
            <w:vAlign w:val="top"/>
          </w:tcPr>
          <w:p>
            <w:pPr>
              <w:spacing w:line="276" w:lineRule="auto" w:before="20" w:after="40"/>
              <w:jc w:val="center"/>
            </w:pPr>
            <w:r/>
            <w:r>
              <w:rPr>
                <w:rFonts w:ascii="Times New Roman" w:hAnsi="Times New Roman"/>
                <w:sz w:val="19"/>
              </w:rPr>
              <w:t>Phối hợp liên ngành Thuế - Đất đai</w:t>
            </w:r>
          </w:p>
        </w:tc>
      </w:tr>
      <w:tr>
        <w:trPr>
          <w:cantSplit/>
        </w:trPr>
        <w:tc>
          <w:tcPr>
            <w:tcW w:type="dxa" w:w="547"/>
            <w:tcMar>
              <w:top w:w="60" w:type="dxa"/>
              <w:bottom w:w="60" w:type="dxa"/>
              <w:left w:w="50" w:type="dxa"/>
              <w:right w:w="50" w:type="dxa"/>
            </w:tcMar>
            <w:vAlign w:val="top"/>
            <w:shd w:fill="FAFAFB"/>
          </w:tcPr>
          <w:p>
            <w:pPr>
              <w:spacing w:line="276" w:lineRule="auto" w:before="20" w:after="40"/>
              <w:jc w:val="center"/>
            </w:pPr>
            <w:r/>
            <w:r>
              <w:rPr>
                <w:rFonts w:ascii="Times New Roman" w:hAnsi="Times New Roman"/>
                <w:b/>
                <w:sz w:val="19"/>
              </w:rPr>
              <w:t>10</w:t>
            </w:r>
          </w:p>
        </w:tc>
        <w:tc>
          <w:tcPr>
            <w:tcW w:type="dxa" w:w="1080"/>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15:00</w:t>
            </w:r>
          </w:p>
          <w:p>
            <w:pPr>
              <w:spacing w:line="276" w:lineRule="auto" w:before="0" w:after="40"/>
              <w:jc w:val="center"/>
            </w:pPr>
            <w:r>
              <w:rPr>
                <w:rFonts w:ascii="Times New Roman" w:hAnsi="Times New Roman"/>
                <w:sz w:val="19"/>
              </w:rPr>
              <w:t>26/10/2026</w:t>
            </w:r>
          </w:p>
        </w:tc>
        <w:tc>
          <w:tcPr>
            <w:tcW w:type="dxa" w:w="1656"/>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Đ/c Nguyễn Thị Lan</w:t>
            </w:r>
          </w:p>
          <w:p>
            <w:pPr>
              <w:spacing w:line="276" w:lineRule="auto" w:before="0" w:after="40"/>
              <w:jc w:val="left"/>
            </w:pPr>
            <w:r>
              <w:rPr>
                <w:rFonts w:ascii="Times New Roman" w:hAnsi="Times New Roman"/>
                <w:sz w:val="19"/>
              </w:rPr>
              <w:t>- Phó Giám đốc Chi nhánh</w:t>
            </w:r>
          </w:p>
          <w:p>
            <w:pPr>
              <w:spacing w:line="276" w:lineRule="auto" w:before="0" w:after="40"/>
              <w:jc w:val="left"/>
            </w:pPr>
            <w:r>
              <w:rPr>
                <w:rFonts w:ascii="Times New Roman" w:hAnsi="Times New Roman"/>
                <w:sz w:val="19"/>
              </w:rPr>
              <w:t>(Cán bộ phối hợp: Cán bộ tiếp dân thường trực)</w:t>
            </w:r>
          </w:p>
        </w:tc>
        <w:tc>
          <w:tcPr>
            <w:tcW w:type="dxa" w:w="1944"/>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Bà Hoàng Diệu Linh</w:t>
            </w:r>
          </w:p>
          <w:p>
            <w:pPr>
              <w:spacing w:line="276" w:lineRule="auto" w:before="0" w:after="40"/>
              <w:jc w:val="left"/>
            </w:pPr>
            <w:r>
              <w:rPr>
                <w:rFonts w:ascii="Times New Roman" w:hAnsi="Times New Roman"/>
                <w:sz w:val="19"/>
              </w:rPr>
              <w:t>CCCD: 074198000123</w:t>
            </w:r>
          </w:p>
          <w:p>
            <w:pPr>
              <w:spacing w:line="276" w:lineRule="auto" w:before="0" w:after="40"/>
              <w:jc w:val="left"/>
            </w:pPr>
            <w:r>
              <w:rPr>
                <w:rFonts w:ascii="Times New Roman" w:hAnsi="Times New Roman"/>
                <w:sz w:val="19"/>
              </w:rPr>
              <w:t>Địa chỉ: P. Phú Cường, TP. Thủ Dầu Một</w:t>
            </w:r>
          </w:p>
          <w:p>
            <w:pPr>
              <w:spacing w:line="276" w:lineRule="auto" w:before="0" w:after="40"/>
              <w:jc w:val="left"/>
            </w:pPr>
            <w:r>
              <w:rPr>
                <w:rFonts w:ascii="Times New Roman" w:hAnsi="Times New Roman"/>
                <w:sz w:val="19"/>
              </w:rPr>
              <w:t>SĐT: 0912.888.999</w:t>
            </w:r>
          </w:p>
          <w:p>
            <w:pPr>
              <w:spacing w:line="276" w:lineRule="auto" w:before="0" w:after="40"/>
              <w:jc w:val="left"/>
            </w:pPr>
            <w:r>
              <w:rPr>
                <w:rFonts w:ascii="Times New Roman" w:hAnsi="Times New Roman"/>
                <w:sz w:val="19"/>
              </w:rPr>
              <w:t>(01 người)</w:t>
            </w:r>
          </w:p>
        </w:tc>
        <w:tc>
          <w:tcPr>
            <w:tcW w:type="dxa" w:w="2808"/>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Nội dung trao đổi: Hỏi về thủ tục xin cấp lại GCN quyền sử dụng đất bị thất lạc do hỏa hoạn và thời gian niêm yết công khai tại UBND phường theo quy định mới.</w:t>
            </w:r>
          </w:p>
          <w:p>
            <w:pPr>
              <w:spacing w:line="276" w:lineRule="auto" w:before="0" w:after="40"/>
              <w:jc w:val="left"/>
            </w:pPr>
            <w:r>
              <w:rPr>
                <w:rFonts w:ascii="Times New Roman" w:hAnsi="Times New Roman"/>
                <w:b/>
                <w:sz w:val="19"/>
              </w:rPr>
              <w:t>- Loại đơn: Kiến nghị, hướng dẫn thủ tục.</w:t>
            </w:r>
          </w:p>
        </w:tc>
        <w:tc>
          <w:tcPr>
            <w:tcW w:type="dxa" w:w="2160"/>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sz w:val="19"/>
              </w:rPr>
              <w:t>- Lãnh đạo kết luận: Thuộc trường hợp hướng dẫn trực tiếp (Mẫu 03/TCD cột 10).</w:t>
            </w:r>
          </w:p>
          <w:p>
            <w:pPr>
              <w:spacing w:line="276" w:lineRule="auto" w:before="0" w:after="40"/>
              <w:jc w:val="left"/>
            </w:pPr>
            <w:r>
              <w:rPr>
                <w:rFonts w:ascii="Times New Roman" w:hAnsi="Times New Roman"/>
                <w:sz w:val="19"/>
              </w:rPr>
              <w:t>- Chỉ đạo: Cán bộ tiếp dân cung cấp biểu mẫu đơn cớ mất, hướng dẫn thủ tục niêm yết 15 ngày tại phường theo Luật Đất đai 2024.</w:t>
            </w:r>
          </w:p>
        </w:tc>
        <w:tc>
          <w:tcPr>
            <w:tcW w:type="dxa" w:w="201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t>- Cán bộ tiếp dân trực tiếp in biểu mẫu, hỗ trợ bà Linh điền thông tin và ký xác nhận.</w:t>
            </w:r>
          </w:p>
          <w:p>
            <w:pPr>
              <w:spacing w:line="276" w:lineRule="auto" w:before="0" w:after="40"/>
              <w:jc w:val="left"/>
            </w:pPr>
            <w:r>
              <w:rPr>
                <w:rFonts w:ascii="Times New Roman" w:hAnsi="Times New Roman"/>
                <w:sz w:val="19"/>
              </w:rPr>
              <w:t>- Cung cấp số điện thoại đường dây nóng hỗ trợ khi nộp hồ sơ.</w:t>
            </w:r>
          </w:p>
        </w:tc>
        <w:tc>
          <w:tcPr>
            <w:tcW w:type="dxa" w:w="1800"/>
            <w:tcMar>
              <w:top w:w="60" w:type="dxa"/>
              <w:bottom w:w="60" w:type="dxa"/>
              <w:left w:w="50" w:type="dxa"/>
              <w:right w:w="50" w:type="dxa"/>
            </w:tcMar>
            <w:vAlign w:val="top"/>
            <w:shd w:fill="FAFAFB"/>
          </w:tcPr>
          <w:p>
            <w:pPr>
              <w:spacing w:line="276" w:lineRule="auto" w:before="20" w:after="40"/>
              <w:jc w:val="left"/>
            </w:pPr>
            <w:r/>
            <w:r>
              <w:rPr>
                <w:rFonts w:ascii="Times New Roman" w:hAnsi="Times New Roman"/>
                <w:b/>
                <w:color w:val="006400"/>
                <w:sz w:val="19"/>
              </w:rPr>
              <w:t>- Đã giải quyết xong.</w:t>
            </w:r>
          </w:p>
          <w:p>
            <w:pPr>
              <w:spacing w:line="276" w:lineRule="auto" w:before="0" w:after="40"/>
              <w:jc w:val="left"/>
            </w:pPr>
            <w:r>
              <w:rPr>
                <w:rFonts w:ascii="Times New Roman" w:hAnsi="Times New Roman"/>
                <w:sz w:val="19"/>
              </w:rPr>
              <w:t>- Đã hướng dẫn chi tiết bằng văn bản tóm tắt quy trình TTHC số 15/HD-VPĐK ngày 26/10/2026.</w:t>
            </w:r>
          </w:p>
          <w:p>
            <w:pPr>
              <w:spacing w:line="276" w:lineRule="auto" w:before="0" w:after="40"/>
              <w:jc w:val="left"/>
            </w:pPr>
            <w:r>
              <w:rPr>
                <w:rFonts w:ascii="Times New Roman" w:hAnsi="Times New Roman"/>
                <w:sz w:val="19"/>
              </w:rPr>
              <w:t>- Công dân nắm rõ thủ tục và chuẩn bị hồ sơ niêm yết.</w:t>
            </w:r>
          </w:p>
        </w:tc>
        <w:tc>
          <w:tcPr>
            <w:tcW w:type="dxa" w:w="648"/>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Hướng dẫn TTHC tận tình</w:t>
            </w:r>
          </w:p>
        </w:tc>
      </w:tr>
      <w:tr>
        <w:trPr>
          <w:cantSplit/>
        </w:trPr>
        <w:tc>
          <w:tcPr>
            <w:tcW w:type="dxa" w:w="547"/>
            <w:tcMar>
              <w:top w:w="60" w:type="dxa"/>
              <w:bottom w:w="60" w:type="dxa"/>
              <w:left w:w="50" w:type="dxa"/>
              <w:right w:w="50" w:type="dxa"/>
            </w:tcMar>
            <w:vAlign w:val="top"/>
          </w:tcPr>
          <w:p>
            <w:pPr>
              <w:spacing w:line="276" w:lineRule="auto" w:before="20" w:after="40"/>
              <w:jc w:val="center"/>
            </w:pPr>
            <w:r/>
            <w:r>
              <w:rPr>
                <w:rFonts w:ascii="Times New Roman" w:hAnsi="Times New Roman"/>
                <w:b/>
                <w:sz w:val="19"/>
              </w:rPr>
              <w:t>11</w:t>
            </w:r>
          </w:p>
        </w:tc>
        <w:tc>
          <w:tcPr>
            <w:tcW w:type="dxa" w:w="1080"/>
            <w:tcMar>
              <w:top w:w="60" w:type="dxa"/>
              <w:bottom w:w="60" w:type="dxa"/>
              <w:left w:w="50" w:type="dxa"/>
              <w:right w:w="50" w:type="dxa"/>
            </w:tcMar>
            <w:vAlign w:val="top"/>
          </w:tcPr>
          <w:p>
            <w:pPr>
              <w:spacing w:line="276" w:lineRule="auto" w:before="20" w:after="40"/>
              <w:jc w:val="center"/>
            </w:pPr>
            <w:r/>
            <w:r>
              <w:rPr>
                <w:rFonts w:ascii="Times New Roman" w:hAnsi="Times New Roman"/>
                <w:sz w:val="19"/>
              </w:rPr>
              <w:t>....:....</w:t>
            </w:r>
          </w:p>
          <w:p>
            <w:pPr>
              <w:spacing w:line="276" w:lineRule="auto" w:before="0" w:after="40"/>
              <w:jc w:val="center"/>
            </w:pPr>
            <w:r>
              <w:rPr>
                <w:rFonts w:ascii="Times New Roman" w:hAnsi="Times New Roman"/>
                <w:sz w:val="19"/>
              </w:rPr>
              <w:t>..../..../2026</w:t>
            </w:r>
          </w:p>
        </w:tc>
        <w:tc>
          <w:tcPr>
            <w:tcW w:type="dxa" w:w="1656"/>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1944"/>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808"/>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160"/>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016"/>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1800"/>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648"/>
            <w:tcMar>
              <w:top w:w="60" w:type="dxa"/>
              <w:bottom w:w="60" w:type="dxa"/>
              <w:left w:w="50" w:type="dxa"/>
              <w:right w:w="50" w:type="dxa"/>
            </w:tcMar>
            <w:vAlign w:val="top"/>
          </w:tcPr>
          <w:p>
            <w:pPr>
              <w:spacing w:line="276" w:lineRule="auto" w:before="20" w:after="40"/>
              <w:jc w:val="center"/>
            </w:pPr>
            <w:r/>
            <w:r>
              <w:rPr>
                <w:rFonts w:ascii="Times New Roman" w:hAnsi="Times New Roman"/>
                <w:sz w:val="19"/>
              </w:rPr>
            </w:r>
          </w:p>
        </w:tc>
      </w:tr>
      <w:tr>
        <w:trPr>
          <w:cantSplit/>
        </w:trPr>
        <w:tc>
          <w:tcPr>
            <w:tcW w:type="dxa" w:w="547"/>
            <w:tcMar>
              <w:top w:w="60" w:type="dxa"/>
              <w:bottom w:w="60" w:type="dxa"/>
              <w:left w:w="50" w:type="dxa"/>
              <w:right w:w="50" w:type="dxa"/>
            </w:tcMar>
            <w:vAlign w:val="top"/>
            <w:shd w:fill="FAFAFB"/>
          </w:tcPr>
          <w:p>
            <w:pPr>
              <w:spacing w:line="276" w:lineRule="auto" w:before="20" w:after="40"/>
              <w:jc w:val="center"/>
            </w:pPr>
            <w:r/>
            <w:r>
              <w:rPr>
                <w:rFonts w:ascii="Times New Roman" w:hAnsi="Times New Roman"/>
                <w:b/>
                <w:sz w:val="19"/>
              </w:rPr>
              <w:t>12</w:t>
            </w:r>
          </w:p>
        </w:tc>
        <w:tc>
          <w:tcPr>
            <w:tcW w:type="dxa" w:w="1080"/>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w:t>
            </w:r>
          </w:p>
          <w:p>
            <w:pPr>
              <w:spacing w:line="276" w:lineRule="auto" w:before="0" w:after="40"/>
              <w:jc w:val="center"/>
            </w:pPr>
            <w:r>
              <w:rPr>
                <w:rFonts w:ascii="Times New Roman" w:hAnsi="Times New Roman"/>
                <w:sz w:val="19"/>
              </w:rPr>
              <w:t>..../..../2026</w:t>
            </w:r>
          </w:p>
        </w:tc>
        <w:tc>
          <w:tcPr>
            <w:tcW w:type="dxa" w:w="165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1944"/>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2808"/>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2160"/>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201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1800"/>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648"/>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r>
          </w:p>
        </w:tc>
      </w:tr>
      <w:tr>
        <w:trPr>
          <w:cantSplit/>
        </w:trPr>
        <w:tc>
          <w:tcPr>
            <w:tcW w:type="dxa" w:w="547"/>
            <w:tcMar>
              <w:top w:w="60" w:type="dxa"/>
              <w:bottom w:w="60" w:type="dxa"/>
              <w:left w:w="50" w:type="dxa"/>
              <w:right w:w="50" w:type="dxa"/>
            </w:tcMar>
            <w:vAlign w:val="top"/>
          </w:tcPr>
          <w:p>
            <w:pPr>
              <w:spacing w:line="276" w:lineRule="auto" w:before="20" w:after="40"/>
              <w:jc w:val="center"/>
            </w:pPr>
            <w:r/>
            <w:r>
              <w:rPr>
                <w:rFonts w:ascii="Times New Roman" w:hAnsi="Times New Roman"/>
                <w:b/>
                <w:sz w:val="19"/>
              </w:rPr>
              <w:t>13</w:t>
            </w:r>
          </w:p>
        </w:tc>
        <w:tc>
          <w:tcPr>
            <w:tcW w:type="dxa" w:w="1080"/>
            <w:tcMar>
              <w:top w:w="60" w:type="dxa"/>
              <w:bottom w:w="60" w:type="dxa"/>
              <w:left w:w="50" w:type="dxa"/>
              <w:right w:w="50" w:type="dxa"/>
            </w:tcMar>
            <w:vAlign w:val="top"/>
          </w:tcPr>
          <w:p>
            <w:pPr>
              <w:spacing w:line="276" w:lineRule="auto" w:before="20" w:after="40"/>
              <w:jc w:val="center"/>
            </w:pPr>
            <w:r/>
            <w:r>
              <w:rPr>
                <w:rFonts w:ascii="Times New Roman" w:hAnsi="Times New Roman"/>
                <w:sz w:val="19"/>
              </w:rPr>
              <w:t>....:....</w:t>
            </w:r>
          </w:p>
          <w:p>
            <w:pPr>
              <w:spacing w:line="276" w:lineRule="auto" w:before="0" w:after="40"/>
              <w:jc w:val="center"/>
            </w:pPr>
            <w:r>
              <w:rPr>
                <w:rFonts w:ascii="Times New Roman" w:hAnsi="Times New Roman"/>
                <w:sz w:val="19"/>
              </w:rPr>
              <w:t>..../..../2026</w:t>
            </w:r>
          </w:p>
        </w:tc>
        <w:tc>
          <w:tcPr>
            <w:tcW w:type="dxa" w:w="1656"/>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1944"/>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808"/>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160"/>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016"/>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1800"/>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648"/>
            <w:tcMar>
              <w:top w:w="60" w:type="dxa"/>
              <w:bottom w:w="60" w:type="dxa"/>
              <w:left w:w="50" w:type="dxa"/>
              <w:right w:w="50" w:type="dxa"/>
            </w:tcMar>
            <w:vAlign w:val="top"/>
          </w:tcPr>
          <w:p>
            <w:pPr>
              <w:spacing w:line="276" w:lineRule="auto" w:before="20" w:after="40"/>
              <w:jc w:val="center"/>
            </w:pPr>
            <w:r/>
            <w:r>
              <w:rPr>
                <w:rFonts w:ascii="Times New Roman" w:hAnsi="Times New Roman"/>
                <w:sz w:val="19"/>
              </w:rPr>
            </w:r>
          </w:p>
        </w:tc>
      </w:tr>
      <w:tr>
        <w:trPr>
          <w:cantSplit/>
        </w:trPr>
        <w:tc>
          <w:tcPr>
            <w:tcW w:type="dxa" w:w="547"/>
            <w:tcMar>
              <w:top w:w="60" w:type="dxa"/>
              <w:bottom w:w="60" w:type="dxa"/>
              <w:left w:w="50" w:type="dxa"/>
              <w:right w:w="50" w:type="dxa"/>
            </w:tcMar>
            <w:vAlign w:val="top"/>
            <w:shd w:fill="FAFAFB"/>
          </w:tcPr>
          <w:p>
            <w:pPr>
              <w:spacing w:line="276" w:lineRule="auto" w:before="20" w:after="40"/>
              <w:jc w:val="center"/>
            </w:pPr>
            <w:r/>
            <w:r>
              <w:rPr>
                <w:rFonts w:ascii="Times New Roman" w:hAnsi="Times New Roman"/>
                <w:b/>
                <w:sz w:val="19"/>
              </w:rPr>
              <w:t>14</w:t>
            </w:r>
          </w:p>
        </w:tc>
        <w:tc>
          <w:tcPr>
            <w:tcW w:type="dxa" w:w="1080"/>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t>....:....</w:t>
            </w:r>
          </w:p>
          <w:p>
            <w:pPr>
              <w:spacing w:line="276" w:lineRule="auto" w:before="0" w:after="40"/>
              <w:jc w:val="center"/>
            </w:pPr>
            <w:r>
              <w:rPr>
                <w:rFonts w:ascii="Times New Roman" w:hAnsi="Times New Roman"/>
                <w:sz w:val="19"/>
              </w:rPr>
              <w:t>..../..../2026</w:t>
            </w:r>
          </w:p>
        </w:tc>
        <w:tc>
          <w:tcPr>
            <w:tcW w:type="dxa" w:w="165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1944"/>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2808"/>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2160"/>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2016"/>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1800"/>
            <w:tcMar>
              <w:top w:w="60" w:type="dxa"/>
              <w:bottom w:w="60" w:type="dxa"/>
              <w:left w:w="50" w:type="dxa"/>
              <w:right w:w="50" w:type="dxa"/>
            </w:tcMar>
            <w:vAlign w:val="top"/>
            <w:shd w:fill="FAFAFB"/>
          </w:tcPr>
          <w:p>
            <w:pPr>
              <w:spacing w:line="276" w:lineRule="auto" w:before="20" w:after="40"/>
              <w:jc w:val="left"/>
            </w:pPr>
            <w:r/>
            <w:r>
              <w:rPr>
                <w:rFonts w:ascii="Times New Roman" w:hAnsi="Times New Roman"/>
                <w:sz w:val="19"/>
              </w:rPr>
            </w:r>
          </w:p>
        </w:tc>
        <w:tc>
          <w:tcPr>
            <w:tcW w:type="dxa" w:w="648"/>
            <w:tcMar>
              <w:top w:w="60" w:type="dxa"/>
              <w:bottom w:w="60" w:type="dxa"/>
              <w:left w:w="50" w:type="dxa"/>
              <w:right w:w="50" w:type="dxa"/>
            </w:tcMar>
            <w:vAlign w:val="top"/>
            <w:shd w:fill="FAFAFB"/>
          </w:tcPr>
          <w:p>
            <w:pPr>
              <w:spacing w:line="276" w:lineRule="auto" w:before="20" w:after="40"/>
              <w:jc w:val="center"/>
            </w:pPr>
            <w:r/>
            <w:r>
              <w:rPr>
                <w:rFonts w:ascii="Times New Roman" w:hAnsi="Times New Roman"/>
                <w:sz w:val="19"/>
              </w:rPr>
            </w:r>
          </w:p>
        </w:tc>
      </w:tr>
      <w:tr>
        <w:trPr>
          <w:cantSplit/>
        </w:trPr>
        <w:tc>
          <w:tcPr>
            <w:tcW w:type="dxa" w:w="547"/>
            <w:tcMar>
              <w:top w:w="60" w:type="dxa"/>
              <w:bottom w:w="60" w:type="dxa"/>
              <w:left w:w="50" w:type="dxa"/>
              <w:right w:w="50" w:type="dxa"/>
            </w:tcMar>
            <w:vAlign w:val="top"/>
          </w:tcPr>
          <w:p>
            <w:pPr>
              <w:spacing w:line="276" w:lineRule="auto" w:before="20" w:after="40"/>
              <w:jc w:val="center"/>
            </w:pPr>
            <w:r/>
            <w:r>
              <w:rPr>
                <w:rFonts w:ascii="Times New Roman" w:hAnsi="Times New Roman"/>
                <w:b/>
                <w:sz w:val="19"/>
              </w:rPr>
              <w:t>15</w:t>
            </w:r>
          </w:p>
        </w:tc>
        <w:tc>
          <w:tcPr>
            <w:tcW w:type="dxa" w:w="1080"/>
            <w:tcMar>
              <w:top w:w="60" w:type="dxa"/>
              <w:bottom w:w="60" w:type="dxa"/>
              <w:left w:w="50" w:type="dxa"/>
              <w:right w:w="50" w:type="dxa"/>
            </w:tcMar>
            <w:vAlign w:val="top"/>
          </w:tcPr>
          <w:p>
            <w:pPr>
              <w:spacing w:line="276" w:lineRule="auto" w:before="20" w:after="40"/>
              <w:jc w:val="center"/>
            </w:pPr>
            <w:r/>
            <w:r>
              <w:rPr>
                <w:rFonts w:ascii="Times New Roman" w:hAnsi="Times New Roman"/>
                <w:sz w:val="19"/>
              </w:rPr>
              <w:t>....:....</w:t>
            </w:r>
          </w:p>
          <w:p>
            <w:pPr>
              <w:spacing w:line="276" w:lineRule="auto" w:before="0" w:after="40"/>
              <w:jc w:val="center"/>
            </w:pPr>
            <w:r>
              <w:rPr>
                <w:rFonts w:ascii="Times New Roman" w:hAnsi="Times New Roman"/>
                <w:sz w:val="19"/>
              </w:rPr>
              <w:t>..../..../2026</w:t>
            </w:r>
          </w:p>
        </w:tc>
        <w:tc>
          <w:tcPr>
            <w:tcW w:type="dxa" w:w="1656"/>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1944"/>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808"/>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160"/>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2016"/>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1800"/>
            <w:tcMar>
              <w:top w:w="60" w:type="dxa"/>
              <w:bottom w:w="60" w:type="dxa"/>
              <w:left w:w="50" w:type="dxa"/>
              <w:right w:w="50" w:type="dxa"/>
            </w:tcMar>
            <w:vAlign w:val="top"/>
          </w:tcPr>
          <w:p>
            <w:pPr>
              <w:spacing w:line="276" w:lineRule="auto" w:before="20" w:after="40"/>
              <w:jc w:val="left"/>
            </w:pPr>
            <w:r/>
            <w:r>
              <w:rPr>
                <w:rFonts w:ascii="Times New Roman" w:hAnsi="Times New Roman"/>
                <w:sz w:val="19"/>
              </w:rPr>
            </w:r>
          </w:p>
        </w:tc>
        <w:tc>
          <w:tcPr>
            <w:tcW w:type="dxa" w:w="648"/>
          </w:tcPr>
          <w:p/>
        </w:tc>
      </w:tr>
    </w:tbl>
    <w:p>
      <w:pPr>
        <w:spacing w:before="240" w:after="40"/>
      </w:pPr>
      <w:r>
        <w:rPr>
          <w:rFonts w:ascii="Times New Roman" w:hAnsi="Times New Roman"/>
          <w:b/>
          <w:i/>
          <w:sz w:val="20"/>
        </w:rPr>
        <w:t>Hướng dẫn ghi sổ (Căn cứ Mẫu số 03/TCD ban hành kèm Nghị định số 154/2026/NĐ-CP):</w:t>
      </w:r>
    </w:p>
    <w:p>
      <w:pPr>
        <w:spacing w:line="252" w:lineRule="auto" w:before="0" w:after="20"/>
        <w:ind w:left="288"/>
      </w:pPr>
      <w:r>
        <w:rPr>
          <w:rFonts w:ascii="Times New Roman" w:hAnsi="Times New Roman"/>
          <w:i/>
          <w:sz w:val="19"/>
        </w:rPr>
        <w:t>(1) Số thứ tự ghi liên tục theo từng năm quản lý tiếp công dân.</w:t>
      </w:r>
    </w:p>
    <w:p>
      <w:pPr>
        <w:spacing w:line="252" w:lineRule="auto" w:before="0" w:after="20"/>
        <w:ind w:left="288"/>
      </w:pPr>
      <w:r>
        <w:rPr>
          <w:rFonts w:ascii="Times New Roman" w:hAnsi="Times New Roman"/>
          <w:i/>
          <w:sz w:val="19"/>
        </w:rPr>
        <w:t>(2) Ghi rõ giờ và ngày, tháng, năm tiếp công dân (định kỳ hoặc đột xuất).</w:t>
      </w:r>
    </w:p>
    <w:p>
      <w:pPr>
        <w:spacing w:line="252" w:lineRule="auto" w:before="0" w:after="20"/>
        <w:ind w:left="288"/>
      </w:pPr>
      <w:r>
        <w:rPr>
          <w:rFonts w:ascii="Times New Roman" w:hAnsi="Times New Roman"/>
          <w:i/>
          <w:sz w:val="19"/>
        </w:rPr>
        <w:t>(3) Họ tên, chức vụ của Lãnh đạo cơ quan chủ trì buổi tiếp (Giám đốc, Phó Giám đốc, Chủ tịch, Phó Chủ tịch...) và cán bộ chuyên môn được phân công cùng dự.</w:t>
      </w:r>
    </w:p>
    <w:p>
      <w:pPr>
        <w:spacing w:line="252" w:lineRule="auto" w:before="0" w:after="20"/>
        <w:ind w:left="288"/>
      </w:pPr>
      <w:r>
        <w:rPr>
          <w:rFonts w:ascii="Times New Roman" w:hAnsi="Times New Roman"/>
          <w:i/>
          <w:sz w:val="19"/>
        </w:rPr>
        <w:t>(4) Ghi đầy đủ họ tên, số CCCD/Định danh cá nhân, nơi cư trú, số điện thoại liên lạc của công dân; trường hợp nhiều người cùng khiếu nại về 1 nội dung thì cử người đại diện và ghi rõ số lượng người tham dự.</w:t>
      </w:r>
    </w:p>
    <w:p>
      <w:pPr>
        <w:spacing w:line="252" w:lineRule="auto" w:before="0" w:after="20"/>
        <w:ind w:left="288"/>
      </w:pPr>
      <w:r>
        <w:rPr>
          <w:rFonts w:ascii="Times New Roman" w:hAnsi="Times New Roman"/>
          <w:i/>
          <w:sz w:val="19"/>
        </w:rPr>
        <w:t>(5) Tóm tắt cô đọng, trung thực nội dung trình bày, kiến nghị, phản ánh hoặc khiếu nại, tố cáo của công dân; phân loại chính xác tính chất vụ việc.</w:t>
      </w:r>
    </w:p>
    <w:p>
      <w:pPr>
        <w:spacing w:line="252" w:lineRule="auto" w:before="0" w:after="20"/>
        <w:ind w:left="288"/>
      </w:pPr>
      <w:r>
        <w:rPr>
          <w:rFonts w:ascii="Times New Roman" w:hAnsi="Times New Roman"/>
          <w:i/>
          <w:sz w:val="19"/>
        </w:rPr>
        <w:t>(6) Ý kiến chỉ đạo kết luận của Lãnh đạo chủ trì tại buổi tiếp; phân loại hướng xử lý theo Mẫu 03/TCD (Thụ lý giải quyết / Hướng dẫn công dân / Chuyển đơn đến cơ quan có thẩm quyền / Vụ việc đã giải quyết hết thẩm quyền).</w:t>
      </w:r>
    </w:p>
    <w:p>
      <w:pPr>
        <w:spacing w:line="252" w:lineRule="auto" w:before="0" w:after="20"/>
        <w:ind w:left="288"/>
      </w:pPr>
      <w:r>
        <w:rPr>
          <w:rFonts w:ascii="Times New Roman" w:hAnsi="Times New Roman"/>
          <w:i/>
          <w:sz w:val="19"/>
        </w:rPr>
        <w:t>(7) Phân công cụ thể phòng, ban, đơn vị hoặc cán bộ thụ lý theo dõi; ghi chép chi tiết tiến độ xác minh thực địa, đôn đốc giải quyết.</w:t>
      </w:r>
    </w:p>
    <w:p>
      <w:pPr>
        <w:spacing w:line="252" w:lineRule="auto" w:before="0" w:after="20"/>
        <w:ind w:left="288"/>
      </w:pPr>
      <w:r>
        <w:rPr>
          <w:rFonts w:ascii="Times New Roman" w:hAnsi="Times New Roman"/>
          <w:i/>
          <w:sz w:val="19"/>
        </w:rPr>
        <w:t>(8) Ghi rõ số hiệu, ngày ban hành Thông báo Kết luận tiếp công dân, Văn bản trả lời hoặc Quyết định giải quyết; ngày gửi trả lời công dân; cập nhật trạng thái đã giải quyết xong hay đang xử lý.</w:t>
      </w:r>
    </w:p>
    <w:p>
      <w:pPr>
        <w:spacing w:line="252" w:lineRule="auto" w:before="0" w:after="20"/>
        <w:ind w:left="288"/>
      </w:pPr>
      <w:r>
        <w:rPr>
          <w:rFonts w:ascii="Times New Roman" w:hAnsi="Times New Roman"/>
          <w:i/>
          <w:sz w:val="19"/>
        </w:rPr>
        <w:t>(9) Ký nhận của công dân hoặc ghi chú lưu trữ số hồ sơ phục vụ tra cứu trên Cơ sở dữ liệu quốc gia về tiếp công dân theo Điều 27 Nghị định 154/2026/NĐ-CP.</w:t>
      </w:r>
    </w:p>
    <w:tbl>
      <w:tblPr>
        <w:tblW w:type="auto" w:w="0"/>
        <w:jc w:val="center"/>
        <w:tblLayout w:type="fixed"/>
        <w:tblLook w:firstColumn="1" w:firstRow="1" w:lastColumn="0" w:lastRow="0" w:noHBand="0" w:noVBand="1" w:val="04A0"/>
      </w:tblPr>
      <w:tblGrid>
        <w:gridCol w:w="7286"/>
        <w:gridCol w:w="7286"/>
      </w:tblGrid>
      <w:tr>
        <w:tc>
          <w:tcPr>
            <w:tcW w:type="dxa" w:w="6480"/>
            <w:tcBorders>
              <w:top w:val="none"/>
              <w:left w:val="none"/>
              <w:bottom w:val="none"/>
              <w:right w:val="none"/>
            </w:tcBorders>
            <w:tcMar>
              <w:top w:w="80" w:type="dxa"/>
              <w:bottom w:w="40" w:type="dxa"/>
              <w:left w:w="0" w:type="dxa"/>
              <w:right w:w="20" w:type="dxa"/>
            </w:tcMar>
          </w:tcPr>
          <w:p>
            <w:pPr>
              <w:spacing w:line="252" w:lineRule="auto" w:after="40"/>
            </w:pPr>
            <w:r>
              <w:rPr>
                <w:rFonts w:ascii="Times New Roman" w:hAnsi="Times New Roman"/>
                <w:b/>
                <w:i/>
                <w:sz w:val="22"/>
              </w:rPr>
              <w:t>Nơi nhận:</w:t>
            </w:r>
          </w:p>
          <w:p>
            <w:pPr>
              <w:spacing w:line="252" w:lineRule="auto" w:before="0" w:after="20"/>
              <w:ind w:left="216"/>
            </w:pPr>
            <w:r>
              <w:rPr>
                <w:rFonts w:ascii="Times New Roman" w:hAnsi="Times New Roman"/>
                <w:sz w:val="20"/>
              </w:rPr>
              <w:t>- Giám đốc Chi nhánh (để b/c);</w:t>
            </w:r>
          </w:p>
          <w:p>
            <w:pPr>
              <w:spacing w:line="252" w:lineRule="auto" w:before="0" w:after="20"/>
              <w:ind w:left="216"/>
            </w:pPr>
            <w:r>
              <w:rPr>
                <w:rFonts w:ascii="Times New Roman" w:hAnsi="Times New Roman"/>
                <w:sz w:val="20"/>
              </w:rPr>
              <w:t>- Ban Tiếp công dân cấp trên;</w:t>
            </w:r>
          </w:p>
          <w:p>
            <w:pPr>
              <w:spacing w:line="252" w:lineRule="auto" w:before="0" w:after="20"/>
              <w:ind w:left="216"/>
            </w:pPr>
            <w:r>
              <w:rPr>
                <w:rFonts w:ascii="Times New Roman" w:hAnsi="Times New Roman"/>
                <w:sz w:val="20"/>
              </w:rPr>
              <w:t>- Các Tổ chuyên môn (để p/h thực hiện);</w:t>
            </w:r>
          </w:p>
          <w:p>
            <w:pPr>
              <w:spacing w:line="252" w:lineRule="auto" w:before="0" w:after="20"/>
              <w:ind w:left="216"/>
            </w:pPr>
            <w:r>
              <w:rPr>
                <w:rFonts w:ascii="Times New Roman" w:hAnsi="Times New Roman"/>
                <w:sz w:val="20"/>
              </w:rPr>
              <w:t>- Lưu: VT, Bộ phận Tiếp công dân.</w:t>
            </w:r>
          </w:p>
        </w:tc>
        <w:tc>
          <w:tcPr>
            <w:tcW w:type="dxa" w:w="8064"/>
            <w:tcBorders>
              <w:top w:val="none"/>
              <w:left w:val="none"/>
              <w:bottom w:val="none"/>
              <w:right w:val="none"/>
            </w:tcBorders>
            <w:tcMar>
              <w:top w:w="80" w:type="dxa"/>
              <w:bottom w:w="40" w:type="dxa"/>
              <w:left w:w="20" w:type="dxa"/>
              <w:right w:w="0" w:type="dxa"/>
            </w:tcMar>
          </w:tcPr>
          <w:p>
            <w:pPr>
              <w:spacing w:line="264" w:lineRule="auto" w:after="40"/>
              <w:jc w:val="center"/>
            </w:pPr>
            <w:r>
              <w:rPr>
                <w:rFonts w:ascii="Times New Roman" w:hAnsi="Times New Roman"/>
                <w:b/>
                <w:sz w:val="24"/>
              </w:rPr>
              <w:t>CHI NHÁNH VĂN PHÒNG ĐĂNG KÝ ĐẤT ĐAI</w:t>
              <w:br/>
              <w:t>GIÁM ĐỐC</w:t>
            </w:r>
          </w:p>
          <w:p>
            <w:pPr>
              <w:spacing w:before="900" w:after="40"/>
              <w:jc w:val="center"/>
            </w:pPr>
            <w:r>
              <w:rPr>
                <w:rFonts w:ascii="Times New Roman" w:hAnsi="Times New Roman"/>
                <w:b/>
                <w:sz w:val="26"/>
              </w:rPr>
              <w:t>Trần Văn Minh</w:t>
            </w:r>
          </w:p>
        </w:tc>
      </w:tr>
    </w:tbl>
    <w:sectPr w:rsidR="00FC693F" w:rsidRPr="0006063C" w:rsidSect="00034616">
      <w:headerReference w:type="default" r:id="rId9"/>
      <w:pgSz w:w="16834" w:h="11909" w:orient="landscape"/>
      <w:pgMar w:top="1138" w:right="850" w:bottom="1138" w:left="141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fldSimple w:instr="PAGE">
      <w:r>
        <w:rPr>
          <w:rFonts w:ascii="Times New Roman" w:hAnsi="Times New Roman"/>
          <w:sz w:val="26"/>
          <w:szCs w:val="26"/>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6"/>
        <w:szCs w:val="26"/>
        <w:color w:val="000000"/>
        <w:lang w:val="vi-VN"/>
      </w:rPr>
    </w:rPrDefault>
    <w:pPrDefault>
      <w:pPr>
        <w:spacing w:before="0" w:after="8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