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</w:rPr>
        <w:t>Đơn vị: CHI NHÁNH VĂN PHÒNG ĐĂNG KÝ ĐẤT ĐAI SỐ 23</w:t>
      </w:r>
    </w:p>
    <w:p>
      <w:pPr>
        <w:spacing w:after="120"/>
        <w:jc w:val="center"/>
      </w:pPr>
      <w:r>
        <w:rPr>
          <w:rFonts w:ascii="Times New Roman" w:hAnsi="Times New Roman"/>
          <w:b/>
        </w:rPr>
        <w:t>BẢNG ĐỐI CHIẾU</w:t>
        <w:br/>
        <w:t>NHU CẦU DIỆN TÍCH LÀM VĂN PHÒNG LÀM VIỆC VÀ KHO LƯU TRỮ CẦN THIẾT THEO ĐỊNH MỨC NHÀ NƯỚC</w:t>
      </w:r>
    </w:p>
    <w:p>
      <w:pPr>
        <w:spacing w:after="40"/>
      </w:pPr>
      <w:r>
        <w:rPr>
          <w:rFonts w:ascii="Times New Roman" w:hAnsi="Times New Roman"/>
          <w:i/>
          <w:sz w:val="22"/>
        </w:rPr>
        <w:t>- Căn cứ định mức tại Nghị định số 155/2025/NĐ-CP ngày 16 tháng 6 năm 2025 của Chính phủ quy định tiêu chuẩn, định mức sử dụng trụ sở làm việc, cơ sở hoạt động sự nghiệp;</w:t>
      </w:r>
    </w:p>
    <w:p>
      <w:pPr>
        <w:spacing w:after="40"/>
      </w:pPr>
      <w:r>
        <w:rPr>
          <w:rFonts w:ascii="Times New Roman" w:hAnsi="Times New Roman"/>
          <w:i/>
          <w:sz w:val="22"/>
        </w:rPr>
        <w:t>- Căn cứ Nghị định số 186/2025/NĐ-CP ngày 01 tháng 7 năm 2025 và Nghị định số 286/2025/NĐ-CP ngày 03 tháng 11 năm 2025 của Chính phủ sửa đổi, bổ sung một số điều của các Nghị định trong lĩnh vực quản lý, sử dụng tài sản công;</w:t>
      </w:r>
    </w:p>
    <w:p>
      <w:pPr>
        <w:spacing w:after="40"/>
      </w:pPr>
      <w:r>
        <w:rPr>
          <w:rFonts w:ascii="Times New Roman" w:hAnsi="Times New Roman"/>
          <w:i/>
          <w:sz w:val="22"/>
        </w:rPr>
        <w:t>- Căn cứ Thông tư số 09/2007/TT-BNV ngày 26 tháng 11 năm 2007 của Bộ Nội vụ hướng dẫn kho lưu trữ chuyên dùng;</w:t>
      </w:r>
    </w:p>
    <w:p>
      <w:pPr>
        <w:spacing w:after="40"/>
      </w:pPr>
      <w:r>
        <w:rPr>
          <w:rFonts w:ascii="Times New Roman" w:hAnsi="Times New Roman"/>
          <w:i/>
          <w:sz w:val="22"/>
        </w:rPr>
        <w:t>- Căn cứ Tiêu chuẩn quốc gia TCVN 4319:2012 về Nhà và công trình công cộng - Nguyên tắc cơ bản để thiết kế;</w:t>
      </w:r>
    </w:p>
    <w:p>
      <w:pPr>
        <w:spacing w:after="40"/>
      </w:pPr>
      <w:r>
        <w:rPr>
          <w:rFonts w:ascii="Times New Roman" w:hAnsi="Times New Roman"/>
          <w:i/>
          <w:sz w:val="22"/>
        </w:rPr>
        <w:t>- Căn cứ Quyết định số 480/QĐ-VPĐK-HC ngày 30 tháng 3 năm 2026 của Giám đốc Văn phòng Đăng ký đất đai Thành phố Hồ Chí Minh.</w:t>
      </w:r>
    </w:p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80"/>
        <w:gridCol w:w="4252"/>
        <w:gridCol w:w="1587"/>
        <w:gridCol w:w="1417"/>
        <w:gridCol w:w="1701"/>
        <w:gridCol w:w="1701"/>
        <w:gridCol w:w="2835"/>
      </w:tblGrid>
      <w:tr>
        <w:tc>
          <w:tcPr>
            <w:tcW w:type="dxa" w:w="202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STT</w:t>
            </w:r>
          </w:p>
        </w:tc>
        <w:tc>
          <w:tcPr>
            <w:tcW w:type="dxa" w:w="202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Chỉ tiêu</w:t>
            </w:r>
          </w:p>
        </w:tc>
        <w:tc>
          <w:tcPr>
            <w:tcW w:type="dxa" w:w="202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Hiện trạng diện tích (m2)</w:t>
            </w:r>
          </w:p>
        </w:tc>
        <w:tc>
          <w:tcPr>
            <w:tcW w:type="dxa" w:w="202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Số người hoặc số mét tài liệu</w:t>
            </w:r>
          </w:p>
        </w:tc>
        <w:tc>
          <w:tcPr>
            <w:tcW w:type="dxa" w:w="202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Diện tích cần thiết theo định mức Nhà nước (m2)</w:t>
            </w:r>
          </w:p>
        </w:tc>
        <w:tc>
          <w:tcPr>
            <w:tcW w:type="dxa" w:w="202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So sánh: Hiện trạng - Nhu cầu (m2)</w:t>
            </w:r>
          </w:p>
        </w:tc>
        <w:tc>
          <w:tcPr>
            <w:tcW w:type="dxa" w:w="202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Ghi chú: định mức Nhà nước quy định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A</w:t>
            </w:r>
          </w:p>
        </w:tc>
        <w:tc>
          <w:tcPr>
            <w:tcW w:type="dxa" w:w="4252"/>
          </w:tcPr>
          <w:p>
            <w:r>
              <w:rPr>
                <w:rFonts w:ascii="Times New Roman" w:hAnsi="Times New Roman"/>
                <w:b/>
                <w:sz w:val="22"/>
              </w:rPr>
              <w:t>HIỆN TRẠNG NHÀ, ĐẤT ĐANG SỬ DỤNG VÀ ĐỀ NGHỊ TIẾP NHẬN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/>
                <w:b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4252"/>
          </w:tcPr>
          <w:p>
            <w:r>
              <w:rPr>
                <w:rFonts w:ascii="Times New Roman" w:hAnsi="Times New Roman"/>
                <w:sz w:val="22"/>
              </w:rPr>
              <w:t>Cơ sở hiện hữu: Số 358 Huỳnh Văn Cù, P. Thủ Dầu Một</w:t>
              <w:br/>
              <w:t>- Diện tích đất: 1.417,70 m2</w:t>
              <w:br/>
              <w:t>- Diện tích sàn xây dựng: 835,30 m2</w:t>
              <w:br/>
              <w:t>- Cấp nhà: Cấp III, kết cấu khung, sàn BTCT, tường gạch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835,30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85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2.851,00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-2.015,70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/>
                <w:sz w:val="22"/>
              </w:rPr>
              <w:t>Biên bản bàn giao ngày 09/5/2019; thực tế mới đáp ứng 29,29% định mức.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4252"/>
          </w:tcPr>
          <w:p>
            <w:r>
              <w:rPr>
                <w:rFonts w:ascii="Times New Roman" w:hAnsi="Times New Roman"/>
                <w:sz w:val="22"/>
              </w:rPr>
              <w:t>Cơ sở đề nghị điều chuyển: Điểm trạm y tế 3 (P. Chánh Mỹ cũ)</w:t>
              <w:br/>
              <w:t>- Vị trí: Đường Huỳnh Văn Cù (liền kề số 358)</w:t>
              <w:br/>
              <w:t>- Diện tích khuôn viên đất: 1.276,20 m2</w:t>
              <w:br/>
              <w:t>- Diện tích sàn xây dựng: 548 m2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1.276,20 (đất)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-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1.276,20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0,00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/>
                <w:sz w:val="22"/>
              </w:rPr>
              <w:t>Tờ trình 195, 427 của Trạm Y tế và CV 1136 của UBND phường. Đang bỏ trống.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B</w:t>
            </w:r>
          </w:p>
        </w:tc>
        <w:tc>
          <w:tcPr>
            <w:tcW w:type="dxa" w:w="4252"/>
          </w:tcPr>
          <w:p>
            <w:r>
              <w:rPr>
                <w:rFonts w:ascii="Times New Roman" w:hAnsi="Times New Roman"/>
                <w:b/>
                <w:sz w:val="22"/>
              </w:rPr>
              <w:t>DIỆN TÍCH SÀN LÀM VIỆC THEO TIÊU CHUẨN ĐỊNH MỨC NGHỊ ĐỊNH 155/2025/NĐ-CP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629,30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85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2.851,00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-2.221,70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/>
                <w:b/>
                <w:sz w:val="22"/>
              </w:rPr>
              <w:t>Tổng nhu cầu định mức theo Nghị định số 155/2025/NĐ-CP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1</w:t>
            </w:r>
          </w:p>
        </w:tc>
        <w:tc>
          <w:tcPr>
            <w:tcW w:type="dxa" w:w="4252"/>
          </w:tcPr>
          <w:p>
            <w:r>
              <w:rPr>
                <w:rFonts w:ascii="Times New Roman" w:hAnsi="Times New Roman"/>
                <w:b/>
                <w:sz w:val="22"/>
              </w:rPr>
              <w:t>Diện tích làm việc của các chức danh (85 người):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280,00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85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1.275,00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-995,00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/>
                <w:b/>
                <w:sz w:val="22"/>
              </w:rPr>
              <w:t>Phụ lục II Nghị định số 155/2025/NĐ-CP ngày 16/6/2025 của Chính phủ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1.1</w:t>
            </w:r>
          </w:p>
        </w:tc>
        <w:tc>
          <w:tcPr>
            <w:tcW w:type="dxa" w:w="4252"/>
          </w:tcPr>
          <w:p>
            <w:r>
              <w:rPr>
                <w:rFonts w:ascii="Times New Roman" w:hAnsi="Times New Roman"/>
                <w:sz w:val="22"/>
              </w:rPr>
              <w:t>Ban Giám đốc Chi nhánh: 03 người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70,00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03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60,00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+10,00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/>
                <w:sz w:val="22"/>
              </w:rPr>
              <w:t>Định mức tối đa 20 m2/người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1.2</w:t>
            </w:r>
          </w:p>
        </w:tc>
        <w:tc>
          <w:tcPr>
            <w:tcW w:type="dxa" w:w="4252"/>
          </w:tcPr>
          <w:p>
            <w:r>
              <w:rPr>
                <w:rFonts w:ascii="Times New Roman" w:hAnsi="Times New Roman"/>
                <w:sz w:val="22"/>
              </w:rPr>
              <w:t>Chuyên viên và các chức danh tương đương: 79 người</w:t>
              <w:br/>
              <w:t>(Gồm 42 viên chức chuyên ngành + 37 chuyên viên dùng chung)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210,00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79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1.185,00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-975,00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/>
                <w:sz w:val="22"/>
              </w:rPr>
              <w:t>Định mức tối đa 15 m2/người (Số thứ tự 9, Phụ lục II)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1.3</w:t>
            </w:r>
          </w:p>
        </w:tc>
        <w:tc>
          <w:tcPr>
            <w:tcW w:type="dxa" w:w="4252"/>
          </w:tcPr>
          <w:p>
            <w:r>
              <w:rPr>
                <w:rFonts w:ascii="Times New Roman" w:hAnsi="Times New Roman"/>
                <w:sz w:val="22"/>
              </w:rPr>
              <w:t>Cá nhân ký hợp đồng lao động phục vụ: 03 người</w:t>
              <w:br/>
              <w:t>(01 nhân viên phục vụ, 02 nhân viên bảo vệ)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0,00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03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30,00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-30,00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/>
                <w:sz w:val="22"/>
              </w:rPr>
              <w:t>Định mức tối đa 10 m2/người (Số thứ tự 10, Phụ lục II)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2</w:t>
            </w:r>
          </w:p>
        </w:tc>
        <w:tc>
          <w:tcPr>
            <w:tcW w:type="dxa" w:w="4252"/>
          </w:tcPr>
          <w:p>
            <w:r>
              <w:rPr>
                <w:rFonts w:ascii="Times New Roman" w:hAnsi="Times New Roman"/>
                <w:b/>
                <w:sz w:val="22"/>
              </w:rPr>
              <w:t>Tổng diện tích sử dụng chung: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349,30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85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1.576,00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-1.226,70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Tổng hợp định mức theo Khoản 2 Điều 6 và Khoản 3 Điều 3 Nghị định số 155/2025/NĐ-CP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2.1</w:t>
            </w:r>
          </w:p>
        </w:tc>
        <w:tc>
          <w:tcPr>
            <w:tcW w:type="dxa" w:w="4252"/>
          </w:tcPr>
          <w:p>
            <w:r>
              <w:rPr>
                <w:rFonts w:ascii="Times New Roman" w:hAnsi="Times New Roman"/>
                <w:sz w:val="22"/>
              </w:rPr>
              <w:t>Diện tích sử dụng chung toàn trụ sở gồm:</w:t>
              <w:br/>
              <w:t>- Bộ phận Một cửa tiếp nhận và trả kết quả: 26,00 m2</w:t>
              <w:br/>
              <w:t>- Phòng họp chuyên môn kết hợp tiếp dân: 26,00 m2</w:t>
              <w:br/>
              <w:t>- Phòng máy chủ, CNTT: 15,00 m2</w:t>
              <w:br/>
              <w:t>- Sảnh, hành lang, cầu thang, khu vệ sinh, PCCC: 123,30 m2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149,30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-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1.071,00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-921,70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/>
                <w:sz w:val="22"/>
              </w:rPr>
              <w:t>Khoản 2 Điều 6 Nghị định 155: Tối đa không quá 85% diện tích chức danh (1.260 x 85% = 1.071 m2)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2.2</w:t>
            </w:r>
          </w:p>
        </w:tc>
        <w:tc>
          <w:tcPr>
            <w:tcW w:type="dxa" w:w="4252"/>
          </w:tcPr>
          <w:p>
            <w:r>
              <w:rPr>
                <w:rFonts w:ascii="Times New Roman" w:hAnsi="Times New Roman"/>
                <w:sz w:val="22"/>
              </w:rPr>
              <w:t>Diện tích nhà để xe (Công trình ngoài nhà):</w:t>
              <w:br/>
              <w:t>(Đáp ứng nhu cầu cho 85 CBCNV và khách liên hệ giải quyết TTHC)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200,00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85 người</w:t>
              <w:br/>
              <w:t>+ khách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505,00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-305,00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/>
                <w:sz w:val="22"/>
              </w:rPr>
              <w:t>Khoản 3 Điều 3 NĐ 155 và TCVN 4319:2012 (Mô tô 3 m2/xe; ô tô 25 m2/xe). Không tính vào diện tích sàn thông thủy.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C</w:t>
            </w:r>
          </w:p>
        </w:tc>
        <w:tc>
          <w:tcPr>
            <w:tcW w:type="dxa" w:w="4252"/>
          </w:tcPr>
          <w:p>
            <w:r>
              <w:rPr>
                <w:rFonts w:ascii="Times New Roman" w:hAnsi="Times New Roman"/>
                <w:b/>
                <w:sz w:val="22"/>
              </w:rPr>
              <w:t>DIỆN TÍCH KHO LƯU TRỮ VÀ XỬ LÝ NGHIỆP VỤ HỒ SƠ ĐỊA CHÍNH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406,00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&gt;3.000m TL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900,00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-494,00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/>
                <w:b/>
                <w:sz w:val="22"/>
              </w:rPr>
              <w:t>Căn cứ Thông tư số 09/2007/TT-BNV hướng dẫn kho lưu trữ chuyên dùng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4252"/>
          </w:tcPr>
          <w:p>
            <w:r>
              <w:rPr>
                <w:rFonts w:ascii="Times New Roman" w:hAnsi="Times New Roman"/>
                <w:sz w:val="22"/>
              </w:rPr>
              <w:t>Diện tích sàn kho bảo quản hồ sơ địa chính gốc:</w:t>
              <w:br/>
              <w:t>- Kho lưu trữ hồ sơ địa chính hiện hữu (2019): 391,00 m2</w:t>
              <w:br/>
              <w:t>- Kho lưu trữ hồ sơ tiếp nhận sau sáp nhập (2025): 15,00 m2</w:t>
              <w:br/>
              <w:t>=&gt; Tổng diện tích kho hiện trạng: 406,00 m2 (391,00 + 15,00)</w:t>
              <w:br/>
              <w:t>- Nhu cầu kho bảo quản hồ sơ biến động tích lũy: 600,00 m2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406,00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&gt;3.000m</w:t>
              <w:br/>
              <w:t>giá tài liệu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600,00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-194,00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/>
                <w:sz w:val="22"/>
              </w:rPr>
              <w:t>Thông tư 09/2007/TT-BNV: Kho lưu trữ loại 3 và loại 4 diện tích 500 - 936 m2.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4252"/>
          </w:tcPr>
          <w:p>
            <w:r>
              <w:rPr>
                <w:rFonts w:ascii="Times New Roman" w:hAnsi="Times New Roman"/>
                <w:sz w:val="22"/>
              </w:rPr>
              <w:t>Khu vực xử lý nghiệp vụ lưu trữ:</w:t>
              <w:br/>
              <w:t>(Tiếp nhận, phân loại, bóc tách, chỉnh lý, khử trùng, số hóa hồ sơ)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0,00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-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300,00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-300,00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/>
                <w:sz w:val="22"/>
              </w:rPr>
              <w:t>Thông tư 09/2007/TT-BNV: Bố trí bằng 50% diện tích sàn kho bảo quản tài liệu.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type="dxa" w:w="4252"/>
          </w:tcPr>
          <w:p>
            <w:r>
              <w:rPr>
                <w:rFonts w:ascii="Times New Roman" w:hAnsi="Times New Roman"/>
                <w:sz w:val="22"/>
              </w:rPr>
              <w:t>Cơ sở đề xuất giải quyết kho lưu trữ:</w:t>
              <w:br/>
              <w:t>Tiếp nhận điều chuyển Điểm trạm y tế 3 dôi dư liền kề</w:t>
              <w:br/>
              <w:t>(1.276,20 m2 đất, 548m2 diện tích sàn hiện hữu )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1.276,20 (đất)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-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1.276,20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Đạt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/>
                <w:sz w:val="22"/>
              </w:rPr>
              <w:t>Tối ưu hóa tài sản công dôi dư theo NĐ 186/2025/NĐ-CP và NĐ 286/2025/NĐ-CP.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</w:r>
          </w:p>
        </w:tc>
        <w:tc>
          <w:tcPr>
            <w:tcW w:type="dxa" w:w="4252"/>
          </w:tcPr>
          <w:p>
            <w:r>
              <w:rPr>
                <w:rFonts w:ascii="Times New Roman" w:hAnsi="Times New Roman"/>
                <w:b/>
                <w:sz w:val="22"/>
              </w:rPr>
              <w:t>TỔNG CỘNG ĐỐI CHIẾU TOÀN TRỤ SỞ (B + C)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1.035,30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85 người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3.751,00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-2.715,70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/>
                <w:b/>
                <w:sz w:val="22"/>
              </w:rPr>
              <w:t>Hiện trạng mới chỉ đáp ứng 27,60% nhu cầu định mức. Cần thiết bắt buộc phải bổ sung kho Điểm trạm y tế 3.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7070"/>
        <w:gridCol w:w="7070"/>
      </w:tblGrid>
      <w:tr>
        <w:tc>
          <w:tcPr>
            <w:tcW w:type="dxa" w:w="707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707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i/>
              </w:rPr>
              <w:t>Thủ Dầu Một, ngày 01 tháng 10 năm 2026</w:t>
            </w:r>
          </w:p>
        </w:tc>
      </w:tr>
      <w:tr>
        <w:tc>
          <w:tcPr>
            <w:tcW w:type="dxa" w:w="707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</w:rPr>
              <w:t>NGƯỜI LẬP PHƯƠNG ÁN</w:t>
            </w:r>
          </w:p>
        </w:tc>
        <w:tc>
          <w:tcPr>
            <w:tcW w:type="dxa" w:w="707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</w:rPr>
              <w:t>KT. GIÁM ĐỐC</w:t>
              <w:br/>
              <w:t>PHÓ GIÁM ĐỐC</w:t>
            </w:r>
          </w:p>
        </w:tc>
      </w:tr>
      <w:tr>
        <w:tc>
          <w:tcPr>
            <w:tcW w:type="dxa" w:w="707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1200"/>
              <w:jc w:val="center"/>
            </w:pPr>
            <w:r>
              <w:rPr>
                <w:rFonts w:ascii="Times New Roman" w:hAnsi="Times New Roman"/>
                <w:b/>
              </w:rPr>
              <w:t>Nguyễn Thị Bích Tuyền</w:t>
            </w:r>
          </w:p>
        </w:tc>
        <w:tc>
          <w:tcPr>
            <w:tcW w:type="dxa" w:w="707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1200"/>
              <w:jc w:val="center"/>
            </w:pPr>
            <w:r>
              <w:rPr>
                <w:rFonts w:ascii="Times New Roman" w:hAnsi="Times New Roman"/>
                <w:b/>
              </w:rPr>
              <w:t>Đặng Huy Cường</w:t>
            </w:r>
          </w:p>
        </w:tc>
      </w:tr>
    </w:tbl>
    <w:sectPr w:rsidR="00FC693F" w:rsidRPr="0006063C" w:rsidSect="00034616">
      <w:pgSz w:w="15840" w:h="12240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