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320"/>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b w:val="0"/>
                <w:sz w:val="24"/>
              </w:rPr>
              <w:t>SỞ NÔNG NGHIỆP VÀ MÔI TRƯỜNG</w:t>
              <w:br/>
              <w:t>VĂN PHÒNG ĐĂNG KÝ ĐẤT ĐAI TP.HCM</w:t>
              <w:br/>
            </w:r>
            <w:r>
              <w:rPr>
                <w:rFonts w:ascii="Times New Roman" w:hAnsi="Times New Roman"/>
                <w:b/>
                <w:sz w:val="26"/>
              </w:rPr>
              <w:t>CHI NHÁNH SỐ 23</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i/>
                <w:sz w:val="26"/>
              </w:rPr>
              <w:t>Mã số QHNS: 1122149</w:t>
            </w:r>
          </w:p>
        </w:tc>
        <w:tc>
          <w:tcPr>
            <w:tcW w:type="dxa" w:w="5040"/>
            <w:tcBorders>
              <w:top w:val="none"/>
              <w:left w:val="none"/>
              <w:bottom w:val="none"/>
              <w:right w:val="none"/>
            </w:tcBorders>
            <w:tcMar>
              <w:top w:w="0" w:type="dxa"/>
              <w:bottom w:w="0" w:type="dxa"/>
              <w:left w:w="0" w:type="dxa"/>
              <w:right w:w="0" w:type="dxa"/>
            </w:tcMar>
          </w:tcPr>
          <w:p>
            <w:pPr>
              <w:spacing w:after="0" w:line="252" w:lineRule="auto"/>
              <w:jc w:val="center"/>
            </w:pPr>
            <w:r>
              <w:rPr>
                <w:rFonts w:ascii="Times New Roman" w:hAnsi="Times New Roman"/>
                <w:b/>
                <w:sz w:val="26"/>
              </w:rPr>
              <w:t>CỘNG HÒA XÃ HỘI CHỦ NGHĨA VIỆT NAM</w:t>
              <w:br/>
            </w:r>
            <w:r>
              <w:rPr>
                <w:rFonts w:ascii="Times New Roman" w:hAnsi="Times New Roman"/>
                <w:b/>
                <w:sz w:val="26"/>
              </w:rPr>
              <w:t>Độc lập - Tự do - Hạnh phúc</w:t>
            </w:r>
          </w:p>
          <w:p>
            <w:pPr>
              <w:spacing w:before="0" w:after="80" w:line="192" w:lineRule="auto"/>
              <w:jc w:val="center"/>
            </w:pPr>
            <w:r>
              <w:rPr>
                <w:rFonts w:ascii="Times New Roman" w:hAnsi="Times New Roman"/>
                <w:b/>
                <w:sz w:val="17"/>
              </w:rPr>
              <w:t>——————————————————</w:t>
            </w:r>
          </w:p>
          <w:p>
            <w:pPr>
              <w:spacing w:before="0" w:after="0"/>
              <w:jc w:val="center"/>
            </w:pPr>
            <w:r>
              <w:rPr>
                <w:rFonts w:ascii="Times New Roman" w:hAnsi="Times New Roman"/>
                <w:i/>
                <w:sz w:val="26"/>
              </w:rPr>
              <w:t>Thành phố Hồ Chí Minh, ngày 07 tháng 10 năm 2026</w:t>
            </w:r>
          </w:p>
        </w:tc>
      </w:tr>
    </w:tbl>
    <w:p>
      <w:pPr>
        <w:spacing w:before="320" w:after="80"/>
        <w:jc w:val="center"/>
      </w:pPr>
      <w:r>
        <w:rPr>
          <w:rFonts w:ascii="Times New Roman" w:hAnsi="Times New Roman"/>
          <w:b/>
          <w:sz w:val="28"/>
        </w:rPr>
        <w:t>PHƯƠNG ÁN DỰ TOÁN KINH PHÍ</w:t>
      </w:r>
    </w:p>
    <w:p>
      <w:pPr>
        <w:spacing w:before="0" w:after="40" w:line="276" w:lineRule="auto"/>
        <w:jc w:val="center"/>
      </w:pPr>
      <w:r>
        <w:rPr>
          <w:rFonts w:ascii="Times New Roman" w:hAnsi="Times New Roman"/>
          <w:b/>
          <w:sz w:val="26"/>
        </w:rPr>
        <w:t>Về việc xin cấp kinh phí trang bị phương tiện PCCC (26 bình chữa cháy),</w:t>
        <w:br/>
        <w:t>thiết bị làm việc (01 máy in 2 mặt A4, 01 ghế ngồi Giám đốc) và cải tạo</w:t>
        <w:br/>
        <w:t>sửa chữa chống thấm dột kho lưu trữ hồ sơ địa chính của Chi nhánh số 23</w:t>
      </w:r>
    </w:p>
    <w:p>
      <w:pPr>
        <w:spacing w:before="0" w:after="240"/>
        <w:jc w:val="center"/>
      </w:pPr>
      <w:r>
        <w:rPr>
          <w:rFonts w:ascii="Times New Roman" w:hAnsi="Times New Roman"/>
          <w:b/>
          <w:sz w:val="20"/>
        </w:rPr>
        <w:t>————————————</w:t>
      </w:r>
    </w:p>
    <w:p>
      <w:pPr>
        <w:spacing w:before="240" w:after="80"/>
        <w:jc w:val="left"/>
      </w:pPr>
      <w:r>
        <w:rPr>
          <w:rFonts w:ascii="Times New Roman" w:hAnsi="Times New Roman"/>
          <w:b/>
          <w:sz w:val="26"/>
        </w:rPr>
        <w:t>I. CĂN CỨ PHÁP LÝ VÀ SỰ CẦN THIẾT XÂY DỰNG PHƯƠNG ÁN</w:t>
      </w:r>
    </w:p>
    <w:p>
      <w:pPr>
        <w:spacing w:before="120" w:after="60"/>
        <w:ind w:firstLine="648"/>
      </w:pPr>
      <w:r>
        <w:rPr>
          <w:rFonts w:ascii="Times New Roman" w:hAnsi="Times New Roman"/>
          <w:b/>
          <w:sz w:val="26"/>
        </w:rPr>
        <w:t>1. Căn cứ pháp lý</w:t>
      </w:r>
    </w:p>
    <w:p>
      <w:pPr>
        <w:spacing w:line="276" w:lineRule="auto" w:after="80" w:before="0"/>
        <w:ind w:firstLine="648"/>
        <w:jc w:val="both"/>
      </w:pPr>
      <w:r>
        <w:rPr>
          <w:rFonts w:ascii="Times New Roman" w:hAnsi="Times New Roman"/>
          <w:b/>
          <w:sz w:val="26"/>
        </w:rPr>
        <w:t xml:space="preserve">Căn cứ Luật Quản lý, sử dụng tài sản công </w:t>
      </w:r>
      <w:r>
        <w:rPr>
          <w:rFonts w:ascii="Times New Roman" w:hAnsi="Times New Roman"/>
          <w:sz w:val="26"/>
        </w:rPr>
        <w:t>ngày 21 tháng 6 năm 2017;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 ngày 25 tháng 6 năm 2025;</w:t>
      </w:r>
    </w:p>
    <w:p>
      <w:pPr>
        <w:spacing w:line="276" w:lineRule="auto" w:after="80" w:before="0"/>
        <w:ind w:firstLine="648"/>
        <w:jc w:val="both"/>
      </w:pPr>
      <w:r>
        <w:rPr>
          <w:rFonts w:ascii="Times New Roman" w:hAnsi="Times New Roman"/>
          <w:b/>
          <w:sz w:val="26"/>
        </w:rPr>
        <w:t xml:space="preserve">Căn cứ Luật Phòng cháy và chữa cháy </w:t>
      </w:r>
      <w:r>
        <w:rPr>
          <w:rFonts w:ascii="Times New Roman" w:hAnsi="Times New Roman"/>
          <w:sz w:val="26"/>
        </w:rPr>
        <w:t>ngày 29 tháng 6 năm 2001 và Luật sửa đổi, bổ sung một số điều của Luật Phòng cháy và chữa cháy ngày 22 tháng 11 năm 2013;</w:t>
      </w:r>
    </w:p>
    <w:p>
      <w:pPr>
        <w:spacing w:line="276" w:lineRule="auto" w:after="80" w:before="0"/>
        <w:ind w:firstLine="648"/>
        <w:jc w:val="both"/>
      </w:pPr>
      <w:r>
        <w:rPr>
          <w:rFonts w:ascii="Times New Roman" w:hAnsi="Times New Roman"/>
          <w:b/>
          <w:sz w:val="26"/>
        </w:rPr>
        <w:t xml:space="preserve">Căn cứ Luật Đấu thầu số 22/2023/QH15 </w:t>
      </w:r>
      <w:r>
        <w:rPr>
          <w:rFonts w:ascii="Times New Roman" w:hAnsi="Times New Roman"/>
          <w:sz w:val="26"/>
        </w:rPr>
        <w:t>ngày 23 tháng 6 năm 2023; Nghị định số 214/2025/NĐ-CP ngày 04 tháng 8 năm 2025 của Chính phủ quy định chi tiết một số điều và biện pháp thi hành Luật Đấu thầu về lựa chọn nhà thầu;</w:t>
      </w:r>
    </w:p>
    <w:p>
      <w:pPr>
        <w:spacing w:line="276" w:lineRule="auto" w:after="80" w:before="0"/>
        <w:ind w:firstLine="648"/>
        <w:jc w:val="both"/>
      </w:pPr>
      <w:r>
        <w:rPr>
          <w:rFonts w:ascii="Times New Roman" w:hAnsi="Times New Roman"/>
          <w:b/>
          <w:sz w:val="26"/>
        </w:rPr>
        <w:t xml:space="preserve">Căn cứ Nghị định số 136/2020/NĐ-CP </w:t>
      </w:r>
      <w:r>
        <w:rPr>
          <w:rFonts w:ascii="Times New Roman" w:hAnsi="Times New Roman"/>
          <w:sz w:val="26"/>
        </w:rPr>
        <w:t>ngày 24 tháng 11 năm 2020 và Nghị định số 50/2024/NĐ-CP ngày 10 tháng 5 năm 2024 của Chính phủ sửa đổi, bổ sung một số điều của Nghị định số 136/2020/NĐ-CP quy định chi tiết thi hành Luật Phòng cháy và chữa cháy;</w:t>
      </w:r>
    </w:p>
    <w:p>
      <w:pPr>
        <w:spacing w:line="276" w:lineRule="auto" w:after="80" w:before="0"/>
        <w:ind w:firstLine="648"/>
        <w:jc w:val="both"/>
      </w:pPr>
      <w:r>
        <w:rPr>
          <w:rFonts w:ascii="Times New Roman" w:hAnsi="Times New Roman"/>
          <w:b/>
          <w:sz w:val="26"/>
        </w:rPr>
        <w:t xml:space="preserve">Căn cứ Tiêu chuẩn Quốc gia TCVN 3890:2023 </w:t>
      </w:r>
      <w:r>
        <w:rPr>
          <w:rFonts w:ascii="Times New Roman" w:hAnsi="Times New Roman"/>
          <w:sz w:val="26"/>
        </w:rPr>
        <w:t>về Phòng cháy chữa cháy - Phương tiện phòng cháy và chữa cháy cho nhà và công trình - Trang bị, bố trí;</w:t>
      </w:r>
    </w:p>
    <w:p>
      <w:pPr>
        <w:spacing w:line="276" w:lineRule="auto" w:after="80" w:before="0"/>
        <w:ind w:firstLine="648"/>
        <w:jc w:val="both"/>
      </w:pPr>
      <w:r>
        <w:rPr>
          <w:rFonts w:ascii="Times New Roman" w:hAnsi="Times New Roman"/>
          <w:b/>
          <w:sz w:val="26"/>
        </w:rPr>
        <w:t xml:space="preserve">Căn cứ Quyết định số 50/2017/QĐ-TTg </w:t>
      </w:r>
      <w:r>
        <w:rPr>
          <w:rFonts w:ascii="Times New Roman" w:hAnsi="Times New Roman"/>
          <w:sz w:val="26"/>
        </w:rPr>
        <w:t>ngày 31 tháng 12 năm 2017 của Thủ tướng Chính phủ quy định tiêu chuẩn, định mức sử dụng máy móc, thiết bị;</w:t>
      </w:r>
    </w:p>
    <w:p>
      <w:pPr>
        <w:spacing w:line="276" w:lineRule="auto" w:after="80" w:before="0"/>
        <w:ind w:firstLine="648"/>
        <w:jc w:val="both"/>
      </w:pPr>
      <w:r>
        <w:rPr>
          <w:rFonts w:ascii="Times New Roman" w:hAnsi="Times New Roman"/>
          <w:b/>
          <w:sz w:val="26"/>
        </w:rPr>
        <w:t xml:space="preserve">Căn cứ Nghị định số 155/2025/NĐ-CP </w:t>
      </w:r>
      <w:r>
        <w:rPr>
          <w:rFonts w:ascii="Times New Roman" w:hAnsi="Times New Roman"/>
          <w:sz w:val="26"/>
        </w:rPr>
        <w:t>ngày 16 tháng 6 năm 2025 của Chính phủ quy định tiêu chuẩn, định mức sử dụng trụ sở làm việc, cơ sở hoạt động sự nghiệp;</w:t>
      </w:r>
    </w:p>
    <w:p>
      <w:pPr>
        <w:spacing w:line="276" w:lineRule="auto" w:after="80" w:before="0"/>
        <w:ind w:firstLine="648"/>
        <w:jc w:val="both"/>
      </w:pPr>
      <w:r>
        <w:rPr>
          <w:rFonts w:ascii="Times New Roman" w:hAnsi="Times New Roman"/>
          <w:b/>
          <w:sz w:val="26"/>
        </w:rPr>
        <w:t xml:space="preserve">Căn cứ Nghị định số 186/2025/NĐ-CP </w:t>
      </w:r>
      <w:r>
        <w:rPr>
          <w:rFonts w:ascii="Times New Roman" w:hAnsi="Times New Roman"/>
          <w:sz w:val="26"/>
        </w:rPr>
        <w:t>ngày 01 tháng 7 năm 2025 và Nghị định số 286/2025/NĐ-CP ngày 03 tháng 11 năm 2025 của Chính phủ về quản lý, sử dụng tài sản công;</w:t>
      </w:r>
    </w:p>
    <w:p>
      <w:pPr>
        <w:spacing w:line="276" w:lineRule="auto" w:after="80" w:before="0"/>
        <w:ind w:firstLine="648"/>
        <w:jc w:val="both"/>
      </w:pPr>
      <w:r>
        <w:rPr>
          <w:rFonts w:ascii="Times New Roman" w:hAnsi="Times New Roman"/>
          <w:b/>
          <w:sz w:val="26"/>
        </w:rPr>
        <w:t xml:space="preserve">Căn cứ Nghị định số 60/2021/NĐ-CP </w:t>
      </w:r>
      <w:r>
        <w:rPr>
          <w:rFonts w:ascii="Times New Roman" w:hAnsi="Times New Roman"/>
          <w:sz w:val="26"/>
        </w:rPr>
        <w:t>ngày 21 tháng 6 năm 2021 và Nghị định số 111/2025/NĐ-CP ngày 22 tháng 5 năm 2025 của Chính phủ quy định cơ chế tự chủ tài chính của đơn vị sự nghiệp công lập;</w:t>
      </w:r>
    </w:p>
    <w:p>
      <w:pPr>
        <w:spacing w:line="276" w:lineRule="auto" w:after="80" w:before="0"/>
        <w:ind w:firstLine="648"/>
        <w:jc w:val="both"/>
      </w:pPr>
      <w:r>
        <w:rPr>
          <w:rFonts w:ascii="Times New Roman" w:hAnsi="Times New Roman"/>
          <w:b/>
          <w:sz w:val="26"/>
        </w:rPr>
        <w:t xml:space="preserve">Căn cứ Thông tư số 65/2021/TT-BTC </w:t>
      </w:r>
      <w:r>
        <w:rPr>
          <w:rFonts w:ascii="Times New Roman" w:hAnsi="Times New Roman"/>
          <w:sz w:val="26"/>
        </w:rPr>
        <w:t>ngày 29 tháng 7 năm 2021 của Bộ Tài chính quy định về lập dự toán, quản lý, sử dụng và quyết toán kinh phí bảo dưỡng, sửa chữa tài sản công;</w:t>
      </w:r>
    </w:p>
    <w:p>
      <w:pPr>
        <w:spacing w:line="276" w:lineRule="auto" w:after="80" w:before="0"/>
        <w:ind w:firstLine="648"/>
        <w:jc w:val="both"/>
      </w:pPr>
      <w:r>
        <w:rPr>
          <w:rFonts w:ascii="Times New Roman" w:hAnsi="Times New Roman"/>
          <w:b/>
          <w:sz w:val="26"/>
        </w:rPr>
        <w:t xml:space="preserve">Căn cứ Quyết định số 1886/QĐ-UBND </w:t>
      </w:r>
      <w:r>
        <w:rPr>
          <w:rFonts w:ascii="Times New Roman" w:hAnsi="Times New Roman"/>
          <w:sz w:val="26"/>
        </w:rPr>
        <w:t>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spacing w:line="276" w:lineRule="auto" w:after="80" w:before="0"/>
        <w:ind w:firstLine="648"/>
        <w:jc w:val="both"/>
      </w:pPr>
      <w:r>
        <w:rPr>
          <w:rFonts w:ascii="Times New Roman" w:hAnsi="Times New Roman"/>
          <w:b/>
          <w:sz w:val="26"/>
        </w:rPr>
        <w:t xml:space="preserve">Căn cứ Quyết định số 2637/QĐ-SNNMT-VP </w:t>
      </w:r>
      <w:r>
        <w:rPr>
          <w:rFonts w:ascii="Times New Roman" w:hAnsi="Times New Roman"/>
          <w:sz w:val="26"/>
        </w:rPr>
        <w:t>ngày 30 tháng 12 năm 2025 của Giám đốc Sở Nông nghiệp và Môi trường Thành phố Hồ Chí Minh quy định chức năng, nhiệm vụ, quyền hạn và cơ cấu tổ chức của Chi nhánh Văn phòng đăng ký đất đai số 23;</w:t>
      </w:r>
    </w:p>
    <w:p>
      <w:pPr>
        <w:spacing w:line="276" w:lineRule="auto" w:after="80" w:before="0"/>
        <w:ind w:firstLine="648"/>
        <w:jc w:val="both"/>
      </w:pPr>
      <w:r>
        <w:rPr>
          <w:rFonts w:ascii="Times New Roman" w:hAnsi="Times New Roman"/>
          <w:b/>
          <w:sz w:val="26"/>
        </w:rPr>
        <w:t xml:space="preserve">Căn cứ Quyết định số 841/QĐ-SNNMT-VP </w:t>
      </w:r>
      <w:r>
        <w:rPr>
          <w:rFonts w:ascii="Times New Roman" w:hAnsi="Times New Roman"/>
          <w:sz w:val="26"/>
        </w:rPr>
        <w:t>ngày 30 tháng 9 năm 2026 của Giám đốc Sở Nông nghiệp và Môi trường Thành phố Hồ Chí Minh về việc điều động và bổ nhiệm ông Nguyễn Chiến Thắng giữ chức vụ Giám đốc Chi nhánh Văn phòng Đăng ký đất đai số 23 kể từ ngày 01 tháng 10 năm 2026;</w:t>
      </w:r>
    </w:p>
    <w:p>
      <w:pPr>
        <w:spacing w:line="276" w:lineRule="auto" w:after="80" w:before="0"/>
        <w:ind w:firstLine="648"/>
        <w:jc w:val="both"/>
      </w:pPr>
      <w:r>
        <w:rPr>
          <w:rFonts w:ascii="Times New Roman" w:hAnsi="Times New Roman"/>
          <w:b/>
          <w:sz w:val="26"/>
        </w:rPr>
        <w:t xml:space="preserve">Căn cứ Quyết định số 01/QĐ-VPĐK-HC </w:t>
      </w:r>
      <w:r>
        <w:rPr>
          <w:rFonts w:ascii="Times New Roman" w:hAnsi="Times New Roman"/>
          <w:sz w:val="26"/>
        </w:rPr>
        <w:t>ngày 02 tháng 10 năm 2025 của Giám đốc Văn phòng đăng ký đất đai Thành phố về ban hành Quy chế làm việc của Văn phòng đăng ký đất đai Thành phố Hồ Chí Minh;</w:t>
      </w:r>
    </w:p>
    <w:p>
      <w:pPr>
        <w:spacing w:line="276" w:lineRule="auto" w:after="80" w:before="0"/>
        <w:ind w:firstLine="648"/>
        <w:jc w:val="both"/>
      </w:pPr>
      <w:r>
        <w:rPr>
          <w:rFonts w:ascii="Times New Roman" w:hAnsi="Times New Roman"/>
          <w:b/>
          <w:sz w:val="26"/>
        </w:rPr>
        <w:t xml:space="preserve">Căn cứ Quyết định số 02/QĐ-VPĐK-HC </w:t>
      </w:r>
      <w:r>
        <w:rPr>
          <w:rFonts w:ascii="Times New Roman" w:hAnsi="Times New Roman"/>
          <w:sz w:val="26"/>
        </w:rPr>
        <w:t>ngày 02 tháng 10 năm 2025 của Giám đốc Văn phòng đăng ký đất đai Thành phố về ban hành Nội quy cơ quan Văn phòng đăng ký đất đai Thành phố Hồ Chí Minh;</w:t>
      </w:r>
    </w:p>
    <w:p>
      <w:pPr>
        <w:spacing w:line="276" w:lineRule="auto" w:after="80" w:before="0"/>
        <w:ind w:firstLine="648"/>
        <w:jc w:val="both"/>
      </w:pPr>
      <w:r>
        <w:rPr>
          <w:rFonts w:ascii="Times New Roman" w:hAnsi="Times New Roman"/>
          <w:b/>
          <w:sz w:val="26"/>
        </w:rPr>
        <w:t xml:space="preserve">Căn cứ Phương án số PA23r/PA-CN23 </w:t>
      </w:r>
      <w:r>
        <w:rPr>
          <w:rFonts w:ascii="Times New Roman" w:hAnsi="Times New Roman"/>
          <w:sz w:val="26"/>
        </w:rPr>
        <w:t>về sử dụng tài sản công phục vụ viên chức và người lao động tại Chi nhánh Văn phòng Đăng ký đất đai số 23 và Bảng đối chiếu định mức trụ sở theo Nghị định 155/2025/NĐ-CP;</w:t>
      </w:r>
    </w:p>
    <w:p>
      <w:pPr>
        <w:spacing w:line="276" w:lineRule="auto" w:after="80" w:before="0"/>
        <w:ind w:firstLine="648"/>
        <w:jc w:val="both"/>
      </w:pPr>
      <w:r>
        <w:rPr>
          <w:rFonts w:ascii="Times New Roman" w:hAnsi="Times New Roman"/>
          <w:b/>
          <w:sz w:val="26"/>
        </w:rPr>
        <w:t xml:space="preserve">Căn cứ Báo cáo tình hình PCCC năm 2026 </w:t>
      </w:r>
      <w:r>
        <w:rPr>
          <w:rFonts w:ascii="Times New Roman" w:hAnsi="Times New Roman"/>
          <w:sz w:val="26"/>
        </w:rPr>
        <w:t>ngày 05 tháng 10 năm 2026 của Chi nhánh Văn phòng Đăng ký đất đai số 23.</w:t>
      </w:r>
    </w:p>
    <w:p>
      <w:pPr>
        <w:spacing w:before="120" w:after="60"/>
        <w:ind w:firstLine="648"/>
      </w:pPr>
      <w:r>
        <w:rPr>
          <w:rFonts w:ascii="Times New Roman" w:hAnsi="Times New Roman"/>
          <w:b/>
          <w:sz w:val="26"/>
        </w:rPr>
        <w:t>2. Hiện trạng trụ sở và diện tích cơ sở nhà đất Chi nhánh số 23 (theo Phương án PA23r)</w:t>
      </w:r>
    </w:p>
    <w:p>
      <w:pPr>
        <w:spacing w:line="276" w:lineRule="auto" w:after="80" w:before="0"/>
        <w:ind w:firstLine="648"/>
        <w:jc w:val="both"/>
      </w:pPr>
      <w:r>
        <w:rPr>
          <w:rFonts w:ascii="Times New Roman" w:hAnsi="Times New Roman"/>
          <w:sz w:val="26"/>
        </w:rPr>
        <w:t>Chi nhánh Văn phòng Đăng ký đất đai số 23 đang trực tiếp quản lý, sử dụng cơ sở nhà, đất tại số 358 đường Huỳnh Văn Cù, khu phố Chánh Lộc 7, phường Thủ Dầu Một, Thành phố Hồ Chí Minh (tiếp nhận nguyên trạng từ UBND phường Chánh Mỹ cũ theo Biên bản bàn giao ngày 09/5/2019):</w:t>
      </w:r>
    </w:p>
    <w:p>
      <w:pPr>
        <w:spacing w:line="276" w:lineRule="auto" w:after="80" w:before="0"/>
        <w:ind w:firstLine="648"/>
        <w:jc w:val="both"/>
      </w:pPr>
      <w:r>
        <w:rPr>
          <w:rFonts w:ascii="Times New Roman" w:hAnsi="Times New Roman"/>
          <w:sz w:val="26"/>
        </w:rPr>
        <w:t>- Diện tích khuôn viên đất thực tế đang quản lý, sử dụng ổn định: 1.417,70 m².</w:t>
        <w:br/>
        <w:t>- Tổng diện tích sàn xây dựng thực tế của công trình khối nhà làm việc: 835,30 m² (kết cấu nhà Cấp III, khung cột, sàn bê tông cốt thép, mái tole kết hợp seno bê tông, tường gạch).</w:t>
        <w:br/>
        <w:t>- Diện tích nhà để xe (công trình ngoài nhà): 200,00 m² phục vụ phương tiện cho 85 cán bộ, viên chức, người lao động và người dân đến giao dịch hành chính tại Bộ phận Một cửa.</w:t>
        <w:br/>
        <w:t>- Tổng số lượng người làm việc thực tế được giao năm 2026: 85 người (03 lãnh đạo Chi nhánh, 79 viên chức chuyên môn, 03 nhân viên hỗ trợ phục vụ).</w:t>
      </w:r>
    </w:p>
    <w:p>
      <w:pPr>
        <w:spacing w:line="276" w:lineRule="auto" w:after="80" w:before="0"/>
        <w:ind w:firstLine="648"/>
        <w:jc w:val="both"/>
      </w:pPr>
      <w:r>
        <w:rPr>
          <w:rFonts w:ascii="Times New Roman" w:hAnsi="Times New Roman"/>
          <w:sz w:val="26"/>
        </w:rPr>
        <w:t>Theo Bảng đối chiếu định mức trụ sở tại Phương án PA23r, tổng diện tích sàn cần thiết theo tiêu chuẩn định mức nhà nước (Nghị định 155/2025/NĐ-CP và Thông tư 09/2007/TT-BNV) là 3.751,00 m², trong khi diện tích sàn hiện hữu tại số 358 Huỳnh Văn Cù chỉ có 835,30 m² (mới đáp ứng 28,69% định mức).</w:t>
      </w:r>
    </w:p>
    <w:p>
      <w:pPr>
        <w:spacing w:before="120" w:after="60"/>
        <w:ind w:firstLine="648"/>
      </w:pPr>
      <w:r>
        <w:rPr>
          <w:rFonts w:ascii="Times New Roman" w:hAnsi="Times New Roman"/>
          <w:b/>
          <w:sz w:val="26"/>
        </w:rPr>
        <w:t>3. Sự cần thiết xin cấp kinh phí trang bị và cải tạo chống dột</w:t>
      </w:r>
    </w:p>
    <w:p>
      <w:pPr>
        <w:spacing w:line="276" w:lineRule="auto" w:after="80" w:before="0"/>
        <w:ind w:firstLine="648"/>
        <w:jc w:val="both"/>
      </w:pPr>
      <w:r>
        <w:rPr>
          <w:rFonts w:ascii="Times New Roman" w:hAnsi="Times New Roman"/>
          <w:sz w:val="26"/>
        </w:rPr>
        <w:t>a) Về trang bị 26 bình chữa cháy:</w:t>
        <w:br/>
        <w:t>Theo Báo cáo công tác PCCC năm 2026 của Chi nhánh số 23 và Phương án PA23r, Chi nhánh hiện đang lưu trữ khối lượng khổng lồ tài liệu địa chính, sổ bộ gốc với diện tích sàn kho 406 m² đã lấp đầy 100% công suất giá kệ; ngoài ra còn khoảng 30% lượng hồ sơ chưa chỉnh lý phải lưu tạm tại các lối đi và 02 phòng làm việc. Đây là các vật liệu giấy rất dễ bắt cháy. Hiện trạng 26 bình chữa cháy tại cơ quan (gồm bình bột ABC MFZL4 và khí CO2 MT3 bố trí tại Sảnh tiếp nhận hồ sơ Một cửa: 4 bình; cửa kho lưu trữ: 2 bình; hành lang: 4 bình; phòng làm việc Tổ Lưu trữ: 4 bình; cầu thang: 4 bình; phòng Đo đạc: 4 bình; phòng Đăng ký &amp; Cấp GCN: 4 bình) đã qua nhiều năm sử dụng, hết hạn kiểm định áp lực khí đẩy và chất chữa cháy bị vón cục, suy giảm khả năng dập lửa. Theo quy định tại TCVN 3890:2023 và Nghị định 50/2024/NĐ-CP, việc thay thế, trang bị mới 26 bình chữa cháy đạt chuẩn kiểm định PCCC là yêu cầu cấp bách hàng đầu để bảo vệ an toàn tính mạng con người và tài liệu lưu trữ quốc gia.</w:t>
      </w:r>
    </w:p>
    <w:p>
      <w:pPr>
        <w:spacing w:line="276" w:lineRule="auto" w:after="80" w:before="0"/>
        <w:ind w:firstLine="648"/>
        <w:jc w:val="both"/>
      </w:pPr>
      <w:r>
        <w:rPr>
          <w:rFonts w:ascii="Times New Roman" w:hAnsi="Times New Roman"/>
          <w:sz w:val="26"/>
        </w:rPr>
        <w:t>b) Về trang bị 01 máy in 2 mặt A4:</w:t>
        <w:br/>
        <w:t>Theo Quyết định số 2637/QĐ-SNNMT-VP, Chi nhánh số 23 phụ trách địa bàn 05 phường đô thị trung tâm (Phú Lợi, Phú An, Bình Dương, Chánh Hiệp, Thủ Dầu Một) với khối lượng tiếp nhận và thụ lý hồ sơ biến động đất đai rất lớn. Theo báo cáo rà soát máy in và bảng đối chiếu thiết bị, các máy in A4 tại Bộ phận tiếp nhận và giải quyết hồ sơ thường xuyên bị kẹt giấy, hỏng sấy do cường độ in ấn cao (in trích lục địa chính, phiếu chuyển thông tin thuế, giấy tiếp nhận, dự thảo giấy chứng nhận). Việc trang bị 01 máy in laser tốc độ cao in 2 mặt tự động khổ A4 (kết nối mạng LAN) là hết sức cần thiết để đảm bảo tiến độ giải quyết TTHC không bị ách tắc.</w:t>
      </w:r>
    </w:p>
    <w:p>
      <w:pPr>
        <w:spacing w:line="276" w:lineRule="auto" w:after="80" w:before="0"/>
        <w:ind w:firstLine="648"/>
        <w:jc w:val="both"/>
      </w:pPr>
      <w:r>
        <w:rPr>
          <w:rFonts w:ascii="Times New Roman" w:hAnsi="Times New Roman"/>
          <w:sz w:val="26"/>
        </w:rPr>
        <w:t>c) Về trang bị 01 ghế ngồi làm việc cho Giám đốc Chi nhánh:</w:t>
        <w:br/>
        <w:t>Căn cứ Quyết định số 841/QĐ-SNNMT-VP ngày 30/9/2026 của Giám đốc Sở Nông nghiệp và Môi trường TP.HCM, ông Nguyễn Chiến Thắng (nguyên Phó Giám đốc VPĐKĐĐ TP) được điều động và bổ nhiệm giữ chức vụ Giám đốc Chi nhánh Văn phòng Đăng ký đất đai số 23 kể từ ngày 01/10/2026. Hiện tại phòng làm việc của Giám đốc Chi nhánh (diện tích 30 m² theo PA23r) chưa có ghế ngồi làm việc đạt tiêu chuẩn; chiếc ghế hiện trạng cũ từ giai đoạn tiếp nhận năm 2019 đã bị rách đệm, hỏng piston nâng hạ. Căn cứ tiêu chuẩn định mức trang thiết bị làm việc theo Quyết định số 50/2017/QĐ-TTg của Thủ tướng Chính phủ đối với chức danh Giám đốc đơn vị sự nghiệp trực thuộc cấp tỉnh, việc trang bị 01 ghế xoay da cao cấp cho tân Giám đốc Chi nhánh là hoàn toàn đúng chế độ, tiêu chuẩn định mức nhà nước.</w:t>
      </w:r>
    </w:p>
    <w:p>
      <w:pPr>
        <w:spacing w:line="276" w:lineRule="auto" w:after="80" w:before="0"/>
        <w:ind w:firstLine="648"/>
        <w:jc w:val="both"/>
      </w:pPr>
      <w:r>
        <w:rPr>
          <w:rFonts w:ascii="Times New Roman" w:hAnsi="Times New Roman"/>
          <w:sz w:val="26"/>
        </w:rPr>
        <w:t>d) Về cải tạo kho lưu trữ chống thấm dột:</w:t>
        <w:br/>
        <w:t>Kho lưu trữ hồ sơ địa chính hiện hữu của Chi nhánh số 23 có diện tích sàn 406 m² (gồm kho chính 391 m² và kho tiếp nhận sau sáp nhập 15 m²), cùng với khối nhà dự kiến tiếp nhận từ Điểm trạm y tế 3 liền kề (548 m² sàn theo PA23r) được xây dựng từ nhiều năm trước. Do ảnh hưởng của thời tiết mưa bão kéo dài tại khu vực Đông Nam Bộ, hệ thống sàn mái bê tông, sê nô thu nước và mương đón nước mái tole của kho lưu trữ đã bị lão hóa nghiêm trọng, xuất hiện nhiều vết nứt chân chim và nứt kết cấu, nước mưa thẩm thấu chảy dột trực tiếp xuống khu vực các giá kệ compactor chứa hồ sơ địa chính gốc và bản đồ địa chính. Nếu không kịp thời thi công xử lý chống thấm dột toàn diện, nguy cơ ẩm mốc, mục nát, phân hủy và hư hại vĩnh viễn các hồ sơ địa chính gốc, hồ sơ cấp GCN là cực kỳ nghiêm trọng, không thể khắc phục được.</w:t>
      </w:r>
    </w:p>
    <w:p>
      <w:pPr>
        <w:spacing w:before="240" w:after="80"/>
        <w:jc w:val="left"/>
      </w:pPr>
      <w:r>
        <w:rPr>
          <w:rFonts w:ascii="Times New Roman" w:hAnsi="Times New Roman"/>
          <w:b/>
          <w:sz w:val="26"/>
        </w:rPr>
        <w:t>II. NỘI DUNG, DANH MỤC THIẾT BỊ VÀ GIẢI PHÁP KỸ THUẬT</w:t>
      </w:r>
    </w:p>
    <w:p>
      <w:pPr>
        <w:spacing w:before="120" w:after="60"/>
        <w:ind w:firstLine="648"/>
      </w:pPr>
      <w:r>
        <w:rPr>
          <w:rFonts w:ascii="Times New Roman" w:hAnsi="Times New Roman"/>
          <w:b/>
          <w:sz w:val="26"/>
        </w:rPr>
        <w:t>1. Danh mục trang thiết bị đề nghị mua sắm mới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2"/>
              </w:rPr>
              <w:t>STT</w:t>
            </w:r>
          </w:p>
        </w:tc>
        <w:tc>
          <w:tcPr>
            <w:tcW w:type="dxa" w:w="216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2"/>
              </w:rPr>
              <w:t>Tên thiết bị / Hàng hóa</w:t>
            </w:r>
          </w:p>
        </w:tc>
        <w:tc>
          <w:tcPr>
            <w:tcW w:type="dxa" w:w="31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2"/>
              </w:rPr>
              <w:t>Quy cách kỹ thuật / Xuất xứ</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2"/>
              </w:rPr>
              <w:t>ĐVT</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2"/>
              </w:rPr>
              <w:t>Số lượng</w:t>
            </w:r>
          </w:p>
        </w:tc>
        <w:tc>
          <w:tcPr>
            <w:tcW w:type="dxa" w:w="187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2"/>
              </w:rPr>
              <w:t>Vị trí bố trí / Ghi chú</w:t>
            </w:r>
          </w:p>
        </w:tc>
      </w:tr>
      <w:tr>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1</w:t>
            </w:r>
          </w:p>
        </w:tc>
        <w:tc>
          <w:tcPr>
            <w:tcW w:type="dxa" w:w="216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Bình chữa cháy bột ABC (MFZL4)</w:t>
            </w:r>
          </w:p>
        </w:tc>
        <w:tc>
          <w:tcPr>
            <w:tcW w:type="dxa" w:w="31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Loại bình xách tay 4kg bột ABC chữa cháy chất rắn, lỏng, khí; vỏ thép chịu áp lực cao; kèm tem kiểm định PCCC của Cục Cảnh sát PCCC&amp;CNCH. Hàng mới 100%.</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Bình</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16</w:t>
            </w:r>
          </w:p>
        </w:tc>
        <w:tc>
          <w:tcPr>
            <w:tcW w:type="dxa" w:w="187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Bố trí tại các sảnh tiếp dân Một cửa (4), hành lang (4), cầu thang (4), phòng bảo vệ và kho (4)</w:t>
            </w:r>
          </w:p>
        </w:tc>
      </w:tr>
      <w:tr>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2</w:t>
            </w:r>
          </w:p>
        </w:tc>
        <w:tc>
          <w:tcPr>
            <w:tcW w:type="dxa" w:w="216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Bình chữa cháy khí CO2 (MT3)</w:t>
            </w:r>
          </w:p>
        </w:tc>
        <w:tc>
          <w:tcPr>
            <w:tcW w:type="dxa" w:w="31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Loại bình xách tay 3kg khí CO2 chữa cháy điện tử, hồ sơ lưu trữ không để lại cặn bẩn; van đồng, vòi phun loa kèn; kèm tem kiểm định PCCC. Hàng mới 100%.</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Bình</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10</w:t>
            </w:r>
          </w:p>
        </w:tc>
        <w:tc>
          <w:tcPr>
            <w:tcW w:type="dxa" w:w="187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Bố trí tại phòng máy chủ Server, phòng kỹ thuật lưu trữ và kho lưu trữ hồ sơ địa chính (dễ thấy, dễ lấy)</w:t>
            </w:r>
          </w:p>
        </w:tc>
      </w:tr>
      <w:tr>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3</w:t>
            </w:r>
          </w:p>
        </w:tc>
        <w:tc>
          <w:tcPr>
            <w:tcW w:type="dxa" w:w="216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Máy in 2 mặt tự động A4</w:t>
            </w:r>
          </w:p>
        </w:tc>
        <w:tc>
          <w:tcPr>
            <w:tcW w:type="dxa" w:w="31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Máy in laser đen trắng A4 khổ giấy A4/Letter; tốc độ in tối thiểu 38-40 trang/phút; tự động đảo mặt (Duplex); độ phân giải 1200x1200dpi; kết nối USB 2.0 &amp; Network LAN Gigabit (tương đương dòng HP LaserJet Pro 4003dn/M404dn hoặc Brother). Hàng mới 100%.</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Cái</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1</w:t>
            </w:r>
          </w:p>
        </w:tc>
        <w:tc>
          <w:tcPr>
            <w:tcW w:type="dxa" w:w="187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Bố trí tại Bộ phận Đăng ký cấp GCN / Một cửa phục vụ in trích lục, phiếu chuyển thông tin thuế và kết quả TTHC</w:t>
            </w:r>
          </w:p>
        </w:tc>
      </w:tr>
      <w:tr>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4</w:t>
            </w:r>
          </w:p>
        </w:tc>
        <w:tc>
          <w:tcPr>
            <w:tcW w:type="dxa" w:w="216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Ghế ngồi làm việc Giám đốc</w:t>
            </w:r>
          </w:p>
        </w:tc>
        <w:tc>
          <w:tcPr>
            <w:tcW w:type="dxa" w:w="31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Ghế xoay da lãnh đạo cao cấp; đệm tựa mút đúc bọc da thật/da PU cao cấp màu đen; tay vịn gỗ tự nhiên/hợp kim bọc da; chân xoay hợp kim mạ crom chịu lực; cần thủy lực nâng hạ và ngả hãm nhiều góc độ. Đúng định mức trang thiết bị lãnh đạo theo QĐ 50/2017/QĐ-TTg.</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Cái</w:t>
            </w:r>
          </w:p>
        </w:tc>
        <w:tc>
          <w:tcPr>
            <w:tcW w:type="dxa" w:w="7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sz w:val="22"/>
              </w:rPr>
              <w:t>1</w:t>
            </w:r>
          </w:p>
        </w:tc>
        <w:tc>
          <w:tcPr>
            <w:tcW w:type="dxa" w:w="187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both"/>
            </w:pPr>
            <w:r>
              <w:rPr>
                <w:rFonts w:ascii="Times New Roman" w:hAnsi="Times New Roman"/>
                <w:sz w:val="22"/>
              </w:rPr>
              <w:t>Bố trí tại Phòng làm việc Giám đốc Chi nhánh số 23 (phục vụ đồng chí Nguyễn Chiến Thắng - tân Giám đốc Chi nhánh)</w:t>
            </w:r>
          </w:p>
        </w:tc>
      </w:tr>
    </w:tbl>
    <w:p>
      <w:pPr>
        <w:spacing w:before="120" w:after="60"/>
        <w:ind w:firstLine="648"/>
      </w:pPr>
      <w:r>
        <w:rPr>
          <w:rFonts w:ascii="Times New Roman" w:hAnsi="Times New Roman"/>
          <w:b/>
          <w:sz w:val="26"/>
        </w:rPr>
        <w:t>2. Giải pháp kỹ thuật và khối lượng cải tạo chống dột kho lưu trữ hồ sơ</w:t>
      </w:r>
    </w:p>
    <w:p>
      <w:pPr>
        <w:spacing w:line="276" w:lineRule="auto" w:after="80" w:before="0"/>
        <w:ind w:firstLine="648"/>
        <w:jc w:val="both"/>
      </w:pPr>
      <w:r>
        <w:rPr>
          <w:rFonts w:ascii="Times New Roman" w:hAnsi="Times New Roman"/>
          <w:sz w:val="26"/>
        </w:rPr>
        <w:t>Căn cứ phương pháp thi công chống thấm dột chuẩn kỹ thuật tương đồng phương án đã duyệt tại Chi nhánh số 34, giải pháp kỹ thuật xử lý chống thấm dột kho lưu trữ Chi nhánh số 23 bao gồm 02 hạng mục chính:</w:t>
      </w:r>
    </w:p>
    <w:p>
      <w:pPr>
        <w:spacing w:line="276" w:lineRule="auto" w:after="80" w:before="0"/>
        <w:ind w:firstLine="648"/>
        <w:jc w:val="both"/>
      </w:pPr>
      <w:r>
        <w:rPr>
          <w:rFonts w:ascii="Times New Roman" w:hAnsi="Times New Roman"/>
          <w:sz w:val="26"/>
        </w:rPr>
        <w:t>a) Hạng mục 1: Chống thấm sàn mái bê tông, sê nô mái và mương đón nước bằng màng khò nhiệt Bitumode Delta - P 3mm (mặt trơn):</w:t>
        <w:br/>
        <w:t>- Chuẩn bị bề mặt: Dùng máy mài chuyên dụng mài phẳng tạp chất, đục tẩy sạch bê tông bong tróc; thổi sạch bụi bẩn, trám vá vết nứt bê tông bằng vữa chuyên dụng; bo góc chân tường 45 độ.</w:t>
        <w:br/>
        <w:t>- Quét lớp lót kết dính: Quét 01 lớp lót Primer gốc bitum (Nirol - W) với định mức tiêu chuẩn 0,2 kg/m² để tạo độ bám dính tối ưu.</w:t>
        <w:br/>
        <w:t>- Thi công dán màng: Khò nhiệt chảy màng chống thấm cao cấp Bitumode Delta - P 3mm dán đều lên sàn, mép giáp mí chồng mí tối thiểu 10 cm, vén cao chân tường 20 - 30 cm.</w:t>
        <w:br/>
        <w:t>- Khối lượng dự toán diện tích sàn mái và sê nô chống thấm: 350,00 m².</w:t>
      </w:r>
    </w:p>
    <w:p>
      <w:pPr>
        <w:spacing w:line="276" w:lineRule="auto" w:after="80" w:before="0"/>
        <w:ind w:firstLine="648"/>
        <w:jc w:val="both"/>
      </w:pPr>
      <w:r>
        <w:rPr>
          <w:rFonts w:ascii="Times New Roman" w:hAnsi="Times New Roman"/>
          <w:sz w:val="26"/>
        </w:rPr>
        <w:t>b) Hạng mục 2: Chống thấm tường sàn mái, tường sê nô và tường bao mương đón nước bằng hóa chất đàn hồi SikaCoat Plus:</w:t>
        <w:br/>
        <w:t>- Chuẩn bị bề mặt: Đánh cạo sạch rong rêu, nấm mốc, lớp vôi vữa cũ bằng bàn chải sắt; xử lý các vết nứt nẻ bằng keo mastic trám trét chuyên dụng.</w:t>
        <w:br/>
        <w:t>- Thi công lớp phủ chống thấm: Lăn quét 02 lớp chống thấm đàn hồi kháng tia UV SikaCoat Plus với định mức 0,6 kg/m² (lớp thứ nhất chờ khô 3 - 4 giờ trước khi lăn lớp thứ hai).</w:t>
        <w:br/>
        <w:t>- Khối lượng dự toán diện tích tường seno và thành vách chống thấm: 280,00 m².</w:t>
      </w:r>
    </w:p>
    <w:p>
      <w:pPr>
        <w:spacing w:before="240" w:after="80"/>
        <w:jc w:val="left"/>
      </w:pPr>
      <w:r>
        <w:rPr>
          <w:rFonts w:ascii="Times New Roman" w:hAnsi="Times New Roman"/>
          <w:b/>
          <w:sz w:val="26"/>
        </w:rPr>
        <w:t>III. QUY TRÌNH THỰC HIỆN VÀ HÌNH THỨC LỰA CHỌN NHÀ THẦU</w:t>
      </w:r>
    </w:p>
    <w:p>
      <w:pPr>
        <w:spacing w:before="120" w:after="60"/>
        <w:ind w:firstLine="648"/>
      </w:pPr>
      <w:r>
        <w:rPr>
          <w:rFonts w:ascii="Times New Roman" w:hAnsi="Times New Roman"/>
          <w:b/>
          <w:sz w:val="26"/>
        </w:rPr>
        <w:t>1. Hình thức lựa chọn nhà thầu</w:t>
      </w:r>
    </w:p>
    <w:p>
      <w:pPr>
        <w:spacing w:line="276" w:lineRule="auto" w:after="80" w:before="0"/>
        <w:ind w:firstLine="648"/>
        <w:jc w:val="both"/>
      </w:pPr>
      <w:r>
        <w:rPr>
          <w:rFonts w:ascii="Times New Roman" w:hAnsi="Times New Roman"/>
          <w:sz w:val="26"/>
        </w:rPr>
        <w:t>Căn cứ quy định tại Luật Đấu thầu số 22/2023/QH15, Luật số 90/2025/QH15 và khoản 4 Điều 78 Nghị định số 214/2025/NĐ-CP ngày 04 tháng 8 năm 2025 của Chính phủ quy định chi tiết một số điều và biện pháp thi hành Luật Đấu thầu về lựa chọn nhà thầu:</w:t>
        <w:br/>
        <w:t>- Gói thầu mua sắm hàng hóa (bình chữa cháy, máy in, ghế Giám đốc) có giá trị dự toán khoảng 34.000.000 đồng (dưới 100 triệu đồng).</w:t>
        <w:br/>
        <w:t>- Gói thầu dịch vụ phi tư vấn cải tạo sửa chữa chống thấm dột kho lưu trữ có giá trị dự toán khoảng 185.000.000 đồng (thuộc hạn mức gói thầu dịch vụ phi tư vấn không hình thành dự án dưới 500 triệu đồng / dịch vụ thuộc dự án dưới 02 tỷ đồng).</w:t>
        <w:br/>
        <w:t>- Hình thức lựa chọn nhà thầu: Áp dụng hình thức Chỉ định thầu rút gọn theo đúng quy định hiện hành.</w:t>
        <w:br/>
        <w:t>- Loại hợp đồng: Hợp đồng trọn gói.</w:t>
      </w:r>
    </w:p>
    <w:p>
      <w:pPr>
        <w:spacing w:before="120" w:after="60"/>
        <w:ind w:firstLine="648"/>
      </w:pPr>
      <w:r>
        <w:rPr>
          <w:rFonts w:ascii="Times New Roman" w:hAnsi="Times New Roman"/>
          <w:b/>
          <w:sz w:val="26"/>
        </w:rPr>
        <w:t>2. Quy trình thực hiện theo các bước chuẩn</w:t>
      </w:r>
    </w:p>
    <w:p>
      <w:pPr>
        <w:spacing w:line="276" w:lineRule="auto" w:after="80" w:before="0"/>
        <w:ind w:firstLine="648"/>
        <w:jc w:val="both"/>
      </w:pPr>
      <w:r>
        <w:rPr>
          <w:rFonts w:ascii="Times New Roman" w:hAnsi="Times New Roman"/>
          <w:sz w:val="26"/>
        </w:rPr>
        <w:t>Quy trình tổ chức thực hiện phương án mua sắm và thi công sửa chữa tuân thủ 06 bước chặt chẽ:</w:t>
        <w:br/>
        <w:t>• Bước 1: Khảo sát hiện trạng, lập danh mục kỹ thuật và thu thập báo giá thị trường (Chi nhánh số 23 chủ trì, thu thập đủ 03 báo giá hợp lệ của 03 nhà cung cấp độc lập).</w:t>
        <w:br/>
        <w:t>• Bước 2: Lập phương án dự toán kinh phí trình Phòng Kế hoạch – Tài chính Văn phòng Đăng ký đất đai Thành phố thẩm định; trình Ban Giám đốc Văn phòng đăng ký đất đai Thành phố phê duyệt chủ trương và dự toán.</w:t>
        <w:br/>
        <w:t>• Bước 3: Lập, thẩm định và phê duyệt kế hoạch lựa chọn nhà thầu theo quy định pháp luật về đấu thầu.</w:t>
        <w:br/>
        <w:t>• Bước 4: Thương thảo hợp đồng, hoàn thiện hồ sơ chỉ định thầu rút gọn và ban hành Quyết định phê duyệt kết quả lựa chọn nhà thầu; đăng tải thông tin trên Hệ thống mạng đấu thầu quốc gia.</w:t>
        <w:br/>
        <w:t>• Bước 5: Ký kết hợp đồng trọn gói; tổ chức giao nhận hàng hóa thiết bị và triển khai thi công sửa chữa; giám sát thi công, an toàn lao động và nghiệm thu chặt chẽ.</w:t>
        <w:br/>
        <w:t>• Bước 6: Hoàn tất hồ sơ kiểm soát chi, thanh quyết toán kinh phí và bàn giao tài sản đưa vào sử dụng, hạch toán ghi tăng tài sản công của đơn vị theo quy định.</w:t>
      </w:r>
    </w:p>
    <w:p>
      <w:pPr>
        <w:spacing w:before="120" w:after="60"/>
        <w:ind w:firstLine="648"/>
      </w:pPr>
      <w:r>
        <w:rPr>
          <w:rFonts w:ascii="Times New Roman" w:hAnsi="Times New Roman"/>
          <w:b/>
          <w:sz w:val="26"/>
        </w:rPr>
        <w:t>3. Công tác kiểm tra, nghiệm thu và hồ sơ thanh toán</w:t>
      </w:r>
    </w:p>
    <w:p>
      <w:pPr>
        <w:spacing w:line="276" w:lineRule="auto" w:after="80" w:before="0"/>
        <w:ind w:firstLine="648"/>
        <w:jc w:val="both"/>
      </w:pPr>
      <w:r>
        <w:rPr>
          <w:rFonts w:ascii="Times New Roman" w:hAnsi="Times New Roman"/>
          <w:sz w:val="26"/>
        </w:rPr>
        <w:t>Ban Lãnh đạo Chi nhánh số 23 cùng Tổ Hành chính – Tổng hợp chịu trách nhiệm trực tiếp kiểm tra, nghiệm thu về số lượng, chất lượng, chủng loại, quy cách kỹ thuật của 26 bình chữa cháy (kèm biên bản kiểm định PCCC), máy in, ghế Giám đốc và khối lượng thực tế thi công chống thấm dột kho lưu trữ.</w:t>
        <w:br/>
        <w:t>Bộ hồ sơ thanh quyết toán bao gồm: Quyết định phê duyệt dự toán và KHLCNT; Hợp đồng kinh tế trọn gói; Biên bản bàn giao, nghiệm thu đưa vào sử dụng; Hóa đơn điện tử hợp pháp; Chứng thư bảo hành, tem kiểm định thiết bị; Chứng từ thanh toán qua Kho bạc/Ngân hàng.</w:t>
      </w:r>
    </w:p>
    <w:p>
      <w:pPr>
        <w:spacing w:before="240" w:after="80"/>
        <w:jc w:val="left"/>
      </w:pPr>
      <w:r>
        <w:rPr>
          <w:rFonts w:ascii="Times New Roman" w:hAnsi="Times New Roman"/>
          <w:b/>
          <w:sz w:val="26"/>
        </w:rPr>
        <w:t>IV. DỰ TOÁN KINH PHÍ VÀ NGUỒN VỐN THỰC HIỆN</w:t>
      </w:r>
    </w:p>
    <w:p>
      <w:pPr>
        <w:spacing w:before="120" w:after="60"/>
        <w:ind w:firstLine="648"/>
      </w:pPr>
      <w:r>
        <w:rPr>
          <w:rFonts w:ascii="Times New Roman" w:hAnsi="Times New Roman"/>
          <w:b/>
          <w:sz w:val="26"/>
        </w:rPr>
        <w:t>1. Bảng tổng hợp dự toán kinh phí</w:t>
      </w:r>
    </w:p>
    <w:p>
      <w:pPr>
        <w:spacing w:line="276" w:lineRule="auto" w:after="80" w:before="0"/>
        <w:ind w:firstLine="648"/>
        <w:jc w:val="both"/>
      </w:pPr>
      <w:r>
        <w:rPr>
          <w:rFonts w:ascii="Times New Roman" w:hAnsi="Times New Roman"/>
          <w:sz w:val="26"/>
        </w:rPr>
        <w:t>Dự toán kinh phí được xây dựng trên cơ sở tham khảo khảo sát giá thị trường của 03 đơn vị cung ứng độc lập và suất vốn đầu tư sửa chữa chống thấm tương đương tại các Chi nhánh trực thuộc Văn phòng Đăng ký đất đai Thành phố (áp dụng thuế suất GTGT 8% theo chính sách giảm thuế tại Nghị quyết 204/2025/QH15 và Nghị định 174/2025/NĐ-CP):</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76"/>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1"/>
              </w:rPr>
              <w:t>STT</w:t>
            </w:r>
          </w:p>
        </w:tc>
        <w:tc>
          <w:tcPr>
            <w:tcW w:type="dxa" w:w="3168"/>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1"/>
              </w:rPr>
              <w:t>Nội dung hạng mục</w:t>
            </w:r>
          </w:p>
        </w:tc>
        <w:tc>
          <w:tcPr>
            <w:tcW w:type="dxa" w:w="576"/>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1"/>
              </w:rPr>
              <w:t>ĐVT</w:t>
            </w:r>
          </w:p>
        </w:tc>
        <w:tc>
          <w:tcPr>
            <w:tcW w:type="dxa" w:w="720"/>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1"/>
              </w:rPr>
              <w:t>Khối lượng</w:t>
            </w:r>
          </w:p>
        </w:tc>
        <w:tc>
          <w:tcPr>
            <w:tcW w:type="dxa" w:w="15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1"/>
              </w:rPr>
              <w:t>Đơn giá chưa thuế (VNĐ)</w:t>
            </w:r>
          </w:p>
        </w:tc>
        <w:tc>
          <w:tcPr>
            <w:tcW w:type="dxa" w:w="1296"/>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1"/>
              </w:rPr>
              <w:t>Thuế GTGT (8%) (VNĐ)</w:t>
            </w:r>
          </w:p>
        </w:tc>
        <w:tc>
          <w:tcPr>
            <w:tcW w:type="dxa" w:w="15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shd w:fill="F2F2F2"/>
          </w:tcPr>
          <w:p>
            <w:pPr>
              <w:jc w:val="center"/>
            </w:pPr>
            <w:r>
              <w:rPr>
                <w:rFonts w:ascii="Times New Roman" w:hAnsi="Times New Roman"/>
                <w:b/>
                <w:sz w:val="21"/>
              </w:rPr>
              <w:t>Tổng cộng sau thuế (VNĐ)</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center"/>
            </w:pPr>
            <w:r>
              <w:rPr>
                <w:rFonts w:ascii="Times New Roman" w:hAnsi="Times New Roman"/>
                <w:b/>
                <w:sz w:val="20"/>
              </w:rPr>
              <w:t>A</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left"/>
            </w:pPr>
            <w:r>
              <w:rPr>
                <w:rFonts w:ascii="Times New Roman" w:hAnsi="Times New Roman"/>
                <w:b/>
                <w:sz w:val="20"/>
              </w:rPr>
              <w:t>MUA SẮM PHƯƠNG TIỆN PCCC VÀ THIẾT BỊ LÀM VIỆC</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center"/>
            </w:pPr>
            <w:r>
              <w:rPr>
                <w:rFonts w:ascii="Times New Roman" w:hAnsi="Times New Roman"/>
                <w:b/>
                <w:sz w:val="20"/>
              </w:rPr>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center"/>
            </w:pPr>
            <w:r>
              <w:rPr>
                <w:rFonts w:ascii="Times New Roman" w:hAnsi="Times New Roman"/>
                <w:b/>
                <w:sz w:val="20"/>
              </w:rPr>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right"/>
            </w:pPr>
            <w:r>
              <w:rPr>
                <w:rFonts w:ascii="Times New Roman" w:hAnsi="Times New Roman"/>
                <w:b/>
                <w:sz w:val="20"/>
              </w:rPr>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right"/>
            </w:pPr>
            <w:r>
              <w:rPr>
                <w:rFonts w:ascii="Times New Roman" w:hAnsi="Times New Roman"/>
                <w:b/>
                <w:sz w:val="20"/>
              </w:rPr>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right"/>
            </w:pPr>
            <w:r>
              <w:rPr>
                <w:rFonts w:ascii="Times New Roman" w:hAnsi="Times New Roman"/>
                <w:b/>
                <w:sz w:val="20"/>
              </w:rPr>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1</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val="0"/>
                <w:sz w:val="20"/>
              </w:rPr>
              <w:t>Bình chữa cháy bột ABC 4kg (MFZL4) có kiểm định PCCC</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Bình</w:t>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16</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290.000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371.200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5.011.200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2</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val="0"/>
                <w:sz w:val="20"/>
              </w:rPr>
              <w:t>Bình chữa cháy khí CO2 3kg (MT3) có kiểm định PCCC</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Bình</w:t>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10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480.000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384.000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5.184.000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3</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val="0"/>
                <w:sz w:val="20"/>
              </w:rPr>
              <w:t>Máy in laser đen trắng tự động 2 mặt khổ A4 kết nối mạng (HP/Brother)</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Cái</w:t>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1</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15.500.000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1.240.000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16.740.000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4</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val="0"/>
                <w:sz w:val="20"/>
              </w:rPr>
              <w:t>Ghế xoay da làm việc cao cấp cho Giám đốc Chi nhánh</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Cái</w:t>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1</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6.500.000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520.000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7.020.000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sz w:val="20"/>
              </w:rPr>
              <w:t>Cộng A</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sz w:val="20"/>
              </w:rPr>
              <w:t>Tổng kinh phí mua sắm thiết bị (A)</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sz w:val="20"/>
              </w:rPr>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sz w:val="20"/>
              </w:rPr>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sz w:val="20"/>
              </w:rPr>
              <w:t>31.440.000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sz w:val="20"/>
              </w:rPr>
              <w:t>2.515.200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sz w:val="20"/>
              </w:rPr>
              <w:t>33.955.200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center"/>
            </w:pPr>
            <w:r>
              <w:rPr>
                <w:rFonts w:ascii="Times New Roman" w:hAnsi="Times New Roman"/>
                <w:b/>
                <w:sz w:val="20"/>
              </w:rPr>
              <w:t>B</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left"/>
            </w:pPr>
            <w:r>
              <w:rPr>
                <w:rFonts w:ascii="Times New Roman" w:hAnsi="Times New Roman"/>
                <w:b/>
                <w:sz w:val="20"/>
              </w:rPr>
              <w:t>CẢI TẠO, SỬA CHỮA CHỐNG THẤM DỘT KHO LƯU TRỮ HỒ SƠ</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center"/>
            </w:pPr>
            <w:r>
              <w:rPr>
                <w:rFonts w:ascii="Times New Roman" w:hAnsi="Times New Roman"/>
                <w:b/>
                <w:sz w:val="20"/>
              </w:rPr>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center"/>
            </w:pPr>
            <w:r>
              <w:rPr>
                <w:rFonts w:ascii="Times New Roman" w:hAnsi="Times New Roman"/>
                <w:b/>
                <w:sz w:val="20"/>
              </w:rPr>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right"/>
            </w:pPr>
            <w:r>
              <w:rPr>
                <w:rFonts w:ascii="Times New Roman" w:hAnsi="Times New Roman"/>
                <w:b/>
                <w:sz w:val="20"/>
              </w:rPr>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right"/>
            </w:pPr>
            <w:r>
              <w:rPr>
                <w:rFonts w:ascii="Times New Roman" w:hAnsi="Times New Roman"/>
                <w:b/>
                <w:sz w:val="20"/>
              </w:rPr>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EBF1F5"/>
          </w:tcPr>
          <w:p>
            <w:pPr>
              <w:spacing w:before="0" w:after="0" w:line="252" w:lineRule="auto"/>
              <w:jc w:val="right"/>
            </w:pPr>
            <w:r>
              <w:rPr>
                <w:rFonts w:ascii="Times New Roman" w:hAnsi="Times New Roman"/>
                <w:b/>
                <w:sz w:val="20"/>
              </w:rPr>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1</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val="0"/>
                <w:sz w:val="20"/>
              </w:rPr>
              <w:t>Chống thấm sàn mái, seno, mương đón nước bằng màng khò nóng Bitumode Delta-P 3mm</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m²</w:t>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350,00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303.250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8.491.000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114.628.500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2</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val="0"/>
                <w:sz w:val="20"/>
              </w:rPr>
              <w:t>Chống thấm tường sàn mái, tường seno bằng hóa chất kháng UV SikaCoat Plus</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m²</w:t>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val="0"/>
                <w:sz w:val="20"/>
              </w:rPr>
              <w:t>280,00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233.000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5.219.200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val="0"/>
                <w:sz w:val="20"/>
              </w:rPr>
              <w:t>70.459.200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sz w:val="20"/>
              </w:rPr>
              <w:t>Cộng B</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left"/>
            </w:pPr>
            <w:r>
              <w:rPr>
                <w:rFonts w:ascii="Times New Roman" w:hAnsi="Times New Roman"/>
                <w:b/>
                <w:sz w:val="20"/>
              </w:rPr>
              <w:t>Tổng kinh phí sửa chữa chống dột kho lưu trữ (B)</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sz w:val="20"/>
              </w:rPr>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center"/>
            </w:pPr>
            <w:r>
              <w:rPr>
                <w:rFonts w:ascii="Times New Roman" w:hAnsi="Times New Roman"/>
                <w:b/>
                <w:sz w:val="20"/>
              </w:rPr>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sz w:val="20"/>
              </w:rPr>
              <w:t>171.377.500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sz w:val="20"/>
              </w:rPr>
              <w:t>13.710.200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52" w:lineRule="auto"/>
              <w:jc w:val="right"/>
            </w:pPr>
            <w:r>
              <w:rPr>
                <w:rFonts w:ascii="Times New Roman" w:hAnsi="Times New Roman"/>
                <w:b/>
                <w:sz w:val="20"/>
              </w:rPr>
              <w:t>185.087.700</w:t>
            </w:r>
          </w:p>
        </w:tc>
      </w:tr>
      <w:tr>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FDE9D9"/>
          </w:tcPr>
          <w:p>
            <w:pPr>
              <w:spacing w:before="0" w:after="0" w:line="252" w:lineRule="auto"/>
              <w:jc w:val="center"/>
            </w:pPr>
            <w:r>
              <w:rPr>
                <w:rFonts w:ascii="Times New Roman" w:hAnsi="Times New Roman"/>
                <w:b/>
                <w:sz w:val="20"/>
              </w:rPr>
              <w:t>TỔNG</w:t>
            </w:r>
          </w:p>
        </w:tc>
        <w:tc>
          <w:tcPr>
            <w:tcW w:type="dxa" w:w="3168"/>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FDE9D9"/>
          </w:tcPr>
          <w:p>
            <w:pPr>
              <w:spacing w:before="0" w:after="0" w:line="252" w:lineRule="auto"/>
              <w:jc w:val="left"/>
            </w:pPr>
            <w:r>
              <w:rPr>
                <w:rFonts w:ascii="Times New Roman" w:hAnsi="Times New Roman"/>
                <w:b/>
                <w:sz w:val="20"/>
              </w:rPr>
              <w:t>TỔNG CỘNG KINH PHÍ XIN CẤP (A + B)</w:t>
            </w:r>
          </w:p>
        </w:tc>
        <w:tc>
          <w:tcPr>
            <w:tcW w:type="dxa" w:w="57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FDE9D9"/>
          </w:tcPr>
          <w:p>
            <w:pPr>
              <w:spacing w:before="0" w:after="0" w:line="252" w:lineRule="auto"/>
              <w:jc w:val="center"/>
            </w:pPr>
            <w:r>
              <w:rPr>
                <w:rFonts w:ascii="Times New Roman" w:hAnsi="Times New Roman"/>
                <w:b/>
                <w:sz w:val="20"/>
              </w:rPr>
            </w:r>
          </w:p>
        </w:tc>
        <w:tc>
          <w:tcPr>
            <w:tcW w:type="dxa" w:w="72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FDE9D9"/>
          </w:tcPr>
          <w:p>
            <w:pPr>
              <w:spacing w:before="0" w:after="0" w:line="252" w:lineRule="auto"/>
              <w:jc w:val="center"/>
            </w:pPr>
            <w:r>
              <w:rPr>
                <w:rFonts w:ascii="Times New Roman" w:hAnsi="Times New Roman"/>
                <w:b/>
                <w:sz w:val="20"/>
              </w:rPr>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FDE9D9"/>
          </w:tcPr>
          <w:p>
            <w:pPr>
              <w:spacing w:before="0" w:after="0" w:line="252" w:lineRule="auto"/>
              <w:jc w:val="right"/>
            </w:pPr>
            <w:r>
              <w:rPr>
                <w:rFonts w:ascii="Times New Roman" w:hAnsi="Times New Roman"/>
                <w:b/>
                <w:sz w:val="20"/>
              </w:rPr>
              <w:t>202.817.500</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FDE9D9"/>
          </w:tcPr>
          <w:p>
            <w:pPr>
              <w:spacing w:before="0" w:after="0" w:line="252" w:lineRule="auto"/>
              <w:jc w:val="right"/>
            </w:pPr>
            <w:r>
              <w:rPr>
                <w:rFonts w:ascii="Times New Roman" w:hAnsi="Times New Roman"/>
                <w:b/>
                <w:sz w:val="20"/>
              </w:rPr>
              <w:t>16.225.400</w:t>
            </w:r>
          </w:p>
        </w:tc>
        <w:tc>
          <w:tcPr>
            <w:tcW w:type="dxa" w:w="1584"/>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shd w:fill="FDE9D9"/>
          </w:tcPr>
          <w:p>
            <w:pPr>
              <w:spacing w:before="0" w:after="0" w:line="252" w:lineRule="auto"/>
              <w:jc w:val="right"/>
            </w:pPr>
            <w:r>
              <w:rPr>
                <w:rFonts w:ascii="Times New Roman" w:hAnsi="Times New Roman"/>
                <w:b/>
                <w:sz w:val="20"/>
              </w:rPr>
              <w:t>219.042.900</w:t>
            </w:r>
          </w:p>
        </w:tc>
      </w:tr>
    </w:tbl>
    <w:p>
      <w:pPr>
        <w:spacing w:before="160" w:after="80"/>
        <w:ind w:firstLine="648"/>
      </w:pPr>
      <w:r>
        <w:rPr>
          <w:rFonts w:ascii="Times New Roman" w:hAnsi="Times New Roman"/>
          <w:b/>
        </w:rPr>
        <w:t xml:space="preserve">Tổng dự toán kinh phí đề nghị cấp: </w:t>
      </w:r>
      <w:r>
        <w:rPr>
          <w:rFonts w:ascii="Times New Roman" w:hAnsi="Times New Roman"/>
          <w:b/>
        </w:rPr>
        <w:t xml:space="preserve">219.042.900 đồng </w:t>
      </w:r>
      <w:r>
        <w:rPr>
          <w:rFonts w:ascii="Times New Roman" w:hAnsi="Times New Roman"/>
          <w:i/>
        </w:rPr>
        <w:t>(Bằng chữ: Hai trăm mười chín triệu, không trăm bốn mươi hai nghìn, chín trăm đồng).</w:t>
      </w:r>
    </w:p>
    <w:p>
      <w:pPr>
        <w:spacing w:line="276" w:lineRule="auto" w:after="80" w:before="0"/>
        <w:ind w:firstLine="648"/>
        <w:jc w:val="both"/>
      </w:pPr>
      <w:r>
        <w:rPr>
          <w:rFonts w:ascii="Times New Roman" w:hAnsi="Times New Roman"/>
          <w:sz w:val="26"/>
        </w:rPr>
        <w:t>Trong đó chi tiết từng phần:</w:t>
        <w:br/>
        <w:t>- Kinh phí mua sắm 26 bình chữa cháy và thiết bị làm việc (A): 33.955.200 đồng (Bằng chữ: Ba mươi ba triệu, chín trăm năm mươi lăm nghìn, hai trăm đồng).</w:t>
        <w:br/>
        <w:t>- Kinh phí sửa chữa, chống thấm dột kho lưu trữ hồ sơ (B): 185.087.700 đồng (Bằng chữ: Một trăm tám mươi lăm triệu, không trăm tám mươi bảy nghìn, bảy trăm đồng).</w:t>
      </w:r>
    </w:p>
    <w:p>
      <w:pPr>
        <w:spacing w:before="120" w:after="60"/>
        <w:ind w:firstLine="648"/>
      </w:pPr>
      <w:r>
        <w:rPr>
          <w:rFonts w:ascii="Times New Roman" w:hAnsi="Times New Roman"/>
          <w:b/>
          <w:sz w:val="26"/>
        </w:rPr>
        <w:t>2. Nguồn kinh phí đề xuất</w:t>
      </w:r>
    </w:p>
    <w:p>
      <w:pPr>
        <w:spacing w:line="276" w:lineRule="auto" w:after="80" w:before="0"/>
        <w:ind w:firstLine="648"/>
        <w:jc w:val="both"/>
      </w:pPr>
      <w:r>
        <w:rPr>
          <w:rFonts w:ascii="Times New Roman" w:hAnsi="Times New Roman"/>
          <w:sz w:val="26"/>
        </w:rPr>
        <w:t>Căn cứ Nghị định số 60/2021/NĐ-CP và Quyết định phân bổ dự toán thu chi của Văn phòng Đăng ký đất đai Thành phố, Chi nhánh số 23 kính đề nghị sử dụng nguồn kinh phí:</w:t>
        <w:br/>
        <w:t>- Quỹ Phát triển hoạt động sự nghiệp của Văn phòng Đăng ký đất đai Thành phố Hồ Chí Minh; hoặc</w:t>
        <w:br/>
        <w:t>- Nguồn kinh phí không thường xuyên được giao năm 2026 của đơn vị.</w:t>
      </w:r>
    </w:p>
    <w:p>
      <w:pPr>
        <w:spacing w:before="240" w:after="80"/>
        <w:jc w:val="left"/>
      </w:pPr>
      <w:r>
        <w:rPr>
          <w:rFonts w:ascii="Times New Roman" w:hAnsi="Times New Roman"/>
          <w:b/>
          <w:sz w:val="26"/>
        </w:rPr>
        <w:t>V. HIỆU QUẢ CỦA PHƯƠNG ÁN VÀ KIẾN NGHỊ</w:t>
      </w:r>
    </w:p>
    <w:p>
      <w:pPr>
        <w:spacing w:before="120" w:after="60"/>
        <w:ind w:firstLine="648"/>
      </w:pPr>
      <w:r>
        <w:rPr>
          <w:rFonts w:ascii="Times New Roman" w:hAnsi="Times New Roman"/>
          <w:b/>
          <w:sz w:val="26"/>
        </w:rPr>
        <w:t>1. Hiệu quả mang lại</w:t>
      </w:r>
    </w:p>
    <w:p>
      <w:pPr>
        <w:spacing w:line="276" w:lineRule="auto" w:after="80" w:before="0"/>
        <w:ind w:firstLine="648"/>
        <w:jc w:val="both"/>
      </w:pPr>
      <w:r>
        <w:rPr>
          <w:rFonts w:ascii="Times New Roman" w:hAnsi="Times New Roman"/>
          <w:sz w:val="26"/>
        </w:rPr>
        <w:t>• Về công tác an toàn PCCC và bảo quản tài liệu: Việc thay mới 26 bình chữa cháy đạt chuẩn và chống dột dứt điểm sàn mái kho lưu trữ giúp triệt tiêu hoàn toàn nguy cơ cháy nổ, ẩm mốc, phân hủy đối với hơn 3.000 mét giá tài liệu địa chính gốc và hồ sơ biến động đất đai lưu trữ tại đơn vị; bảo đảm an toàn tính mạng cho 85 cán bộ nhân viên và hàng trăm lượt người dân đến giao dịch hàng ngày.</w:t>
        <w:br/>
        <w:t>• Về hiệu quả chuyên môn và cải cách TTHC: Trang bị kịp thời máy in 2 mặt tốc độ cao giúp các Tổ nghiệp vụ rút ngắn thời gian in ấn, luân chuyển hồ sơ, nâng cao tỷ lệ giải quyết hồ sơ đúng hạn và trước hạn cho công dân, doanh nghiệp trên địa bàn 05 phường phụ trách.</w:t>
        <w:br/>
        <w:t>• Về điều kiện làm việc: Đảm bảo điều kiện, trang thiết bị làm việc theo đúng chế độ, tiêu chuẩn định mức nhà nước đối với tân Giám đốc Chi nhánh vừa được điều động, bổ nhiệm theo Quyết định số 841/QĐ-SNNMT-VP ngày 30/9/2026 của Sở Nông nghiệp và Môi trường.</w:t>
        <w:br/>
        <w:t>• Về kinh tế và quản lý tài sản công: Phương án tận dụng triệt để cơ sở vật chất hiện có, xử lý cục bộ chống dột chất lượng cao với chi phí tiết kiệm tối đa, không để phát sinh hư hỏng lây lan gây lãng phí ngân sách nhà nước.</w:t>
      </w:r>
    </w:p>
    <w:p>
      <w:pPr>
        <w:spacing w:before="120" w:after="60"/>
        <w:ind w:firstLine="648"/>
      </w:pPr>
      <w:r>
        <w:rPr>
          <w:rFonts w:ascii="Times New Roman" w:hAnsi="Times New Roman"/>
          <w:b/>
          <w:sz w:val="26"/>
        </w:rPr>
        <w:t>2. Kiến nghị</w:t>
      </w:r>
    </w:p>
    <w:p>
      <w:pPr>
        <w:spacing w:line="276" w:lineRule="auto" w:after="80" w:before="0"/>
        <w:ind w:firstLine="648"/>
        <w:jc w:val="both"/>
      </w:pPr>
      <w:r>
        <w:rPr>
          <w:rFonts w:ascii="Times New Roman" w:hAnsi="Times New Roman"/>
          <w:sz w:val="26"/>
        </w:rPr>
        <w:t>Để kịp thời khắc phục tình trạng thấm dột trước mùa mưa cao điểm, đảm bảo an toàn PCCC kho lưu trữ và phương tiện làm việc phục vụ công tác chuyên môn, Chi nhánh Văn phòng Đăng ký đất đai số 23 kính đề nghị:</w:t>
        <w:br/>
        <w:t>1. Kính trình Giám đốc Văn phòng Đăng ký đất đai Thành phố Hồ Chí Minh xem xét, phê duyệt chủ trương và phê duyệt Phương án dự toán kinh phí nêu trên.</w:t>
        <w:br/>
        <w:t>2. Kính đề nghị Phòng Kế hoạch – Tài chính Văn phòng Đăng ký đất đai Thành phố hỗ trợ thẩm định dự toán, hướng dẫn các thủ tục chỉ định thầu rút gọn và bố trí nguồn kinh phí thanh toán để Chi nhánh số 23 sớm tổ chức triển khai thực hiện theo quy định./.</w:t>
      </w:r>
    </w:p>
    <w:p>
      <w:pPr>
        <w:spacing w:before="240" w:after="0"/>
      </w:pPr>
    </w:p>
    <w:p>
      <w:pPr>
        <w:spacing w:before="0" w:after="160"/>
        <w:jc w:val="right"/>
      </w:pPr>
      <w:r>
        <w:rPr>
          <w:rFonts w:ascii="Times New Roman" w:hAnsi="Times New Roman"/>
          <w:i/>
          <w:sz w:val="24"/>
        </w:rPr>
        <w:t>Thành phố Hồ Chí Minh, ngày 07 tháng 10 năm 2026</w:t>
      </w:r>
    </w:p>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0" w:type="dxa"/>
              <w:right w:w="0" w:type="dxa"/>
            </w:tcMar>
          </w:tcPr>
          <w:p>
            <w:pPr>
              <w:spacing w:after="40"/>
              <w:jc w:val="center"/>
            </w:pPr>
            <w:r>
              <w:rPr>
                <w:rFonts w:ascii="Times New Roman" w:hAnsi="Times New Roman"/>
                <w:b/>
                <w:sz w:val="24"/>
              </w:rPr>
              <w:t>NGƯỜI LẬP PHƯƠNG ÁN</w:t>
            </w:r>
          </w:p>
          <w:p>
            <w:pPr>
              <w:spacing w:before="0" w:after="800"/>
              <w:jc w:val="center"/>
            </w:pPr>
            <w:r>
              <w:rPr>
                <w:rFonts w:ascii="Times New Roman" w:hAnsi="Times New Roman"/>
                <w:i/>
                <w:sz w:val="22"/>
              </w:rPr>
              <w:t>(Ký và ghi rõ họ tên)</w:t>
            </w:r>
          </w:p>
          <w:p>
            <w:pPr>
              <w:spacing w:before="0" w:after="0"/>
              <w:jc w:val="center"/>
            </w:pPr>
            <w:r>
              <w:rPr>
                <w:rFonts w:ascii="Times New Roman" w:hAnsi="Times New Roman"/>
                <w:b/>
                <w:sz w:val="24"/>
              </w:rPr>
              <w:t>Tổ Hành chính – Tổng hợp</w:t>
            </w:r>
          </w:p>
        </w:tc>
        <w:tc>
          <w:tcPr>
            <w:tcW w:type="dxa" w:w="4752"/>
            <w:tcBorders>
              <w:top w:val="none"/>
              <w:left w:val="none"/>
              <w:bottom w:val="none"/>
              <w:right w:val="none"/>
            </w:tcBorders>
            <w:tcMar>
              <w:top w:w="0" w:type="dxa"/>
              <w:bottom w:w="0" w:type="dxa"/>
              <w:left w:w="0" w:type="dxa"/>
              <w:right w:w="0" w:type="dxa"/>
            </w:tcMar>
          </w:tcPr>
          <w:p>
            <w:pPr>
              <w:spacing w:after="40"/>
              <w:jc w:val="center"/>
            </w:pPr>
            <w:r>
              <w:rPr>
                <w:rFonts w:ascii="Times New Roman" w:hAnsi="Times New Roman"/>
                <w:b/>
                <w:sz w:val="24"/>
              </w:rPr>
              <w:t>CHI NHÁNH SỐ 23 LẬP DỰ TOÁN</w:t>
              <w:br/>
              <w:t>GIÁM ĐỐC</w:t>
            </w:r>
          </w:p>
          <w:p>
            <w:pPr>
              <w:spacing w:before="0" w:after="800"/>
              <w:jc w:val="center"/>
            </w:pPr>
            <w:r>
              <w:rPr>
                <w:rFonts w:ascii="Times New Roman" w:hAnsi="Times New Roman"/>
                <w:i/>
                <w:sz w:val="22"/>
              </w:rPr>
              <w:t>(Ký, đóng dấu và ghi rõ họ tên)</w:t>
            </w:r>
          </w:p>
          <w:p>
            <w:pPr>
              <w:spacing w:before="0" w:after="0"/>
              <w:jc w:val="center"/>
            </w:pPr>
            <w:r>
              <w:rPr>
                <w:rFonts w:ascii="Times New Roman" w:hAnsi="Times New Roman"/>
                <w:b/>
                <w:sz w:val="25"/>
              </w:rPr>
              <w:t>Nguyễn Chiến Thắng</w:t>
            </w:r>
          </w:p>
        </w:tc>
      </w:tr>
    </w:tbl>
    <w:p>
      <w:pPr>
        <w:spacing w:before="320" w:after="0"/>
      </w:pPr>
    </w:p>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Mar>
              <w:top w:w="0" w:type="dxa"/>
              <w:bottom w:w="0" w:type="dxa"/>
              <w:left w:w="0" w:type="dxa"/>
              <w:right w:w="0" w:type="dxa"/>
            </w:tcMar>
          </w:tcPr>
          <w:p>
            <w:pPr>
              <w:spacing w:after="40"/>
              <w:jc w:val="center"/>
            </w:pPr>
            <w:r>
              <w:rPr>
                <w:rFonts w:ascii="Times New Roman" w:hAnsi="Times New Roman"/>
                <w:b/>
                <w:sz w:val="23"/>
              </w:rPr>
              <w:t>ĐƠN VỊ THẨM ĐỊNH:</w:t>
              <w:br/>
              <w:t>PHÒNG KẾ HOẠCH – TÀI CHÍNH</w:t>
            </w:r>
          </w:p>
          <w:p>
            <w:pPr>
              <w:spacing w:after="900"/>
              <w:jc w:val="center"/>
            </w:pPr>
            <w:r>
              <w:rPr>
                <w:rFonts w:ascii="Times New Roman" w:hAnsi="Times New Roman"/>
                <w:i/>
                <w:sz w:val="22"/>
              </w:rPr>
              <w:t>(Ký và ghi rõ họ tên)</w:t>
            </w:r>
          </w:p>
          <w:p>
            <w:pPr>
              <w:jc w:val="center"/>
            </w:pPr>
            <w:r>
              <w:rPr>
                <w:rFonts w:ascii="Times New Roman" w:hAnsi="Times New Roman"/>
                <w:b/>
                <w:sz w:val="24"/>
              </w:rPr>
              <w:t>Đào Vân Anh</w:t>
            </w:r>
          </w:p>
        </w:tc>
        <w:tc>
          <w:tcPr>
            <w:tcW w:type="dxa" w:w="4752"/>
            <w:tcBorders>
              <w:top w:val="none"/>
              <w:left w:val="none"/>
              <w:bottom w:val="none"/>
              <w:right w:val="none"/>
            </w:tcBorders>
            <w:tcMar>
              <w:top w:w="0" w:type="dxa"/>
              <w:bottom w:w="0" w:type="dxa"/>
              <w:left w:w="0" w:type="dxa"/>
              <w:right w:w="0" w:type="dxa"/>
            </w:tcMar>
          </w:tcPr>
          <w:p>
            <w:pPr>
              <w:spacing w:after="40"/>
              <w:jc w:val="center"/>
            </w:pPr>
            <w:r>
              <w:rPr>
                <w:rFonts w:ascii="Times New Roman" w:hAnsi="Times New Roman"/>
                <w:b/>
                <w:sz w:val="23"/>
              </w:rPr>
              <w:t>PHÊ DUYỆT CỦA GIÁM ĐỐC</w:t>
              <w:br/>
              <w:t>VĂN PHÒNG ĐĂNG KÝ ĐẤT ĐAI TP.HCM</w:t>
            </w:r>
          </w:p>
          <w:p>
            <w:pPr>
              <w:spacing w:after="900"/>
              <w:jc w:val="center"/>
            </w:pPr>
            <w:r>
              <w:rPr>
                <w:rFonts w:ascii="Times New Roman" w:hAnsi="Times New Roman"/>
                <w:i/>
                <w:sz w:val="22"/>
              </w:rPr>
              <w:t>(Ký, đóng dấu và ghi rõ họ tên)</w:t>
            </w:r>
          </w:p>
          <w:p>
            <w:pPr>
              <w:jc w:val="center"/>
            </w:pPr>
            <w:r>
              <w:rPr>
                <w:rFonts w:ascii="Times New Roman" w:hAnsi="Times New Roman"/>
                <w:b/>
                <w:sz w:val="24"/>
              </w:rPr>
              <w:t>Bùi Thị Bích Tuyền</w:t>
            </w:r>
          </w:p>
        </w:tc>
      </w:tr>
    </w:tbl>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