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032"/>
            <w:tcBorders>
              <w:top w:val="none"/>
              <w:left w:val="none"/>
              <w:bottom w:val="none"/>
              <w:right w:val="none"/>
            </w:tcBorders>
          </w:tcPr>
          <w:p>
            <w:pPr>
              <w:spacing w:after="0"/>
              <w:jc w:val="center"/>
            </w:pPr>
            <w:r>
              <w:rPr>
                <w:sz w:val="24"/>
              </w:rPr>
              <w:t>VĂN PHÒNG ĐĂNG KÝ ĐẤT ĐAI</w:t>
              <w:br/>
              <w:t>THÀNH PHỐ HỒ CHÍ MINH</w:t>
            </w:r>
          </w:p>
          <w:p>
            <w:pPr>
              <w:spacing w:after="0"/>
              <w:jc w:val="center"/>
            </w:pPr>
            <w:r>
              <w:rPr>
                <w:b/>
                <w:sz w:val="26"/>
              </w:rPr>
              <w:t>CHI NHÁNH SỐ 23</w:t>
            </w:r>
          </w:p>
          <w:p>
            <w:pPr>
              <w:jc w:val="center"/>
              <w:spacing w:before="0" w:after="80" w:line="120" w:lineRule="exact"/>
            </w:pPr>
            <w:r>
              <w:rPr>
                <w:rFonts w:ascii="Times New Roman" w:hAnsi="Times New Roman"/>
                <w:b/>
                <w:sz w:val="17"/>
              </w:rPr>
              <w:t>————————</w:t>
            </w:r>
          </w:p>
        </w:tc>
        <w:tc>
          <w:tcPr>
            <w:tcW w:type="dxa" w:w="5328"/>
            <w:tcBorders>
              <w:top w:val="none"/>
              <w:left w:val="none"/>
              <w:bottom w:val="none"/>
              <w:right w:val="none"/>
            </w:tcBorders>
          </w:tcPr>
          <w:p>
            <w:pPr>
              <w:spacing w:after="0"/>
              <w:jc w:val="center"/>
            </w:pPr>
            <w:r>
              <w:rPr>
                <w:b/>
                <w:sz w:val="26"/>
              </w:rPr>
              <w:t>CỘNG HÒA XÃ HỘI CHỦ NGHĨA VIỆT NAM</w:t>
            </w:r>
          </w:p>
          <w:p>
            <w:pPr>
              <w:spacing w:after="0"/>
              <w:jc w:val="center"/>
            </w:pPr>
            <w:r>
              <w:rPr>
                <w:b/>
                <w:sz w:val="26"/>
              </w:rPr>
              <w:t>Độc lập - Tự do - Hạnh phúc</w:t>
            </w:r>
          </w:p>
          <w:p>
            <w:pPr>
              <w:jc w:val="center"/>
              <w:spacing w:before="0" w:after="80" w:line="120" w:lineRule="exact"/>
            </w:pPr>
            <w:r>
              <w:rPr>
                <w:rFonts w:ascii="Times New Roman" w:hAnsi="Times New Roman"/>
                <w:b/>
                <w:sz w:val="17"/>
              </w:rPr>
              <w:t>——————————————————</w:t>
            </w:r>
          </w:p>
        </w:tc>
      </w:tr>
      <w:tr>
        <w:tc>
          <w:tcPr>
            <w:tcW w:type="dxa" w:w="4032"/>
            <w:tcBorders>
              <w:top w:val="none"/>
              <w:left w:val="none"/>
              <w:bottom w:val="none"/>
              <w:right w:val="none"/>
            </w:tcBorders>
          </w:tcPr>
          <w:p>
            <w:pPr>
              <w:spacing w:after="120"/>
              <w:jc w:val="center"/>
            </w:pPr>
            <w:r>
              <w:rPr>
                <w:sz w:val="26"/>
              </w:rPr>
              <w:t>Số:       /TTr-CN23</w:t>
            </w:r>
          </w:p>
        </w:tc>
        <w:tc>
          <w:tcPr>
            <w:tcW w:type="dxa" w:w="5328"/>
            <w:tcBorders>
              <w:top w:val="none"/>
              <w:left w:val="none"/>
              <w:bottom w:val="none"/>
              <w:right w:val="none"/>
            </w:tcBorders>
          </w:tcPr>
          <w:p>
            <w:pPr>
              <w:spacing w:after="120"/>
              <w:jc w:val="center"/>
            </w:pPr>
            <w:r>
              <w:rPr>
                <w:i/>
                <w:sz w:val="26"/>
              </w:rPr>
              <w:t>Thủ Dầu Một, ngày 16 tháng 10 năm 2026</w:t>
            </w:r>
          </w:p>
        </w:tc>
      </w:tr>
    </w:tbl>
    <w:p>
      <w:pPr>
        <w:spacing w:before="240" w:after="40"/>
        <w:jc w:val="center"/>
      </w:pPr>
      <w:r>
        <w:rPr>
          <w:b/>
          <w:sz w:val="28"/>
        </w:rPr>
        <w:t>TỜ TRÌNH</w:t>
      </w:r>
    </w:p>
    <w:p>
      <w:pPr>
        <w:spacing w:after="0"/>
        <w:jc w:val="center"/>
      </w:pPr>
      <w:r>
        <w:rPr>
          <w:b/>
          <w:sz w:val="26"/>
        </w:rPr>
        <w:t>Về việc triển khai Mô hình quản lý tiến độ công việc, điều hành Chiến dịch Kế hoạch 9999 và kiểm soát văn bản QLVB đồng bộ qua tài khoản Gmail cá nhân và hệ sinh thái Google (Chi phí 0 đồng)</w:t>
      </w:r>
    </w:p>
    <w:p>
      <w:pPr>
        <w:jc w:val="center"/>
        <w:spacing w:before="0" w:after="80" w:line="120" w:lineRule="exact"/>
      </w:pPr>
      <w:r>
        <w:rPr>
          <w:rFonts w:ascii="Times New Roman" w:hAnsi="Times New Roman"/>
          <w:b/>
          <w:sz w:val="17"/>
        </w:rPr>
        <w:t>————————</w:t>
      </w:r>
    </w:p>
    <w:p>
      <w:pPr>
        <w:spacing w:before="120" w:after="200"/>
        <w:jc w:val="center"/>
      </w:pPr>
      <w:r>
        <w:rPr>
          <w:b/>
        </w:rPr>
        <w:t xml:space="preserve">Kính gửi: </w:t>
      </w:r>
      <w:r>
        <w:rPr>
          <w:b/>
        </w:rPr>
        <w:t>Ông Nguyễn Chiến Thắng – Giám đốc Chi nhánh Văn phòng Đăng ký đất đai số 23.</w:t>
      </w:r>
    </w:p>
    <w:p>
      <w:pPr>
        <w:spacing w:after="120" w:line="276" w:lineRule="auto"/>
        <w:ind w:firstLine="720"/>
        <w:jc w:val="both"/>
      </w:pPr>
      <w:r>
        <w:rPr>
          <w:i/>
        </w:rPr>
        <w:t>Căn cứ Quyết định số 2637/QĐ-SNNMT-VP ngày 30 tháng 12 năm 2025 của Sở Nông nghiệp và Môi trường Thành phố Hồ Chí Minh về việc quy định chức năng, nhiệm vụ, quyền hạn và cơ cấu tổ chức của Chi nhánh Văn phòng Đăng ký đất đai số 23;</w:t>
      </w:r>
    </w:p>
    <w:p>
      <w:pPr>
        <w:spacing w:after="120" w:line="276" w:lineRule="auto"/>
        <w:ind w:firstLine="720"/>
        <w:jc w:val="both"/>
      </w:pPr>
      <w:r>
        <w:rPr>
          <w:i/>
        </w:rPr>
        <w:t>Căn cứ Quy chế làm việc của Chi nhánh Văn phòng Đăng ký đất đai số 23 và yêu cầu thực tiễn trong công tác theo dõi, đôn đốc tiến độ giải quyết thủ tục hành chính, xử lý công văn đến trên phần mềm Quản lý văn bản (QLVB) và thực hiện Chiến dịch làm giàu, làm sạch cơ sở dữ liệu đất đai (Kế hoạch 9999 / Kế hoạch số 515/KH-BCA-BNNMT).</w:t>
      </w:r>
    </w:p>
    <w:p>
      <w:pPr>
        <w:spacing w:after="120" w:line="276" w:lineRule="auto"/>
        <w:ind w:firstLine="720"/>
        <w:jc w:val="both"/>
      </w:pPr>
      <w:r>
        <w:rPr>
          <w:i w:val="0"/>
        </w:rPr>
        <w:t>Bộ phận Công nghệ thông tin thuộc Tổ Hành chính – Tổng hợp kính trình Giám đốc Chi nhánh xem xét, phê duyệt phương án triển khai “Mô hình quản lý đầu công việc và giám sát tiến độ nghiệp vụ tập trung chỉ bằng tài khoản Gmail cá nhân của viên chức, người lao động” với các nội dung cụ thể như sau:</w:t>
      </w:r>
    </w:p>
    <w:p>
      <w:pPr>
        <w:spacing w:after="120" w:line="276" w:lineRule="auto"/>
        <w:jc w:val="both"/>
      </w:pPr>
      <w:r>
        <w:rPr>
          <w:b/>
          <w:i w:val="0"/>
        </w:rPr>
        <w:t>I. ĐÁNH GIÁ THỰC TRẠNG VÀ SỰ CẦN THIẾT TRIỂN KHAI</w:t>
      </w:r>
      <w:r>
        <w:rPr>
          <w:i w:val="0"/>
        </w:rPr>
      </w:r>
    </w:p>
    <w:p>
      <w:pPr>
        <w:spacing w:after="120" w:line="276" w:lineRule="auto"/>
        <w:ind w:firstLine="720"/>
        <w:jc w:val="both"/>
      </w:pPr>
      <w:r>
        <w:rPr>
          <w:b/>
          <w:i w:val="0"/>
        </w:rPr>
        <w:t>1. Thực trạng phân mảnh dữ liệu điều hành:</w:t>
      </w:r>
      <w:r>
        <w:rPr>
          <w:i w:val="0"/>
        </w:rPr>
        <w:t xml:space="preserve"> Qua khảo sát thực tế quy trình tác nghiệp tại 03 Tổ chuyên môn (Tổ Hành chính – Tổng hợp, Tổ Đăng ký và Cấp giấy chứng nhận, Tổ Kỹ thuật Địa chính và Lưu trữ) và Bộ phận Một cửa tại 05 phường phụ trách (Thủ Dầu Một, Phú Lợi, Bình Dương, Chánh Hiệp, Phú An), công tác quản lý tiến độ công việc hiện đang gặp 03 điểm nghẽn lớn:</w:t>
      </w:r>
    </w:p>
    <w:p>
      <w:pPr>
        <w:spacing w:after="120" w:line="276" w:lineRule="auto"/>
        <w:ind w:firstLine="720"/>
        <w:jc w:val="both"/>
      </w:pPr>
      <w:r>
        <w:rPr>
          <w:b/>
          <w:i w:val="0"/>
        </w:rPr>
        <w:t>a) Gián đoạn cảnh báo trên phần mềm QLVB:</w:t>
      </w:r>
      <w:r>
        <w:rPr>
          <w:i w:val="0"/>
        </w:rPr>
        <w:t xml:space="preserve"> Các phần mềm chuyên ngành hiện có gồm Phần mềm Quản lý văn bản (QLVB), Hệ thống VBDLIS và Phần mềm điều hành đo đạc OERP (vpdkddtdm.vn) hoạt động độc lập, chưa có công cụ tự động gửi thông báo nhắc hạn trực tiếp vào điện thoại của từng cán bộ thụ lý.</w:t>
      </w:r>
    </w:p>
    <w:p>
      <w:pPr>
        <w:spacing w:after="120" w:line="276" w:lineRule="auto"/>
        <w:ind w:firstLine="720"/>
        <w:jc w:val="both"/>
      </w:pPr>
      <w:r>
        <w:rPr>
          <w:b/>
          <w:i w:val="0"/>
        </w:rPr>
        <w:t>b) Chưa chuẩn hóa dữ liệu dây chuyền Kế hoạch 9999:</w:t>
      </w:r>
      <w:r>
        <w:rPr>
          <w:i w:val="0"/>
        </w:rPr>
        <w:t xml:space="preserve"> Chiến dịch Kế hoạch 9999 là một dây chuyền liên hoàn gồm 04 khâu nối tiếp nhau: (1) Tổ Rà soát tại 05 phường (7.256 thửa) -&gt; (2) Tổ Lục hồ sơ tại Kho lưu trữ (4.371 hồ sơ) -&gt; (3) Tổ Quét/Scan hồ sơ (09 máy Scan A3, 02 máy Scan A4 đẩy lên máy chủ HSQ-TDM) -&gt; (4) Tổ Đo đạc và Chỉnh lý không gian (42.368 thửa đất thiếu không gian). Tuy nhiên, hiện nay nhân viên đang nhập báo cáo vào file Excel rời rạc bằng chuỗi ký tự tự do (ví dụ: “rà gửi lục: 108 thửa cập nhật lên nhóm 1: 46 thửa”), dẫn đến không thể cộng tự động khối lượng tồn kho chuyển tiếp giữa Tổ Rà soát – Tổ Lục – Tổ Scan.</w:t>
      </w:r>
    </w:p>
    <w:p>
      <w:pPr>
        <w:spacing w:after="120" w:line="276" w:lineRule="auto"/>
        <w:ind w:firstLine="720"/>
        <w:jc w:val="both"/>
      </w:pPr>
      <w:r>
        <w:rPr>
          <w:b/>
          <w:i w:val="0"/>
        </w:rPr>
        <w:t>c) Trôi thông tin khi giao việc qua mạng xã hội:</w:t>
      </w:r>
      <w:r>
        <w:rPr>
          <w:i w:val="0"/>
        </w:rPr>
        <w:t xml:space="preserve"> Các nhiệm vụ do Giám đốc và các Phó Giám đốc giao tại cuộc họp giao ban thứ Hai hàng tuần hoặc giao đột xuất qua nhóm Zalo dễ bị trôi tin nhắn, thiếu công cụ gắn lịch hạn chót (Deadline) tự động trên điện thoại cá nhân.</w:t>
      </w:r>
    </w:p>
    <w:p>
      <w:pPr>
        <w:spacing w:after="120" w:line="276" w:lineRule="auto"/>
        <w:jc w:val="both"/>
      </w:pPr>
      <w:r>
        <w:rPr>
          <w:b/>
          <w:i w:val="0"/>
        </w:rPr>
        <w:t>II. ĐỀ XUẤT GIẢI PHÁP CÔNG NGHỆ (TẬN DỤNG 100% GMAIL CÁ NHÂN – CHI PHÍ 0 ĐỒNG)</w:t>
      </w:r>
      <w:r>
        <w:rPr>
          <w:i w:val="0"/>
        </w:rPr>
      </w:r>
    </w:p>
    <w:p>
      <w:pPr>
        <w:spacing w:after="120" w:line="276" w:lineRule="auto"/>
        <w:ind w:firstLine="720"/>
        <w:jc w:val="both"/>
      </w:pPr>
      <w:r>
        <w:rPr>
          <w:i w:val="0"/>
        </w:rPr>
        <w:t>Qua đối chiếu kỹ thuật giữa các phần mềm quản lý công việc hiện có trên thị trường (Trello, Asana, Notion, Lark Suite, Google AppSheet và Hệ sinh thái Google), Bộ phận Công nghệ thông tin tham mưu Giám đốc lựa chọn giải pháp “Hệ sinh thái Google đồng bộ (Google Sheets + Google Forms + Google Calendar + Google Apps Script + Dashboard trực quan)” vì 04 ưu điểm vượt trội:</w:t>
      </w:r>
    </w:p>
    <w:p>
      <w:pPr>
        <w:spacing w:after="120" w:line="276" w:lineRule="auto"/>
        <w:ind w:firstLine="720"/>
        <w:jc w:val="both"/>
      </w:pPr>
      <w:r>
        <w:rPr>
          <w:b/>
          <w:i w:val="0"/>
        </w:rPr>
        <w:t>1. Quản lý định danh và phân quyền tuyệt đối bằng Gmail cá nhân:</w:t>
      </w:r>
      <w:r>
        <w:rPr>
          <w:i w:val="0"/>
        </w:rPr>
        <w:t xml:space="preserve"> Mỗi địa chỉ Gmail cá nhân (@gmail.com) của 75 viên chức, người lao động chính là một mã định danh bảo mật (Unique ID). Hệ thống phân quyền (Protected Ranges) khóa chặt từng vùng dữ liệu: Giám đốc và Phó Giám đốc xem toàn diện; Tổ trưởng quản lý trong phạm vi Tổ; viên chức chỉ được nhập và cập nhật kết quả công việc của chính mình.</w:t>
      </w:r>
    </w:p>
    <w:p>
      <w:pPr>
        <w:spacing w:after="120" w:line="276" w:lineRule="auto"/>
        <w:ind w:firstLine="720"/>
        <w:jc w:val="both"/>
      </w:pPr>
      <w:r>
        <w:rPr>
          <w:b/>
          <w:i w:val="0"/>
        </w:rPr>
        <w:t>2. Đồng bộ 02 chiều với lịch điện thoại (Google Calendar):</w:t>
      </w:r>
      <w:r>
        <w:rPr>
          <w:i w:val="0"/>
        </w:rPr>
        <w:t xml:space="preserve"> Khi Ban Giám đốc hoặc Tổ trưởng giao việc có thời hạn trên bảng Master Google Sheet, bộ mã tự động Google Apps Script sẽ lập tức đẩy sự kiện công việc vào ứng dụng Google Calendar trên điện thoại thông minh của cán bộ đó và gửi thư điện tử (Gmail) xác nhận nhiệm vụ.</w:t>
      </w:r>
    </w:p>
    <w:p>
      <w:pPr>
        <w:spacing w:after="120" w:line="276" w:lineRule="auto"/>
        <w:ind w:firstLine="720"/>
        <w:jc w:val="both"/>
      </w:pPr>
      <w:r>
        <w:rPr>
          <w:b/>
          <w:i w:val="0"/>
        </w:rPr>
        <w:t>3. Tự động hóa dây chuyền liên hoàn 04 Tổ trong Kế hoạch 9999:</w:t>
      </w:r>
      <w:r>
        <w:rPr>
          <w:i w:val="0"/>
        </w:rPr>
        <w:t xml:space="preserve"> Hệ thống chuẩn hóa thao tác báo cáo cuối ngày (16h30) qua biểu mẫu Google Forms chỉ mất 30 giây với các trường số nguyên tách biệt. Khi Tổ Rà soát nhập số thửa “Báo thiếu hồ sơ quét”, hệ thống tự động cộng vào “Rổ việc chờ lục” của Tổ Kho; khi Tổ Kho nhập số bộ “Đã lục giao Scan”, hệ thống tự động cộng vào “Rổ việc chờ quét” của Tổ Scan; khi Tổ Scan hoàn tất đẩy file lên Server HSQ-TDM, hệ thống tự động bắn Gmail báo ngược lại cho cán bộ Tổ Rà soát để cập nhật vào Nhóm 1.</w:t>
      </w:r>
    </w:p>
    <w:p>
      <w:pPr>
        <w:spacing w:after="120" w:line="276" w:lineRule="auto"/>
        <w:ind w:firstLine="720"/>
        <w:jc w:val="both"/>
      </w:pPr>
      <w:r>
        <w:rPr>
          <w:b/>
          <w:i w:val="0"/>
        </w:rPr>
        <w:t>4. Robot tự động nhắc hạn công văn QLVB lúc 07h30 và báo cáo Giám đốc lúc 17h00:</w:t>
      </w:r>
      <w:r>
        <w:rPr>
          <w:i w:val="0"/>
        </w:rPr>
        <w:t xml:space="preserve"> Định kỳ 07h30 sáng hàng ngày, hệ thống tự động đối chiếu bảng kết xuất từ phần mềm QLVB để gửi Gmail cảnh báo đích danh những cán bộ có công văn sắp đến hạn, quá hạn hoặc tồn đọng cao; đồng thời gửi Báo cáo tổng hợp điều hành (Executive Summary) đến Gmail của Giám đốc Chi nhánh vào lúc 17h00 mỗi ngày.</w:t>
      </w:r>
    </w:p>
    <w:p>
      <w:pPr>
        <w:spacing w:after="120" w:line="276" w:lineRule="auto"/>
        <w:jc w:val="both"/>
      </w:pPr>
      <w:r>
        <w:rPr>
          <w:b/>
          <w:i w:val="0"/>
        </w:rPr>
        <w:t>III. CẤU TRÚC HỆ THỐNG BẢNG ĐIỀU HÀNH TRUNG TÂM (MASTER GOOGLE SHEET)</w:t>
      </w:r>
      <w:r>
        <w:rPr>
          <w:i w:val="0"/>
        </w:rPr>
      </w:r>
    </w:p>
    <w:p>
      <w:pPr>
        <w:spacing w:after="120" w:line="276" w:lineRule="auto"/>
        <w:ind w:firstLine="720"/>
        <w:jc w:val="both"/>
      </w:pPr>
      <w:r>
        <w:rPr>
          <w:i w:val="0"/>
        </w:rPr>
        <w:t>Hệ thống được thiết kế tập trung trên 01 tệp điều hành duy nhất (MASTER_QUAN_LY_CONG_VIEC_CN23) gồm 06 phân hệ liên thông:</w:t>
      </w:r>
    </w:p>
    <w:tbl>
      <w:tblPr>
        <w:tblW w:type="auto" w:w="0"/>
        <w:jc w:val="center"/>
        <w:tblLook w:firstColumn="1" w:firstRow="1" w:lastColumn="0" w:lastRow="0" w:noHBand="0" w:noVBand="1" w:val="04A0"/>
      </w:tblPr>
      <w:tblGrid>
        <w:gridCol w:w="2340"/>
        <w:gridCol w:w="2340"/>
        <w:gridCol w:w="2340"/>
        <w:gridCol w:w="2340"/>
      </w:tblGrid>
      <w:tr>
        <w:tc>
          <w:tcPr>
            <w:tcW w:type="dxa" w:w="648"/>
            <w:tcBorders>
              <w:top w:val="single" w:sz="4" w:color="000000"/>
              <w:left w:val="single" w:sz="4" w:color="000000"/>
              <w:bottom w:val="single" w:sz="4" w:color="000000"/>
              <w:right w:val="single" w:sz="4" w:color="000000"/>
            </w:tcBorders>
          </w:tcPr>
          <w:p>
            <w:pPr>
              <w:spacing w:before="60" w:after="60"/>
              <w:jc w:val="center"/>
            </w:pPr>
            <w:r>
              <w:rPr>
                <w:b/>
                <w:sz w:val="23"/>
              </w:rPr>
              <w:t>TT</w:t>
            </w:r>
          </w:p>
        </w:tc>
        <w:tc>
          <w:tcPr>
            <w:tcW w:type="dxa" w:w="2376"/>
            <w:tcBorders>
              <w:top w:val="single" w:sz="4" w:color="000000"/>
              <w:left w:val="single" w:sz="4" w:color="000000"/>
              <w:bottom w:val="single" w:sz="4" w:color="000000"/>
              <w:right w:val="single" w:sz="4" w:color="000000"/>
            </w:tcBorders>
          </w:tcPr>
          <w:p>
            <w:pPr>
              <w:spacing w:before="60" w:after="60"/>
              <w:jc w:val="center"/>
            </w:pPr>
            <w:r>
              <w:rPr>
                <w:b/>
                <w:sz w:val="23"/>
              </w:rPr>
              <w:t>Tên Phân hệ (Sheet)</w:t>
            </w:r>
          </w:p>
        </w:tc>
        <w:tc>
          <w:tcPr>
            <w:tcW w:type="dxa" w:w="3744"/>
            <w:tcBorders>
              <w:top w:val="single" w:sz="4" w:color="000000"/>
              <w:left w:val="single" w:sz="4" w:color="000000"/>
              <w:bottom w:val="single" w:sz="4" w:color="000000"/>
              <w:right w:val="single" w:sz="4" w:color="000000"/>
            </w:tcBorders>
          </w:tcPr>
          <w:p>
            <w:pPr>
              <w:spacing w:before="60" w:after="60"/>
              <w:jc w:val="center"/>
            </w:pPr>
            <w:r>
              <w:rPr>
                <w:b/>
                <w:sz w:val="23"/>
              </w:rPr>
              <w:t>Chức năng &amp; Nội dung quản lý</w:t>
            </w:r>
          </w:p>
        </w:tc>
        <w:tc>
          <w:tcPr>
            <w:tcW w:type="dxa" w:w="2592"/>
            <w:tcBorders>
              <w:top w:val="single" w:sz="4" w:color="000000"/>
              <w:left w:val="single" w:sz="4" w:color="000000"/>
              <w:bottom w:val="single" w:sz="4" w:color="000000"/>
              <w:right w:val="single" w:sz="4" w:color="000000"/>
            </w:tcBorders>
          </w:tcPr>
          <w:p>
            <w:pPr>
              <w:spacing w:before="60" w:after="60"/>
              <w:jc w:val="center"/>
            </w:pPr>
            <w:r>
              <w:rPr>
                <w:b/>
                <w:sz w:val="23"/>
              </w:rPr>
              <w:t>Phân quyền theo Gmail</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1</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00_DASHBOARD_BGD</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Bảng điều khiển tổng hợp tiến độ Kế hoạch 9999, điểm nghẽn Lục/Scan, cảnh báo công văn QLVB và nhiệm vụ tuần.</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Ban Giám đốc (Chế độ xem toàn quyền, khóa chỉnh sửa)</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2</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01_DANH_BA_GMAIL</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Danh sách định danh 75 viên chức, NLĐ thuộc 03 Tổ chuyên môn, địa bàn 05 phường kèm địa chỉ Gmail cá nhân.</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Quản trị CNTT &amp; Tổ trưởng Tổ HC-TH</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3</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02_DAY_CHUYEN_9999</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Theo dõi liên hoàn 04 khâu: Rà soát (7.256 thửa) -&gt; Lục kho (4.371 HS) -&gt; Quét Scan -&gt; Chỉnh lý Không gian (42.368 thửa).</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Cán bộ các Tổ nhập qua Google Form / Cột được cấp quyền</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4</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03_KIEM_SOAT_QLVB</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Đồng bộ dữ liệu từ phần mềm QLVB (636 công văn đến); lọc tự động công văn quá hạn và tồn đọng cao.</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Văn thư cập nhật lúc 08h00; Tự động gửi Gmail lúc 08h15</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5</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04_LICH_DO_DAC_OERP</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Quản lý lịch hẹn đo đạc thực địa và thẩm định bản vẽ trích đo đồng bộ từ phần mềm OERP (vpdkddtdm.vn).</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Tổ Kỹ thuật Địa chính &amp; Lưu trữ (Đồng bộ Google Calendar)</w:t>
            </w:r>
          </w:p>
        </w:tc>
      </w:tr>
      <w:tr>
        <w:tc>
          <w:tcPr>
            <w:tcW w:type="dxa" w:w="648"/>
            <w:tcBorders>
              <w:top w:val="single" w:sz="4" w:color="000000"/>
              <w:left w:val="single" w:sz="4" w:color="000000"/>
              <w:bottom w:val="single" w:sz="4" w:color="000000"/>
              <w:right w:val="single" w:sz="4" w:color="000000"/>
            </w:tcBorders>
          </w:tcPr>
          <w:p>
            <w:pPr>
              <w:spacing w:before="60" w:after="60"/>
              <w:jc w:val="center"/>
            </w:pPr>
            <w:r>
              <w:rPr>
                <w:sz w:val="23"/>
              </w:rPr>
              <w:t>6</w:t>
            </w:r>
          </w:p>
        </w:tc>
        <w:tc>
          <w:tcPr>
            <w:tcW w:type="dxa" w:w="2376"/>
            <w:tcBorders>
              <w:top w:val="single" w:sz="4" w:color="000000"/>
              <w:left w:val="single" w:sz="4" w:color="000000"/>
              <w:bottom w:val="single" w:sz="4" w:color="000000"/>
              <w:right w:val="single" w:sz="4" w:color="000000"/>
            </w:tcBorders>
          </w:tcPr>
          <w:p>
            <w:pPr>
              <w:spacing w:before="60" w:after="60"/>
              <w:jc w:val="left"/>
            </w:pPr>
            <w:r>
              <w:rPr>
                <w:sz w:val="23"/>
              </w:rPr>
              <w:t>05_GIAO_VIEC_BGD</w:t>
            </w:r>
          </w:p>
        </w:tc>
        <w:tc>
          <w:tcPr>
            <w:tcW w:type="dxa" w:w="3744"/>
            <w:tcBorders>
              <w:top w:val="single" w:sz="4" w:color="000000"/>
              <w:left w:val="single" w:sz="4" w:color="000000"/>
              <w:bottom w:val="single" w:sz="4" w:color="000000"/>
              <w:right w:val="single" w:sz="4" w:color="000000"/>
            </w:tcBorders>
          </w:tcPr>
          <w:p>
            <w:pPr>
              <w:spacing w:before="60" w:after="60"/>
              <w:jc w:val="left"/>
            </w:pPr>
            <w:r>
              <w:rPr>
                <w:sz w:val="23"/>
              </w:rPr>
              <w:t>Theo dõi các đầu việc do Giám đốc, Phó Giám đốc giao tại cuộc họp giao ban thứ Hai hàng tuần.</w:t>
            </w:r>
          </w:p>
        </w:tc>
        <w:tc>
          <w:tcPr>
            <w:tcW w:type="dxa" w:w="2592"/>
            <w:tcBorders>
              <w:top w:val="single" w:sz="4" w:color="000000"/>
              <w:left w:val="single" w:sz="4" w:color="000000"/>
              <w:bottom w:val="single" w:sz="4" w:color="000000"/>
              <w:right w:val="single" w:sz="4" w:color="000000"/>
            </w:tcBorders>
          </w:tcPr>
          <w:p>
            <w:pPr>
              <w:spacing w:before="60" w:after="60"/>
              <w:jc w:val="left"/>
            </w:pPr>
            <w:r>
              <w:rPr>
                <w:sz w:val="23"/>
              </w:rPr>
              <w:t>Ban Giám đốc &amp; Tổ trưởng 03 Tổ chuyên môn</w:t>
            </w:r>
          </w:p>
        </w:tc>
      </w:tr>
    </w:tbl>
    <w:p>
      <w:pPr>
        <w:spacing w:after="120" w:line="276" w:lineRule="auto" w:before="160"/>
        <w:jc w:val="both"/>
      </w:pPr>
      <w:r>
        <w:rPr>
          <w:b/>
          <w:i w:val="0"/>
        </w:rPr>
        <w:t>IV. LỘ TRÌNH TỔ CHỨC THỰC HIỆN VÀ KIẾN NGHỊ</w:t>
      </w:r>
      <w:r>
        <w:rPr>
          <w:i w:val="0"/>
        </w:rPr>
      </w:r>
    </w:p>
    <w:p>
      <w:pPr>
        <w:spacing w:after="120" w:line="276" w:lineRule="auto"/>
        <w:ind w:firstLine="720"/>
        <w:jc w:val="both"/>
      </w:pPr>
      <w:r>
        <w:rPr>
          <w:b/>
          <w:i w:val="0"/>
        </w:rPr>
        <w:t>1. Bước 1 (Ngày thứ nhất – Chuẩn bị hạ tầng số):</w:t>
      </w:r>
      <w:r>
        <w:rPr>
          <w:i w:val="0"/>
        </w:rPr>
        <w:t xml:space="preserve"> Thu thập đầy đủ danh bạ Gmail cá nhân của toàn thể viên chức, người lao động thuộc 03 Tổ chuyên môn; thiết lập tệp Master Google Sheet, biểu mẫu Google Forms và bộ lịch Google Calendar dùng chung của Chi nhánh.</w:t>
      </w:r>
    </w:p>
    <w:p>
      <w:pPr>
        <w:spacing w:after="120" w:line="276" w:lineRule="auto"/>
        <w:ind w:firstLine="720"/>
        <w:jc w:val="both"/>
      </w:pPr>
      <w:r>
        <w:rPr>
          <w:b/>
          <w:i w:val="0"/>
        </w:rPr>
        <w:t>2. Bước 2 (Ngày thứ hai – Tích hợp tự động hóa):</w:t>
      </w:r>
      <w:r>
        <w:rPr>
          <w:i w:val="0"/>
        </w:rPr>
        <w:t xml:space="preserve"> Cài đặt bộ mã tự động Google Apps Script (gửi Gmail giao việc, nhắc hạn công văn QLVB lúc 07h30 sáng, đồng bộ lịch đo đạc và báo cáo Giám đốc lúc 17h00 chiều); hướng dẫn nhanh cho các Tổ trưởng và cán bộ đầu mối.</w:t>
      </w:r>
    </w:p>
    <w:p>
      <w:pPr>
        <w:spacing w:after="120" w:line="276" w:lineRule="auto"/>
        <w:ind w:firstLine="720"/>
        <w:jc w:val="both"/>
      </w:pPr>
      <w:r>
        <w:rPr>
          <w:b/>
          <w:i w:val="0"/>
        </w:rPr>
        <w:t>3. Bước 3 (Ngày thứ ba – Vận hành chính thức):</w:t>
      </w:r>
      <w:r>
        <w:rPr>
          <w:i w:val="0"/>
        </w:rPr>
        <w:t xml:space="preserve"> Vận hành chính thức toàn Chi nhánh và trích xuất Dashboard phục vụ cuộc họp giao ban Ban Giám đốc vào thứ Hai hàng tuần.</w:t>
      </w:r>
    </w:p>
    <w:p>
      <w:pPr>
        <w:spacing w:after="120" w:line="276" w:lineRule="auto"/>
        <w:ind w:firstLine="720"/>
        <w:jc w:val="both"/>
      </w:pPr>
      <w:r>
        <w:rPr>
          <w:i w:val="0"/>
        </w:rPr>
        <w:t>Bộ phận Công nghệ thông tin thuộc Tổ Hành chính – Tổng hợp kính trình Giám đốc Chi nhánh xem xét, chấp thuận chủ trương để triển khai thực hiện ngay trong tuần./.</w:t>
      </w:r>
    </w:p>
    <w:tbl>
      <w:tblPr>
        <w:tblW w:type="auto" w:w="0"/>
        <w:jc w:val="center"/>
        <w:tblLayout w:type="fixed"/>
        <w:tblLook w:firstColumn="1" w:firstRow="1" w:lastColumn="0" w:lastRow="0" w:noHBand="0" w:noVBand="1" w:val="04A0"/>
      </w:tblPr>
      <w:tblGrid>
        <w:gridCol w:w="4680"/>
        <w:gridCol w:w="4680"/>
      </w:tblGrid>
      <w:tr>
        <w:tc>
          <w:tcPr>
            <w:tcW w:type="dxa" w:w="4608"/>
            <w:tcBorders>
              <w:top w:val="none"/>
              <w:left w:val="none"/>
              <w:bottom w:val="none"/>
              <w:right w:val="none"/>
            </w:tcBorders>
          </w:tcPr>
          <w:p>
            <w:pPr>
              <w:spacing w:before="120" w:after="40"/>
            </w:pPr>
            <w:r>
              <w:rPr>
                <w:b/>
                <w:i/>
                <w:sz w:val="24"/>
              </w:rPr>
              <w:t>Nơi nhận:</w:t>
            </w:r>
          </w:p>
          <w:p>
            <w:pPr>
              <w:spacing w:after="20" w:line="252" w:lineRule="auto"/>
            </w:pPr>
            <w:r>
              <w:rPr>
                <w:sz w:val="22"/>
              </w:rPr>
              <w:t>- Như trên (để kính trình);</w:t>
            </w:r>
          </w:p>
          <w:p>
            <w:pPr>
              <w:spacing w:after="20" w:line="252" w:lineRule="auto"/>
            </w:pPr>
            <w:r>
              <w:rPr>
                <w:sz w:val="22"/>
              </w:rPr>
              <w:t>- Các Phó Giám đốc CN23 (để b/c);</w:t>
            </w:r>
          </w:p>
          <w:p>
            <w:pPr>
              <w:spacing w:after="20" w:line="252" w:lineRule="auto"/>
            </w:pPr>
            <w:r>
              <w:rPr>
                <w:sz w:val="22"/>
              </w:rPr>
              <w:t>- Tổ trưởng 03 Tổ chuyên môn (để p/h);</w:t>
            </w:r>
          </w:p>
          <w:p>
            <w:pPr>
              <w:spacing w:after="20" w:line="252" w:lineRule="auto"/>
            </w:pPr>
            <w:r>
              <w:rPr>
                <w:sz w:val="22"/>
              </w:rPr>
              <w:t>- Lưu: VT, HC-TH (Quân, 02b).</w:t>
            </w:r>
          </w:p>
        </w:tc>
        <w:tc>
          <w:tcPr>
            <w:tcW w:type="dxa" w:w="4752"/>
            <w:tcBorders>
              <w:top w:val="none"/>
              <w:left w:val="none"/>
              <w:bottom w:val="none"/>
              <w:right w:val="none"/>
            </w:tcBorders>
          </w:tcPr>
          <w:p>
            <w:pPr>
              <w:spacing w:before="120" w:after="960"/>
              <w:jc w:val="center"/>
            </w:pPr>
            <w:r>
              <w:rPr>
                <w:b/>
                <w:sz w:val="26"/>
              </w:rPr>
              <w:t>NGƯỜI LẬP TỜ TRÌNH</w:t>
              <w:br/>
              <w:t>PHỤ TRÁCH CÔNG NGHỆ THÔNG TIN</w:t>
            </w:r>
          </w:p>
          <w:p>
            <w:pPr>
              <w:jc w:val="center"/>
            </w:pPr>
            <w:r>
              <w:rPr>
                <w:b/>
                <w:sz w:val="26"/>
              </w:rPr>
              <w:t>Đỗ Trọng Minh Quân</w:t>
            </w:r>
          </w:p>
        </w:tc>
      </w:tr>
    </w:tbl>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r>
        <w:rPr>
          <w:rFonts w:ascii="Times New Roman" w:hAnsi="Times New Roman"/>
          <w:sz w:val="26"/>
        </w:rPr>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