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4608"/>
            <w:tcBorders>
              <w:top w:val="none"/>
              <w:left w:val="none"/>
              <w:bottom w:val="none"/>
              <w:right w:val="none"/>
            </w:tcBorders>
            <w:tcMar>
              <w:top w:w="0" w:type="dxa"/>
              <w:bottom w:w="0" w:type="dxa"/>
              <w:left w:w="0" w:type="dxa"/>
              <w:right w:w="0" w:type="dxa"/>
            </w:tcMar>
          </w:tcPr>
          <w:p>
            <w:pPr>
              <w:spacing w:before="0" w:after="0" w:line="252" w:lineRule="auto"/>
              <w:jc w:val="center"/>
            </w:pPr>
            <w:r>
              <w:rPr>
                <w:rFonts w:ascii="Times New Roman" w:hAnsi="Times New Roman"/>
                <w:sz w:val="24"/>
              </w:rPr>
              <w:t>VĂN PHÒNG ĐĂNG KÝ ĐẤT ĐAI</w:t>
              <w:br/>
              <w:t>THÀNH PHỐ HỒ CHÍ MINH</w:t>
              <w:br/>
            </w:r>
            <w:r>
              <w:rPr>
                <w:rFonts w:ascii="Times New Roman" w:hAnsi="Times New Roman"/>
                <w:b/>
                <w:sz w:val="26"/>
              </w:rPr>
              <w:t>CHI NHÁNH SỐ 23</w:t>
            </w:r>
          </w:p>
          <w:p>
            <w:pPr>
              <w:spacing w:before="0" w:after="80" w:line="192" w:lineRule="auto"/>
              <w:jc w:val="center"/>
            </w:pPr>
            <w:r>
              <w:rPr>
                <w:rFonts w:ascii="Times New Roman" w:hAnsi="Times New Roman"/>
                <w:b/>
                <w:sz w:val="17"/>
              </w:rPr>
              <w:t>————————</w:t>
            </w:r>
          </w:p>
          <w:p>
            <w:pPr>
              <w:spacing w:before="0" w:after="0"/>
              <w:jc w:val="center"/>
            </w:pPr>
            <w:r>
              <w:rPr>
                <w:rFonts w:ascii="Times New Roman" w:hAnsi="Times New Roman"/>
                <w:sz w:val="26"/>
              </w:rPr>
              <w:t>Số:        /TTr-CN23</w:t>
            </w:r>
          </w:p>
        </w:tc>
        <w:tc>
          <w:tcPr>
            <w:tcW w:type="dxa" w:w="4752"/>
            <w:tcBorders>
              <w:top w:val="none"/>
              <w:left w:val="none"/>
              <w:bottom w:val="none"/>
              <w:right w:val="none"/>
            </w:tcBorders>
            <w:tcMar>
              <w:top w:w="0" w:type="dxa"/>
              <w:bottom w:w="0" w:type="dxa"/>
              <w:left w:w="0" w:type="dxa"/>
              <w:right w:w="0" w:type="dxa"/>
            </w:tcMar>
          </w:tcPr>
          <w:p>
            <w:pPr>
              <w:spacing w:before="0" w:after="0" w:line="252" w:lineRule="auto"/>
              <w:jc w:val="center"/>
            </w:pPr>
            <w:r>
              <w:rPr>
                <w:rFonts w:ascii="Times New Roman" w:hAnsi="Times New Roman"/>
                <w:b/>
                <w:sz w:val="26"/>
              </w:rPr>
              <w:t>CỘNG HÒA XÃ HỘI CHỦ NGHĨA VIỆT NAM</w:t>
              <w:br/>
            </w:r>
            <w:r>
              <w:rPr>
                <w:rFonts w:ascii="Times New Roman" w:hAnsi="Times New Roman"/>
                <w:b/>
                <w:sz w:val="26"/>
              </w:rPr>
              <w:t>Độc lập - Tự do - Hạnh phúc</w:t>
            </w:r>
          </w:p>
          <w:p>
            <w:pPr>
              <w:spacing w:before="0" w:after="80" w:line="192" w:lineRule="auto"/>
              <w:jc w:val="center"/>
            </w:pPr>
            <w:r>
              <w:rPr>
                <w:rFonts w:ascii="Times New Roman" w:hAnsi="Times New Roman"/>
                <w:b/>
                <w:sz w:val="17"/>
              </w:rPr>
              <w:t>——————————————————</w:t>
            </w:r>
          </w:p>
          <w:p>
            <w:pPr>
              <w:spacing w:before="0" w:after="0"/>
              <w:jc w:val="center"/>
            </w:pPr>
            <w:r>
              <w:rPr>
                <w:rFonts w:ascii="Times New Roman" w:hAnsi="Times New Roman"/>
                <w:i/>
                <w:sz w:val="26"/>
              </w:rPr>
              <w:t>Thành phố Hồ Chí Minh, ngày 07 tháng 10 năm 2026</w:t>
            </w:r>
          </w:p>
        </w:tc>
      </w:tr>
    </w:tbl>
    <w:p>
      <w:pPr>
        <w:spacing w:before="120" w:after="0"/>
      </w:pPr>
    </w:p>
    <w:p>
      <w:pPr>
        <w:spacing w:before="0" w:after="60"/>
        <w:jc w:val="center"/>
      </w:pPr>
      <w:r>
        <w:rPr>
          <w:rFonts w:ascii="Times New Roman" w:hAnsi="Times New Roman"/>
          <w:b/>
          <w:sz w:val="28"/>
        </w:rPr>
        <w:t>TỜ TRÌNH</w:t>
      </w:r>
    </w:p>
    <w:p>
      <w:pPr>
        <w:spacing w:before="0" w:after="40"/>
        <w:jc w:val="center"/>
      </w:pPr>
      <w:r>
        <w:rPr>
          <w:rFonts w:ascii="Times New Roman" w:hAnsi="Times New Roman"/>
          <w:b/>
          <w:sz w:val="26"/>
        </w:rPr>
        <w:t>Về việc đăng ký sử dụng thông tin dữ liệu đo đạc và bản đồ</w:t>
        <w:br/>
        <w:t>theo Thông tư số 47/2024/TT-BTC ngày 10/7/2024 của Bộ Tài chính</w:t>
      </w:r>
    </w:p>
    <w:p>
      <w:pPr>
        <w:spacing w:before="0" w:after="240" w:line="192" w:lineRule="auto"/>
        <w:jc w:val="center"/>
      </w:pPr>
      <w:r>
        <w:rPr>
          <w:rFonts w:ascii="Times New Roman" w:hAnsi="Times New Roman"/>
          <w:b/>
          <w:sz w:val="17"/>
        </w:rPr>
        <w:t>————————</w:t>
      </w:r>
    </w:p>
    <w:p>
      <w:pPr>
        <w:spacing w:before="80" w:after="160"/>
        <w:ind w:left="720"/>
        <w:jc w:val="both"/>
      </w:pPr>
      <w:r>
        <w:rPr>
          <w:rFonts w:ascii="Times New Roman" w:hAnsi="Times New Roman"/>
          <w:b/>
          <w:sz w:val="26"/>
        </w:rPr>
        <w:t xml:space="preserve">Kính gửi: </w:t>
      </w:r>
      <w:r>
        <w:rPr>
          <w:rFonts w:ascii="Times New Roman" w:hAnsi="Times New Roman"/>
          <w:b/>
          <w:sz w:val="26"/>
        </w:rPr>
        <w:t>Văn phòng Đăng ký đất đai Thành phố Hồ Chí Minh.</w:t>
      </w:r>
    </w:p>
    <w:p>
      <w:pPr>
        <w:spacing w:before="120" w:after="80"/>
        <w:ind w:firstLine="706"/>
        <w:jc w:val="both"/>
      </w:pPr>
      <w:r>
        <w:rPr>
          <w:rFonts w:ascii="Times New Roman" w:hAnsi="Times New Roman"/>
          <w:b/>
          <w:sz w:val="26"/>
        </w:rPr>
        <w:t>1. Căn cứ pháp lý:</w:t>
      </w:r>
    </w:p>
    <w:p>
      <w:pPr>
        <w:spacing w:line="276" w:lineRule="auto" w:after="120"/>
        <w:ind w:firstLine="706"/>
        <w:jc w:val="both"/>
      </w:pPr>
      <w:r>
        <w:rPr>
          <w:rFonts w:ascii="Times New Roman" w:hAnsi="Times New Roman"/>
          <w:i w:val="0"/>
          <w:sz w:val="26"/>
        </w:rPr>
        <w:t>Căn cứ Luật Đo đạc và bản đồ số 27/2018/QH14 ngày 14 tháng 6 năm 2018;</w:t>
      </w:r>
    </w:p>
    <w:p>
      <w:pPr>
        <w:spacing w:line="276" w:lineRule="auto" w:after="120"/>
        <w:ind w:firstLine="706"/>
        <w:jc w:val="both"/>
      </w:pPr>
      <w:r>
        <w:rPr>
          <w:rFonts w:ascii="Times New Roman" w:hAnsi="Times New Roman"/>
          <w:i w:val="0"/>
          <w:sz w:val="26"/>
        </w:rPr>
        <w:t>Căn cứ Nghị định số 27/2019/NĐ-CP ngày 13 tháng 3 năm 2019 của Chính phủ quy định chi tiết một số điều của Luật Đo đạc và bản đồ;</w:t>
      </w:r>
    </w:p>
    <w:p>
      <w:pPr>
        <w:spacing w:line="276" w:lineRule="auto" w:after="120"/>
        <w:ind w:firstLine="706"/>
        <w:jc w:val="both"/>
      </w:pPr>
      <w:r>
        <w:rPr>
          <w:rFonts w:ascii="Times New Roman" w:hAnsi="Times New Roman"/>
          <w:i w:val="0"/>
          <w:sz w:val="26"/>
        </w:rPr>
        <w:t>Căn cứ Nghị định số 136/2021/NĐ-CP ngày 31 tháng 12 năm 2021 của Chính phủ sửa đổi, bổ sung một số điều của Nghị định số 27/2019/NĐ-CP ngày 13 tháng 3 năm 2019 của Chính phủ quy định chi tiết một số điều của Luật Đo đạc và bản đồ;</w:t>
      </w:r>
    </w:p>
    <w:p>
      <w:pPr>
        <w:spacing w:line="276" w:lineRule="auto" w:after="120"/>
        <w:ind w:firstLine="706"/>
        <w:jc w:val="both"/>
      </w:pPr>
      <w:r>
        <w:rPr>
          <w:rFonts w:ascii="Times New Roman" w:hAnsi="Times New Roman"/>
          <w:i w:val="0"/>
          <w:sz w:val="26"/>
        </w:rPr>
        <w:t>Căn cứ Thông tư số 47/2024/TT-BTC ngày 10 tháng 7 năm 2024 của Bộ Tài chính quy định mức thu, chế độ thu, nộp, quản lý và sử dụng phí khai thác, sử dụng thông tin dữ liệu đo đạc và bản đồ.</w:t>
      </w:r>
    </w:p>
    <w:p>
      <w:pPr>
        <w:spacing w:before="120" w:after="80"/>
        <w:ind w:firstLine="706"/>
        <w:jc w:val="both"/>
      </w:pPr>
      <w:r>
        <w:rPr>
          <w:rFonts w:ascii="Times New Roman" w:hAnsi="Times New Roman"/>
          <w:b/>
          <w:sz w:val="26"/>
        </w:rPr>
        <w:t>2. Nội dung đề xuất và nhu cầu sử dụng:</w:t>
      </w:r>
    </w:p>
    <w:p>
      <w:pPr>
        <w:spacing w:line="276" w:lineRule="auto" w:after="120"/>
        <w:ind w:firstLine="706"/>
        <w:jc w:val="both"/>
      </w:pPr>
      <w:r>
        <w:rPr>
          <w:rFonts w:ascii="Times New Roman" w:hAnsi="Times New Roman"/>
          <w:i w:val="0"/>
          <w:sz w:val="26"/>
        </w:rPr>
        <w:t>Theo quy định tại Điều 2 và Biểu mức thu phí ban hành kèm theo Thông tư số 47/2024/TT-BTC ngày 10 tháng 7 năm 2024 của Bộ Tài chính, việc sử dụng dữ liệu đo động thời gian thực (dữ liệu tiếp nhận từ trạm CORS quốc gia) để thực hiện hoạt động đo đạc phải nộp phí với mức thu là 6.750.000 đồng/12 tháng/máy thu.</w:t>
      </w:r>
    </w:p>
    <w:p>
      <w:pPr>
        <w:spacing w:line="276" w:lineRule="auto" w:after="120"/>
        <w:ind w:firstLine="706"/>
        <w:jc w:val="both"/>
      </w:pPr>
      <w:r>
        <w:rPr>
          <w:rFonts w:ascii="Times New Roman" w:hAnsi="Times New Roman"/>
          <w:i w:val="0"/>
          <w:sz w:val="26"/>
        </w:rPr>
        <w:t>Căn cứ nhu cầu sử dụng thiết bị định vị GNSS/GPS RTK phục vụ công tác chuyên môn tại đơn vị, Chi nhánh Văn phòng Đăng ký đất đai số 23 xác định có 04 thiết bị sử dụng trạm CORS gần đến thời hạn gia hạn tài khoản dữ liệu với tổng kinh phí đăng ký sử dụng là 27.000.000 đồng (bằng chữ: Hai mươi bảy triệu đồng chẵn).</w:t>
      </w:r>
    </w:p>
    <w:p>
      <w:pPr>
        <w:spacing w:line="276" w:lineRule="auto" w:after="120"/>
        <w:ind w:firstLine="706"/>
        <w:jc w:val="both"/>
      </w:pPr>
      <w:r>
        <w:rPr>
          <w:rFonts w:ascii="Times New Roman" w:hAnsi="Times New Roman"/>
          <w:i w:val="0"/>
          <w:sz w:val="26"/>
        </w:rPr>
        <w:t>Danh mục chi tiết 04 thiết bị đăng ký sử dụng dữ liệu cụ thể như sau:</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tcMar>
              <w:top w:w="80" w:type="dxa"/>
              <w:bottom w:w="80" w:type="dxa"/>
              <w:left w:w="100" w:type="dxa"/>
              <w:right w:w="100" w:type="dxa"/>
            </w:tcMar>
            <w:tcBorders>
              <w:top w:val="single" w:sz="4" w:space="0" w:color="000000"/>
              <w:bottom w:val="single" w:sz="4" w:space="0" w:color="000000"/>
              <w:left w:val="single" w:sz="4" w:space="0" w:color="000000"/>
              <w:right w:val="single" w:sz="4" w:space="0" w:color="000000"/>
            </w:tcBorders>
            <w:shd w:fill="F2F2F2"/>
          </w:tcPr>
          <w:p>
            <w:pPr>
              <w:spacing w:before="0" w:after="0"/>
              <w:jc w:val="center"/>
            </w:pPr>
            <w:r>
              <w:rPr>
                <w:rFonts w:ascii="Times New Roman" w:hAnsi="Times New Roman"/>
                <w:b/>
                <w:sz w:val="24"/>
              </w:rPr>
              <w:t>STT</w:t>
            </w:r>
          </w:p>
        </w:tc>
        <w:tc>
          <w:tcPr>
            <w:tcW w:type="dxa" w:w="3168"/>
            <w:tcMar>
              <w:top w:w="80" w:type="dxa"/>
              <w:bottom w:w="80" w:type="dxa"/>
              <w:left w:w="100" w:type="dxa"/>
              <w:right w:w="100" w:type="dxa"/>
            </w:tcMar>
            <w:tcBorders>
              <w:top w:val="single" w:sz="4" w:space="0" w:color="000000"/>
              <w:bottom w:val="single" w:sz="4" w:space="0" w:color="000000"/>
              <w:left w:val="single" w:sz="4" w:space="0" w:color="000000"/>
              <w:right w:val="single" w:sz="4" w:space="0" w:color="000000"/>
            </w:tcBorders>
            <w:shd w:fill="F2F2F2"/>
          </w:tcPr>
          <w:p>
            <w:pPr>
              <w:spacing w:before="0" w:after="0"/>
              <w:jc w:val="center"/>
            </w:pPr>
            <w:r>
              <w:rPr>
                <w:rFonts w:ascii="Times New Roman" w:hAnsi="Times New Roman"/>
                <w:b/>
                <w:sz w:val="24"/>
              </w:rPr>
              <w:t>Loại máy</w:t>
            </w:r>
          </w:p>
        </w:tc>
        <w:tc>
          <w:tcPr>
            <w:tcW w:type="dxa" w:w="2880"/>
            <w:tcMar>
              <w:top w:w="80" w:type="dxa"/>
              <w:bottom w:w="80" w:type="dxa"/>
              <w:left w:w="100" w:type="dxa"/>
              <w:right w:w="100" w:type="dxa"/>
            </w:tcMar>
            <w:tcBorders>
              <w:top w:val="single" w:sz="4" w:space="0" w:color="000000"/>
              <w:bottom w:val="single" w:sz="4" w:space="0" w:color="000000"/>
              <w:left w:val="single" w:sz="4" w:space="0" w:color="000000"/>
              <w:right w:val="single" w:sz="4" w:space="0" w:color="000000"/>
            </w:tcBorders>
            <w:shd w:fill="F2F2F2"/>
          </w:tcPr>
          <w:p>
            <w:pPr>
              <w:spacing w:before="0" w:after="0"/>
              <w:jc w:val="center"/>
            </w:pPr>
            <w:r>
              <w:rPr>
                <w:rFonts w:ascii="Times New Roman" w:hAnsi="Times New Roman"/>
                <w:b/>
                <w:sz w:val="24"/>
              </w:rPr>
              <w:t>Số máy (Serial number)</w:t>
            </w:r>
          </w:p>
        </w:tc>
        <w:tc>
          <w:tcPr>
            <w:tcW w:type="dxa" w:w="2160"/>
            <w:tcMar>
              <w:top w:w="80" w:type="dxa"/>
              <w:bottom w:w="80" w:type="dxa"/>
              <w:left w:w="100" w:type="dxa"/>
              <w:right w:w="100" w:type="dxa"/>
            </w:tcMar>
            <w:tcBorders>
              <w:top w:val="single" w:sz="4" w:space="0" w:color="000000"/>
              <w:bottom w:val="single" w:sz="4" w:space="0" w:color="000000"/>
              <w:left w:val="single" w:sz="4" w:space="0" w:color="000000"/>
              <w:right w:val="single" w:sz="4" w:space="0" w:color="000000"/>
            </w:tcBorders>
            <w:shd w:fill="F2F2F2"/>
          </w:tcPr>
          <w:p>
            <w:pPr>
              <w:spacing w:before="0" w:after="0"/>
              <w:jc w:val="center"/>
            </w:pPr>
            <w:r>
              <w:rPr>
                <w:rFonts w:ascii="Times New Roman" w:hAnsi="Times New Roman"/>
                <w:b/>
                <w:sz w:val="24"/>
              </w:rPr>
              <w:t>Đơn giá (đồng/12 tháng)</w:t>
            </w:r>
          </w:p>
        </w:tc>
      </w:tr>
      <w:tr>
        <w:tc>
          <w:tcPr>
            <w:tcW w:type="dxa" w:w="1152"/>
            <w:tcMar>
              <w:top w:w="70" w:type="dxa"/>
              <w:bottom w:w="7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4"/>
              </w:rPr>
              <w:t>1</w:t>
            </w:r>
          </w:p>
        </w:tc>
        <w:tc>
          <w:tcPr>
            <w:tcW w:type="dxa" w:w="3168"/>
            <w:tcMar>
              <w:top w:w="70" w:type="dxa"/>
              <w:bottom w:w="7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4"/>
              </w:rPr>
              <w:t>Trimble DA2</w:t>
            </w:r>
          </w:p>
        </w:tc>
        <w:tc>
          <w:tcPr>
            <w:tcW w:type="dxa" w:w="2880"/>
            <w:tcMar>
              <w:top w:w="70" w:type="dxa"/>
              <w:bottom w:w="7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4"/>
              </w:rPr>
              <w:t>6430100158</w:t>
            </w:r>
          </w:p>
        </w:tc>
        <w:tc>
          <w:tcPr>
            <w:tcW w:type="dxa" w:w="2160"/>
            <w:tcMar>
              <w:top w:w="70" w:type="dxa"/>
              <w:bottom w:w="7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right"/>
            </w:pPr>
            <w:r>
              <w:rPr>
                <w:rFonts w:ascii="Times New Roman" w:hAnsi="Times New Roman"/>
                <w:sz w:val="24"/>
              </w:rPr>
              <w:t>6.750.000</w:t>
            </w:r>
          </w:p>
        </w:tc>
      </w:tr>
      <w:tr>
        <w:tc>
          <w:tcPr>
            <w:tcW w:type="dxa" w:w="1152"/>
            <w:tcMar>
              <w:top w:w="70" w:type="dxa"/>
              <w:bottom w:w="7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4"/>
              </w:rPr>
              <w:t>2</w:t>
            </w:r>
          </w:p>
        </w:tc>
        <w:tc>
          <w:tcPr>
            <w:tcW w:type="dxa" w:w="3168"/>
            <w:tcMar>
              <w:top w:w="70" w:type="dxa"/>
              <w:bottom w:w="7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4"/>
              </w:rPr>
              <w:t>Trimble DA2</w:t>
            </w:r>
          </w:p>
        </w:tc>
        <w:tc>
          <w:tcPr>
            <w:tcW w:type="dxa" w:w="2880"/>
            <w:tcMar>
              <w:top w:w="70" w:type="dxa"/>
              <w:bottom w:w="7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4"/>
              </w:rPr>
              <w:t>6416100243</w:t>
            </w:r>
          </w:p>
        </w:tc>
        <w:tc>
          <w:tcPr>
            <w:tcW w:type="dxa" w:w="2160"/>
            <w:tcMar>
              <w:top w:w="70" w:type="dxa"/>
              <w:bottom w:w="7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right"/>
            </w:pPr>
            <w:r>
              <w:rPr>
                <w:rFonts w:ascii="Times New Roman" w:hAnsi="Times New Roman"/>
                <w:sz w:val="24"/>
              </w:rPr>
              <w:t>6.750.000</w:t>
            </w:r>
          </w:p>
        </w:tc>
      </w:tr>
      <w:tr>
        <w:tc>
          <w:tcPr>
            <w:tcW w:type="dxa" w:w="1152"/>
            <w:tcMar>
              <w:top w:w="70" w:type="dxa"/>
              <w:bottom w:w="7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4"/>
              </w:rPr>
              <w:t>3</w:t>
            </w:r>
          </w:p>
        </w:tc>
        <w:tc>
          <w:tcPr>
            <w:tcW w:type="dxa" w:w="3168"/>
            <w:tcMar>
              <w:top w:w="70" w:type="dxa"/>
              <w:bottom w:w="7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4"/>
              </w:rPr>
              <w:t>Trimble DA2</w:t>
            </w:r>
          </w:p>
        </w:tc>
        <w:tc>
          <w:tcPr>
            <w:tcW w:type="dxa" w:w="2880"/>
            <w:tcMar>
              <w:top w:w="70" w:type="dxa"/>
              <w:bottom w:w="7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4"/>
              </w:rPr>
              <w:t>6340100189</w:t>
            </w:r>
          </w:p>
        </w:tc>
        <w:tc>
          <w:tcPr>
            <w:tcW w:type="dxa" w:w="2160"/>
            <w:tcMar>
              <w:top w:w="70" w:type="dxa"/>
              <w:bottom w:w="7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right"/>
            </w:pPr>
            <w:r>
              <w:rPr>
                <w:rFonts w:ascii="Times New Roman" w:hAnsi="Times New Roman"/>
                <w:sz w:val="24"/>
              </w:rPr>
              <w:t>6.750.000</w:t>
            </w:r>
          </w:p>
        </w:tc>
      </w:tr>
      <w:tr>
        <w:tc>
          <w:tcPr>
            <w:tcW w:type="dxa" w:w="1152"/>
            <w:tcMar>
              <w:top w:w="70" w:type="dxa"/>
              <w:bottom w:w="7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4"/>
              </w:rPr>
              <w:t>4</w:t>
            </w:r>
          </w:p>
        </w:tc>
        <w:tc>
          <w:tcPr>
            <w:tcW w:type="dxa" w:w="3168"/>
            <w:tcMar>
              <w:top w:w="70" w:type="dxa"/>
              <w:bottom w:w="7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4"/>
              </w:rPr>
              <w:t>Trimble DA2</w:t>
            </w:r>
          </w:p>
        </w:tc>
        <w:tc>
          <w:tcPr>
            <w:tcW w:type="dxa" w:w="2880"/>
            <w:tcMar>
              <w:top w:w="70" w:type="dxa"/>
              <w:bottom w:w="7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4"/>
              </w:rPr>
              <w:t>6416100009</w:t>
            </w:r>
          </w:p>
        </w:tc>
        <w:tc>
          <w:tcPr>
            <w:tcW w:type="dxa" w:w="2160"/>
            <w:tcMar>
              <w:top w:w="70" w:type="dxa"/>
              <w:bottom w:w="7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right"/>
            </w:pPr>
            <w:r>
              <w:rPr>
                <w:rFonts w:ascii="Times New Roman" w:hAnsi="Times New Roman"/>
                <w:sz w:val="24"/>
              </w:rPr>
              <w:t>6.750.000</w:t>
            </w:r>
          </w:p>
        </w:tc>
      </w:tr>
      <w:tr>
        <w:tc>
          <w:tcPr>
            <w:tcW w:type="dxa" w:w="7200"/>
            <w:gridSpan w:val="3"/>
            <w:tcMar>
              <w:top w:w="70" w:type="dxa"/>
              <w:bottom w:w="70" w:type="dxa"/>
              <w:left w:w="100" w:type="dxa"/>
              <w:right w:w="100" w:type="dxa"/>
            </w:tcMar>
            <w:tcBorders>
              <w:top w:val="single" w:sz="4" w:space="0" w:color="000000"/>
              <w:bottom w:val="single" w:sz="4" w:space="0" w:color="000000"/>
              <w:left w:val="single" w:sz="4" w:space="0" w:color="000000"/>
              <w:right w:val="single" w:sz="4" w:space="0" w:color="000000"/>
            </w:tcBorders>
            <w:shd w:fill="F9F9F9"/>
          </w:tcPr>
          <w:p>
            <w:pPr>
              <w:spacing w:before="0" w:after="0"/>
              <w:jc w:val="center"/>
            </w:pPr>
            <w:r>
              <w:rPr>
                <w:rFonts w:ascii="Times New Roman" w:hAnsi="Times New Roman"/>
                <w:b/>
                <w:sz w:val="24"/>
              </w:rPr>
              <w:t>Tổng cộng</w:t>
            </w:r>
          </w:p>
        </w:tc>
        <w:tc>
          <w:tcPr>
            <w:tcW w:type="dxa" w:w="2160"/>
            <w:tcMar>
              <w:top w:w="70" w:type="dxa"/>
              <w:bottom w:w="70" w:type="dxa"/>
              <w:left w:w="100" w:type="dxa"/>
              <w:right w:w="100" w:type="dxa"/>
            </w:tcMar>
            <w:tcBorders>
              <w:top w:val="single" w:sz="4" w:space="0" w:color="000000"/>
              <w:bottom w:val="single" w:sz="4" w:space="0" w:color="000000"/>
              <w:left w:val="single" w:sz="4" w:space="0" w:color="000000"/>
              <w:right w:val="single" w:sz="4" w:space="0" w:color="000000"/>
            </w:tcBorders>
            <w:shd w:fill="F9F9F9"/>
          </w:tcPr>
          <w:p>
            <w:pPr>
              <w:spacing w:before="0" w:after="0"/>
              <w:jc w:val="right"/>
            </w:pPr>
            <w:r>
              <w:rPr>
                <w:rFonts w:ascii="Times New Roman" w:hAnsi="Times New Roman"/>
                <w:b/>
                <w:sz w:val="24"/>
              </w:rPr>
              <w:t>27.000.000</w:t>
            </w:r>
          </w:p>
        </w:tc>
      </w:tr>
    </w:tbl>
    <w:p>
      <w:pPr>
        <w:spacing w:before="120" w:after="80"/>
        <w:ind w:firstLine="706"/>
        <w:jc w:val="both"/>
      </w:pPr>
      <w:r>
        <w:rPr>
          <w:rFonts w:ascii="Times New Roman" w:hAnsi="Times New Roman"/>
          <w:b/>
          <w:sz w:val="26"/>
        </w:rPr>
        <w:t>3. Kiến nghị, đề xuất:</w:t>
      </w:r>
    </w:p>
    <w:p>
      <w:pPr>
        <w:spacing w:line="276" w:lineRule="auto" w:after="120"/>
        <w:ind w:firstLine="706"/>
        <w:jc w:val="both"/>
      </w:pPr>
      <w:r>
        <w:rPr>
          <w:rFonts w:ascii="Times New Roman" w:hAnsi="Times New Roman"/>
          <w:i w:val="0"/>
          <w:sz w:val="26"/>
        </w:rPr>
        <w:t>Chi nhánh Văn phòng Đăng ký đất đai số 23 kính đề nghị Văn phòng Đăng ký đất đai Thành phố Hồ Chí Minh xem xét, chỉ đạo việc đăng ký sử dụng thông tin dữ liệu đo đạc và bản đồ nhằm cung cấp thông tin dữ liệu thu nhận từ mạng lưới trạm định vị vệ tinh quốc gia về dữ liệu đo đạc thời gian thực (RTK) cho 04 thiết bị nêu trên để phục vụ kịp thời công tác đo đạc, lập bản đồ và giải quyết thủ tục hành chính cho người dân, doanh nghiệp.</w:t>
      </w:r>
    </w:p>
    <w:p>
      <w:pPr>
        <w:spacing w:line="276" w:lineRule="auto" w:after="120"/>
        <w:ind w:firstLine="706"/>
        <w:jc w:val="both"/>
      </w:pPr>
      <w:r>
        <w:rPr>
          <w:rFonts w:ascii="Times New Roman" w:hAnsi="Times New Roman"/>
          <w:i/>
          <w:sz w:val="26"/>
        </w:rPr>
        <w:t>Kính trình Văn phòng Đăng ký đất đai Thành phố Hồ Chí Minh xem xét, giải quyết./.</w:t>
      </w:r>
    </w:p>
    <w:p>
      <w:pPr>
        <w:spacing w:before="160" w:after="0"/>
      </w:pPr>
    </w:p>
    <w:tbl>
      <w:tblPr>
        <w:tblW w:type="auto" w:w="0"/>
        <w:jc w:val="center"/>
        <w:tblLayout w:type="fixed"/>
        <w:tblLook w:firstColumn="1" w:firstRow="1" w:lastColumn="0" w:lastRow="0" w:noHBand="0" w:noVBand="1" w:val="04A0"/>
      </w:tblPr>
      <w:tblGrid>
        <w:gridCol w:w="4680"/>
        <w:gridCol w:w="4680"/>
      </w:tblGrid>
      <w:tr>
        <w:tc>
          <w:tcPr>
            <w:tcW w:type="dxa" w:w="4608"/>
            <w:tcBorders>
              <w:top w:val="none"/>
              <w:left w:val="none"/>
              <w:bottom w:val="none"/>
              <w:right w:val="none"/>
            </w:tcBorders>
            <w:tcMar>
              <w:top w:w="0" w:type="dxa"/>
              <w:bottom w:w="0" w:type="dxa"/>
              <w:left w:w="0" w:type="dxa"/>
              <w:right w:w="0" w:type="dxa"/>
            </w:tcMar>
          </w:tcPr>
          <w:p>
            <w:pPr>
              <w:spacing w:after="40"/>
            </w:pPr>
            <w:r>
              <w:rPr>
                <w:rFonts w:ascii="Times New Roman" w:hAnsi="Times New Roman"/>
                <w:b/>
                <w:i/>
                <w:sz w:val="24"/>
              </w:rPr>
              <w:t>Nơi nhận:</w:t>
            </w:r>
          </w:p>
          <w:p>
            <w:pPr>
              <w:spacing w:before="0" w:after="20" w:line="252" w:lineRule="auto"/>
            </w:pPr>
            <w:r>
              <w:rPr>
                <w:rFonts w:ascii="Times New Roman" w:hAnsi="Times New Roman"/>
                <w:sz w:val="22"/>
              </w:rPr>
              <w:t>- Như trên (để kính trình);</w:t>
            </w:r>
          </w:p>
          <w:p>
            <w:pPr>
              <w:spacing w:before="0" w:after="20" w:line="252" w:lineRule="auto"/>
            </w:pPr>
            <w:r>
              <w:rPr>
                <w:rFonts w:ascii="Times New Roman" w:hAnsi="Times New Roman"/>
                <w:sz w:val="22"/>
              </w:rPr>
              <w:t>- Phòng Kỹ thuật địa chính và Lưu trữ;</w:t>
            </w:r>
          </w:p>
          <w:p>
            <w:pPr>
              <w:spacing w:before="0" w:after="20" w:line="252" w:lineRule="auto"/>
            </w:pPr>
            <w:r>
              <w:rPr>
                <w:rFonts w:ascii="Times New Roman" w:hAnsi="Times New Roman"/>
                <w:sz w:val="22"/>
              </w:rPr>
              <w:t>- Phòng Kế hoạch - Tài chính;</w:t>
            </w:r>
          </w:p>
          <w:p>
            <w:pPr>
              <w:spacing w:before="0" w:after="20" w:line="252" w:lineRule="auto"/>
            </w:pPr>
            <w:r>
              <w:rPr>
                <w:rFonts w:ascii="Times New Roman" w:hAnsi="Times New Roman"/>
                <w:sz w:val="22"/>
              </w:rPr>
              <w:t>- Phòng Hành chính – Tổng hợp;</w:t>
            </w:r>
          </w:p>
          <w:p>
            <w:pPr>
              <w:spacing w:before="0" w:after="20" w:line="252" w:lineRule="auto"/>
            </w:pPr>
            <w:r>
              <w:rPr>
                <w:rFonts w:ascii="Times New Roman" w:hAnsi="Times New Roman"/>
                <w:sz w:val="22"/>
              </w:rPr>
              <w:t>- Ban Giám đốc Chi nhánh 23;</w:t>
            </w:r>
          </w:p>
          <w:p>
            <w:pPr>
              <w:spacing w:before="0" w:after="20" w:line="252" w:lineRule="auto"/>
            </w:pPr>
            <w:r>
              <w:rPr>
                <w:rFonts w:ascii="Times New Roman" w:hAnsi="Times New Roman"/>
                <w:sz w:val="22"/>
              </w:rPr>
              <w:t>- Lưu: VT, Tổ KTĐC-LT.</w:t>
            </w:r>
          </w:p>
        </w:tc>
        <w:tc>
          <w:tcPr>
            <w:tcW w:type="dxa" w:w="4752"/>
            <w:tcBorders>
              <w:top w:val="none"/>
              <w:left w:val="none"/>
              <w:bottom w:val="none"/>
              <w:right w:val="none"/>
            </w:tcBorders>
            <w:tcMar>
              <w:top w:w="0" w:type="dxa"/>
              <w:bottom w:w="0" w:type="dxa"/>
              <w:left w:w="0" w:type="dxa"/>
              <w:right w:w="0" w:type="dxa"/>
            </w:tcMar>
          </w:tcPr>
          <w:p>
            <w:pPr>
              <w:spacing w:after="40"/>
              <w:jc w:val="center"/>
            </w:pPr>
            <w:r>
              <w:rPr>
                <w:rFonts w:ascii="Times New Roman" w:hAnsi="Times New Roman"/>
                <w:b/>
                <w:sz w:val="26"/>
              </w:rPr>
              <w:t>KT. GIÁM ĐỐC</w:t>
              <w:br/>
              <w:t>PHÓ GIÁM ĐỐC</w:t>
            </w:r>
          </w:p>
          <w:p>
            <w:pPr>
              <w:spacing w:before="0" w:after="900"/>
              <w:jc w:val="center"/>
            </w:pPr>
            <w:r>
              <w:rPr>
                <w:rFonts w:ascii="Times New Roman" w:hAnsi="Times New Roman"/>
                <w:i/>
                <w:sz w:val="22"/>
              </w:rPr>
              <w:t>(Ký, đóng dấu và ghi rõ họ tên)</w:t>
            </w:r>
          </w:p>
          <w:p>
            <w:pPr>
              <w:spacing w:before="0" w:after="0"/>
              <w:jc w:val="center"/>
            </w:pPr>
            <w:r>
              <w:rPr>
                <w:rFonts w:ascii="Times New Roman" w:hAnsi="Times New Roman"/>
                <w:b/>
                <w:sz w:val="26"/>
              </w:rPr>
              <w:t>Nguyễn Thị Lệ Hằng</w:t>
            </w:r>
          </w:p>
        </w:tc>
      </w:tr>
    </w:tbl>
    <w:sectPr w:rsidR="00FC693F" w:rsidRPr="0006063C" w:rsidSect="00034616">
      <w:headerReference w:type="default" r:id="rId9"/>
      <w:pgSz w:w="11909" w:h="16834"/>
      <w:pgMar w:top="1138" w:right="850" w:bottom="1138"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